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Dodatek č. 1 ke</w:t>
      </w:r>
      <w:bookmarkEnd w:id="0"/>
      <w:bookmarkEnd w:id="1"/>
      <w:bookmarkEnd w:id="2"/>
    </w:p>
    <w:p>
      <w:pPr>
        <w:pStyle w:val="Style4"/>
        <w:keepNext/>
        <w:keepLines/>
        <w:widowControl w:val="0"/>
        <w:shd w:val="clear" w:color="auto" w:fill="auto"/>
        <w:bidi w:val="0"/>
        <w:spacing w:before="0" w:after="180" w:line="240" w:lineRule="auto"/>
        <w:ind w:left="0" w:right="0" w:firstLine="0"/>
        <w:jc w:val="center"/>
        <w:rPr>
          <w:sz w:val="36"/>
          <w:szCs w:val="36"/>
        </w:rPr>
      </w:pPr>
      <w:bookmarkStart w:id="3" w:name="bookmark3"/>
      <w:bookmarkStart w:id="4" w:name="bookmark4"/>
      <w:bookmarkStart w:id="5" w:name="bookmark5"/>
      <w:r>
        <w:rPr>
          <w:b/>
          <w:bCs/>
          <w:color w:val="000000"/>
          <w:spacing w:val="0"/>
          <w:w w:val="100"/>
          <w:position w:val="0"/>
          <w:sz w:val="36"/>
          <w:szCs w:val="36"/>
          <w:shd w:val="clear" w:color="auto" w:fill="auto"/>
          <w:lang w:val="cs-CZ" w:eastAsia="cs-CZ" w:bidi="cs-CZ"/>
        </w:rPr>
        <w:t>SMLOUVĚ O DÍLO</w:t>
      </w:r>
      <w:bookmarkEnd w:id="3"/>
      <w:bookmarkEnd w:id="4"/>
      <w:bookmarkEnd w:id="5"/>
    </w:p>
    <w:p>
      <w:pPr>
        <w:pStyle w:val="Style4"/>
        <w:keepNext/>
        <w:keepLines/>
        <w:widowControl w:val="0"/>
        <w:shd w:val="clear" w:color="auto" w:fill="auto"/>
        <w:bidi w:val="0"/>
        <w:spacing w:before="0" w:after="18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6"/>
      <w:bookmarkEnd w:id="7"/>
      <w:bookmarkEnd w:id="8"/>
    </w:p>
    <w:p>
      <w:pPr>
        <w:pStyle w:val="Style4"/>
        <w:keepNext/>
        <w:keepLines/>
        <w:widowControl w:val="0"/>
        <w:shd w:val="clear" w:color="auto" w:fill="auto"/>
        <w:bidi w:val="0"/>
        <w:spacing w:before="0" w:after="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objednatele: 726/2025</w:t>
      </w:r>
      <w:bookmarkEnd w:id="10"/>
      <w:bookmarkEnd w:id="11"/>
      <w:bookmarkEnd w:id="9"/>
    </w:p>
    <w:p>
      <w:pPr>
        <w:pStyle w:val="Style4"/>
        <w:keepNext/>
        <w:keepLines/>
        <w:widowControl w:val="0"/>
        <w:shd w:val="clear" w:color="auto" w:fill="auto"/>
        <w:bidi w:val="0"/>
        <w:spacing w:before="0" w:after="180" w:line="240" w:lineRule="auto"/>
        <w:ind w:left="0" w:right="0" w:firstLine="0"/>
        <w:jc w:val="center"/>
      </w:pPr>
      <w:bookmarkStart w:id="12" w:name="bookmark12"/>
      <w:bookmarkStart w:id="13" w:name="bookmark13"/>
      <w:bookmarkStart w:id="14" w:name="bookmark14"/>
      <w:r>
        <w:rPr>
          <w:color w:val="000000"/>
          <w:spacing w:val="0"/>
          <w:w w:val="100"/>
          <w:position w:val="0"/>
          <w:shd w:val="clear" w:color="auto" w:fill="auto"/>
          <w:lang w:val="cs-CZ" w:eastAsia="cs-CZ" w:bidi="cs-CZ"/>
        </w:rPr>
        <w:t>Číslo smlouvy zhotovitele: 10/2025</w:t>
      </w:r>
      <w:bookmarkEnd w:id="12"/>
      <w:bookmarkEnd w:id="13"/>
      <w:bookmarkEnd w:id="14"/>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“VD Jesenice - optický kabel”</w:t>
      </w:r>
    </w:p>
    <w:p>
      <w:pPr>
        <w:pStyle w:val="Style4"/>
        <w:keepNext/>
        <w:keepLines/>
        <w:widowControl w:val="0"/>
        <w:shd w:val="clear" w:color="auto" w:fill="auto"/>
        <w:bidi w:val="0"/>
        <w:spacing w:before="0" w:after="18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Smluvní strany:</w:t>
      </w:r>
      <w:bookmarkEnd w:id="15"/>
      <w:bookmarkEnd w:id="16"/>
      <w:bookmarkEnd w:id="17"/>
    </w:p>
    <w:p>
      <w:pPr>
        <w:pStyle w:val="Style4"/>
        <w:keepNext/>
        <w:keepLines/>
        <w:widowControl w:val="0"/>
        <w:shd w:val="clear" w:color="auto" w:fill="auto"/>
        <w:tabs>
          <w:tab w:pos="2794" w:val="left"/>
        </w:tabs>
        <w:bidi w:val="0"/>
        <w:spacing w:before="0" w:after="0" w:line="240" w:lineRule="auto"/>
        <w:ind w:left="0" w:right="0" w:firstLine="0"/>
        <w:jc w:val="left"/>
      </w:pPr>
      <w:bookmarkStart w:id="18" w:name="bookmark18"/>
      <w:bookmarkStart w:id="19" w:name="bookmark19"/>
      <w:bookmarkStart w:id="20" w:name="bookmark20"/>
      <w:r>
        <w:rPr>
          <w:b/>
          <w:bCs/>
          <w:color w:val="000000"/>
          <w:spacing w:val="0"/>
          <w:w w:val="100"/>
          <w:position w:val="0"/>
          <w:shd w:val="clear" w:color="auto" w:fill="auto"/>
          <w:lang w:val="cs-CZ" w:eastAsia="cs-CZ" w:bidi="cs-CZ"/>
        </w:rPr>
        <w:t>objednatel:</w:t>
        <w:tab/>
        <w:t>Povodí Ohře, státní podnik</w:t>
      </w:r>
      <w:bookmarkEnd w:id="18"/>
      <w:bookmarkEnd w:id="19"/>
      <w:bookmarkEnd w:id="20"/>
    </w:p>
    <w:p>
      <w:pPr>
        <w:pStyle w:val="Style4"/>
        <w:keepNext/>
        <w:keepLines/>
        <w:widowControl w:val="0"/>
        <w:shd w:val="clear" w:color="auto" w:fill="auto"/>
        <w:tabs>
          <w:tab w:pos="2794" w:val="left"/>
        </w:tabs>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sídlo:</w:t>
        <w:tab/>
        <w:t>Bezručova 4219, 430 03 Chomutov</w:t>
      </w:r>
      <w:bookmarkEnd w:id="21"/>
      <w:bookmarkEnd w:id="22"/>
      <w:bookmarkEnd w:id="23"/>
    </w:p>
    <w:p>
      <w:pPr>
        <w:pStyle w:val="Style4"/>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statutární orgán:</w:t>
      </w:r>
      <w:bookmarkEnd w:id="24"/>
      <w:bookmarkEnd w:id="25"/>
      <w:bookmarkEnd w:id="26"/>
    </w:p>
    <w:p>
      <w:pPr>
        <w:pStyle w:val="Style4"/>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oprávněn k podpisu smlouvy</w:t>
      </w:r>
      <w:bookmarkEnd w:id="27"/>
      <w:bookmarkEnd w:id="28"/>
      <w:bookmarkEnd w:id="29"/>
    </w:p>
    <w:p>
      <w:pPr>
        <w:pStyle w:val="Style4"/>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a k jednání o věcech smluvních:</w:t>
      </w:r>
      <w:bookmarkEnd w:id="30"/>
      <w:bookmarkEnd w:id="31"/>
      <w:bookmarkEnd w:id="32"/>
    </w:p>
    <w:p>
      <w:pPr>
        <w:pStyle w:val="Style4"/>
        <w:keepNext/>
        <w:keepLines/>
        <w:widowControl w:val="0"/>
        <w:shd w:val="clear" w:color="auto" w:fill="auto"/>
        <w:bidi w:val="0"/>
        <w:spacing w:before="0" w:after="18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oprávněn jednat o věcech technických:</w:t>
      </w:r>
      <w:bookmarkEnd w:id="33"/>
      <w:bookmarkEnd w:id="34"/>
      <w:bookmarkEnd w:id="35"/>
    </w:p>
    <w:p>
      <w:pPr>
        <w:pStyle w:val="Style4"/>
        <w:keepNext/>
        <w:keepLines/>
        <w:widowControl w:val="0"/>
        <w:shd w:val="clear" w:color="auto" w:fill="auto"/>
        <w:bidi w:val="0"/>
        <w:spacing w:before="0" w:after="18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technický dozor objednatele:</w:t>
      </w:r>
      <w:bookmarkEnd w:id="36"/>
      <w:bookmarkEnd w:id="37"/>
      <w:bookmarkEnd w:id="38"/>
    </w:p>
    <w:p>
      <w:pPr>
        <w:pStyle w:val="Style4"/>
        <w:keepNext/>
        <w:keepLines/>
        <w:widowControl w:val="0"/>
        <w:shd w:val="clear" w:color="auto" w:fill="auto"/>
        <w:tabs>
          <w:tab w:pos="2794" w:val="left"/>
        </w:tabs>
        <w:bidi w:val="0"/>
        <w:spacing w:before="0" w:after="0" w:line="240"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IČO:</w:t>
        <w:tab/>
        <w:t>70889988</w:t>
      </w:r>
      <w:bookmarkEnd w:id="39"/>
      <w:bookmarkEnd w:id="40"/>
      <w:bookmarkEnd w:id="41"/>
    </w:p>
    <w:p>
      <w:pPr>
        <w:pStyle w:val="Style4"/>
        <w:keepNext/>
        <w:keepLines/>
        <w:widowControl w:val="0"/>
        <w:shd w:val="clear" w:color="auto" w:fill="auto"/>
        <w:tabs>
          <w:tab w:pos="2794" w:val="left"/>
        </w:tabs>
        <w:bidi w:val="0"/>
        <w:spacing w:before="0" w:after="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DIČ:</w:t>
        <w:tab/>
        <w:t>CZ70889988</w:t>
      </w:r>
      <w:bookmarkEnd w:id="42"/>
      <w:bookmarkEnd w:id="43"/>
      <w:bookmarkEnd w:id="44"/>
    </w:p>
    <w:p>
      <w:pPr>
        <w:pStyle w:val="Style4"/>
        <w:keepNext/>
        <w:keepLines/>
        <w:widowControl w:val="0"/>
        <w:shd w:val="clear" w:color="auto" w:fill="auto"/>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bankovní spojení:</w:t>
      </w:r>
      <w:bookmarkEnd w:id="45"/>
      <w:bookmarkEnd w:id="46"/>
      <w:bookmarkEnd w:id="47"/>
    </w:p>
    <w:p>
      <w:pPr>
        <w:pStyle w:val="Style4"/>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číslo účtu:</w:t>
      </w:r>
      <w:bookmarkEnd w:id="48"/>
      <w:bookmarkEnd w:id="49"/>
      <w:bookmarkEnd w:id="50"/>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4"/>
        <w:keepNext/>
        <w:keepLines/>
        <w:widowControl w:val="0"/>
        <w:shd w:val="clear" w:color="auto" w:fill="auto"/>
        <w:bidi w:val="0"/>
        <w:spacing w:before="0" w:after="18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(dále jen „objednatel“)</w:t>
      </w:r>
      <w:bookmarkEnd w:id="51"/>
      <w:bookmarkEnd w:id="52"/>
      <w:bookmarkEnd w:id="53"/>
    </w:p>
    <w:p>
      <w:pPr>
        <w:pStyle w:val="Style4"/>
        <w:keepNext/>
        <w:keepLines/>
        <w:widowControl w:val="0"/>
        <w:shd w:val="clear" w:color="auto" w:fill="auto"/>
        <w:bidi w:val="0"/>
        <w:spacing w:before="0" w:after="180" w:line="240" w:lineRule="auto"/>
        <w:ind w:left="0" w:right="0" w:firstLine="0"/>
        <w:jc w:val="left"/>
      </w:pPr>
      <w:bookmarkStart w:id="54" w:name="bookmark54"/>
      <w:bookmarkStart w:id="55" w:name="bookmark55"/>
      <w:bookmarkStart w:id="56" w:name="bookmark56"/>
      <w:r>
        <w:rPr>
          <w:b/>
          <w:bCs/>
          <w:color w:val="000000"/>
          <w:spacing w:val="0"/>
          <w:w w:val="100"/>
          <w:position w:val="0"/>
          <w:shd w:val="clear" w:color="auto" w:fill="auto"/>
          <w:lang w:val="cs-CZ" w:eastAsia="cs-CZ" w:bidi="cs-CZ"/>
        </w:rPr>
        <w:t>a</w:t>
      </w:r>
      <w:bookmarkEnd w:id="54"/>
      <w:bookmarkEnd w:id="55"/>
      <w:bookmarkEnd w:id="56"/>
    </w:p>
    <w:p>
      <w:pPr>
        <w:pStyle w:val="Style4"/>
        <w:keepNext/>
        <w:keepLines/>
        <w:widowControl w:val="0"/>
        <w:shd w:val="clear" w:color="auto" w:fill="auto"/>
        <w:tabs>
          <w:tab w:pos="2794" w:val="left"/>
        </w:tabs>
        <w:bidi w:val="0"/>
        <w:spacing w:before="0" w:after="0" w:line="240" w:lineRule="auto"/>
        <w:ind w:left="0" w:right="0" w:firstLine="0"/>
        <w:jc w:val="left"/>
      </w:pPr>
      <w:bookmarkStart w:id="57" w:name="bookmark57"/>
      <w:bookmarkStart w:id="58" w:name="bookmark58"/>
      <w:bookmarkStart w:id="59" w:name="bookmark59"/>
      <w:r>
        <w:rPr>
          <w:b/>
          <w:bCs/>
          <w:color w:val="000000"/>
          <w:spacing w:val="0"/>
          <w:w w:val="100"/>
          <w:position w:val="0"/>
          <w:shd w:val="clear" w:color="auto" w:fill="auto"/>
          <w:lang w:val="cs-CZ" w:eastAsia="cs-CZ" w:bidi="cs-CZ"/>
        </w:rPr>
        <w:t>zhotovitel:</w:t>
        <w:tab/>
        <w:t>ESPEX spol. s r.o.</w:t>
      </w:r>
      <w:bookmarkEnd w:id="57"/>
      <w:bookmarkEnd w:id="58"/>
      <w:bookmarkEnd w:id="59"/>
    </w:p>
    <w:p>
      <w:pPr>
        <w:pStyle w:val="Style4"/>
        <w:keepNext/>
        <w:keepLines/>
        <w:widowControl w:val="0"/>
        <w:shd w:val="clear" w:color="auto" w:fill="auto"/>
        <w:tabs>
          <w:tab w:pos="2794" w:val="left"/>
        </w:tabs>
        <w:bidi w:val="0"/>
        <w:spacing w:before="0" w:after="0" w:line="240"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sídlo:</w:t>
        <w:tab/>
        <w:t>Za návsí 1642/8, Praha 10 – Záběhlice 10600</w:t>
      </w:r>
      <w:bookmarkEnd w:id="60"/>
      <w:bookmarkEnd w:id="61"/>
      <w:bookmarkEnd w:id="62"/>
    </w:p>
    <w:p>
      <w:pPr>
        <w:pStyle w:val="Style4"/>
        <w:keepNext/>
        <w:keepLines/>
        <w:widowControl w:val="0"/>
        <w:shd w:val="clear" w:color="auto" w:fill="auto"/>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oprávněn(i) k podpisu smlouvy:</w:t>
      </w:r>
      <w:bookmarkEnd w:id="63"/>
      <w:bookmarkEnd w:id="64"/>
      <w:bookmarkEnd w:id="65"/>
    </w:p>
    <w:p>
      <w:pPr>
        <w:pStyle w:val="Style4"/>
        <w:keepNext/>
        <w:keepLines/>
        <w:widowControl w:val="0"/>
        <w:shd w:val="clear" w:color="auto" w:fill="auto"/>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oprávněn(i) jednat o věcech smluvních:</w:t>
      </w:r>
      <w:bookmarkEnd w:id="66"/>
      <w:bookmarkEnd w:id="67"/>
      <w:bookmarkEnd w:id="68"/>
    </w:p>
    <w:p>
      <w:pPr>
        <w:pStyle w:val="Style4"/>
        <w:keepNext/>
        <w:keepLines/>
        <w:widowControl w:val="0"/>
        <w:shd w:val="clear" w:color="auto" w:fill="auto"/>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oprávněn(i) jednat o věcech technických:</w:t>
      </w:r>
      <w:bookmarkEnd w:id="69"/>
      <w:bookmarkEnd w:id="70"/>
      <w:bookmarkEnd w:id="71"/>
    </w:p>
    <w:p>
      <w:pPr>
        <w:pStyle w:val="Style4"/>
        <w:keepNext/>
        <w:keepLines/>
        <w:widowControl w:val="0"/>
        <w:shd w:val="clear" w:color="auto" w:fill="auto"/>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stavbyvedoucí:</w:t>
      </w:r>
      <w:bookmarkEnd w:id="72"/>
      <w:bookmarkEnd w:id="73"/>
      <w:bookmarkEnd w:id="74"/>
    </w:p>
    <w:p>
      <w:pPr>
        <w:pStyle w:val="Style4"/>
        <w:keepNext/>
        <w:keepLines/>
        <w:widowControl w:val="0"/>
        <w:shd w:val="clear" w:color="auto" w:fill="auto"/>
        <w:tabs>
          <w:tab w:pos="2794" w:val="left"/>
        </w:tabs>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IČO:</w:t>
        <w:tab/>
        <w:t>60321920</w:t>
      </w:r>
      <w:bookmarkEnd w:id="75"/>
      <w:bookmarkEnd w:id="76"/>
      <w:bookmarkEnd w:id="77"/>
    </w:p>
    <w:p>
      <w:pPr>
        <w:pStyle w:val="Style4"/>
        <w:keepNext/>
        <w:keepLines/>
        <w:widowControl w:val="0"/>
        <w:shd w:val="clear" w:color="auto" w:fill="auto"/>
        <w:tabs>
          <w:tab w:pos="2794" w:val="left"/>
        </w:tabs>
        <w:bidi w:val="0"/>
        <w:spacing w:before="0" w:after="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DIČ:</w:t>
        <w:tab/>
        <w:t>CZ60321920</w:t>
      </w:r>
      <w:bookmarkEnd w:id="78"/>
      <w:bookmarkEnd w:id="79"/>
      <w:bookmarkEnd w:id="80"/>
    </w:p>
    <w:p>
      <w:pPr>
        <w:pStyle w:val="Style4"/>
        <w:keepNext/>
        <w:keepLines/>
        <w:widowControl w:val="0"/>
        <w:shd w:val="clear" w:color="auto" w:fill="auto"/>
        <w:bidi w:val="0"/>
        <w:spacing w:before="0" w:after="0" w:line="240" w:lineRule="auto"/>
        <w:ind w:left="0" w:right="0" w:firstLine="0"/>
        <w:jc w:val="left"/>
      </w:pPr>
      <w:bookmarkStart w:id="81" w:name="bookmark81"/>
      <w:bookmarkStart w:id="82" w:name="bookmark82"/>
      <w:bookmarkStart w:id="83" w:name="bookmark83"/>
      <w:r>
        <w:rPr>
          <w:color w:val="000000"/>
          <w:spacing w:val="0"/>
          <w:w w:val="100"/>
          <w:position w:val="0"/>
          <w:shd w:val="clear" w:color="auto" w:fill="auto"/>
          <w:lang w:val="cs-CZ" w:eastAsia="cs-CZ" w:bidi="cs-CZ"/>
        </w:rPr>
        <w:t>bankovní spojení:</w:t>
      </w:r>
      <w:bookmarkEnd w:id="81"/>
      <w:bookmarkEnd w:id="82"/>
      <w:bookmarkEnd w:id="83"/>
    </w:p>
    <w:p>
      <w:pPr>
        <w:pStyle w:val="Style4"/>
        <w:keepNext/>
        <w:keepLines/>
        <w:widowControl w:val="0"/>
        <w:shd w:val="clear" w:color="auto" w:fill="auto"/>
        <w:bidi w:val="0"/>
        <w:spacing w:before="0" w:after="0" w:line="240" w:lineRule="auto"/>
        <w:ind w:left="0" w:right="0" w:firstLine="0"/>
        <w:jc w:val="left"/>
      </w:pPr>
      <w:bookmarkStart w:id="84" w:name="bookmark84"/>
      <w:bookmarkStart w:id="85" w:name="bookmark85"/>
      <w:bookmarkStart w:id="86" w:name="bookmark86"/>
      <w:r>
        <w:rPr>
          <w:color w:val="000000"/>
          <w:spacing w:val="0"/>
          <w:w w:val="100"/>
          <w:position w:val="0"/>
          <w:shd w:val="clear" w:color="auto" w:fill="auto"/>
          <w:lang w:val="cs-CZ" w:eastAsia="cs-CZ" w:bidi="cs-CZ"/>
        </w:rPr>
        <w:t>číslo účtu:</w:t>
      </w:r>
      <w:bookmarkEnd w:id="84"/>
      <w:bookmarkEnd w:id="85"/>
      <w:bookmarkEnd w:id="86"/>
    </w:p>
    <w:p>
      <w:pPr>
        <w:pStyle w:val="Style4"/>
        <w:keepNext/>
        <w:keepLines/>
        <w:widowControl w:val="0"/>
        <w:shd w:val="clear" w:color="auto" w:fill="auto"/>
        <w:bidi w:val="0"/>
        <w:spacing w:before="0" w:after="0" w:line="240" w:lineRule="auto"/>
        <w:ind w:left="0" w:right="0" w:firstLine="0"/>
        <w:jc w:val="left"/>
      </w:pPr>
      <w:bookmarkStart w:id="87" w:name="bookmark87"/>
      <w:bookmarkStart w:id="88" w:name="bookmark88"/>
      <w:bookmarkStart w:id="89" w:name="bookmark89"/>
      <w:r>
        <w:rPr>
          <w:color w:val="000000"/>
          <w:spacing w:val="0"/>
          <w:w w:val="100"/>
          <w:position w:val="0"/>
          <w:shd w:val="clear" w:color="auto" w:fill="auto"/>
          <w:lang w:val="cs-CZ" w:eastAsia="cs-CZ" w:bidi="cs-CZ"/>
        </w:rPr>
        <w:t>zápis v obchodním rejstříku: C 280107 vedená u Městského soudu v Praze</w:t>
      </w:r>
      <w:bookmarkEnd w:id="87"/>
      <w:bookmarkEnd w:id="88"/>
      <w:bookmarkEnd w:id="89"/>
    </w:p>
    <w:p>
      <w:pPr>
        <w:pStyle w:val="Style4"/>
        <w:keepNext/>
        <w:keepLines/>
        <w:widowControl w:val="0"/>
        <w:shd w:val="clear" w:color="auto" w:fill="auto"/>
        <w:tabs>
          <w:tab w:pos="2794" w:val="left"/>
        </w:tabs>
        <w:bidi w:val="0"/>
        <w:spacing w:before="0" w:after="0" w:line="240" w:lineRule="auto"/>
        <w:ind w:left="0" w:right="0" w:firstLine="0"/>
        <w:jc w:val="left"/>
      </w:pPr>
      <w:bookmarkStart w:id="90" w:name="bookmark90"/>
      <w:bookmarkStart w:id="91" w:name="bookmark91"/>
      <w:bookmarkStart w:id="92" w:name="bookmark92"/>
      <w:r>
        <w:rPr>
          <w:color w:val="000000"/>
          <w:spacing w:val="0"/>
          <w:w w:val="100"/>
          <w:position w:val="0"/>
          <w:shd w:val="clear" w:color="auto" w:fill="auto"/>
          <w:lang w:val="cs-CZ" w:eastAsia="cs-CZ" w:bidi="cs-CZ"/>
        </w:rPr>
        <w:t>tel.:</w:t>
        <w:tab/>
        <w:t>e-mail:</w:t>
      </w:r>
      <w:bookmarkEnd w:id="90"/>
      <w:bookmarkEnd w:id="91"/>
      <w:bookmarkEnd w:id="92"/>
    </w:p>
    <w:p>
      <w:pPr>
        <w:pStyle w:val="Style4"/>
        <w:keepNext/>
        <w:keepLines/>
        <w:widowControl w:val="0"/>
        <w:shd w:val="clear" w:color="auto" w:fill="auto"/>
        <w:bidi w:val="0"/>
        <w:spacing w:before="0" w:after="460" w:line="240" w:lineRule="auto"/>
        <w:ind w:left="0" w:right="0" w:firstLine="0"/>
        <w:jc w:val="left"/>
      </w:pPr>
      <w:bookmarkStart w:id="93" w:name="bookmark93"/>
      <w:bookmarkStart w:id="94" w:name="bookmark94"/>
      <w:bookmarkStart w:id="95" w:name="bookmark95"/>
      <w:r>
        <w:rPr>
          <w:color w:val="000000"/>
          <w:spacing w:val="0"/>
          <w:w w:val="100"/>
          <w:position w:val="0"/>
          <w:shd w:val="clear" w:color="auto" w:fill="auto"/>
          <w:lang w:val="cs-CZ" w:eastAsia="cs-CZ" w:bidi="cs-CZ"/>
        </w:rPr>
        <w:t>(dále jen „zhotovitel“)</w:t>
      </w:r>
      <w:bookmarkEnd w:id="93"/>
      <w:bookmarkEnd w:id="94"/>
      <w:bookmarkEnd w:id="95"/>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Jedná se o:</w:t>
      </w:r>
    </w:p>
    <w:p>
      <w:pPr>
        <w:pStyle w:val="Style2"/>
        <w:keepNext w:val="0"/>
        <w:keepLines w:val="0"/>
        <w:widowControl w:val="0"/>
        <w:numPr>
          <w:ilvl w:val="0"/>
          <w:numId w:val="1"/>
        </w:numPr>
        <w:shd w:val="clear" w:color="auto" w:fill="auto"/>
        <w:tabs>
          <w:tab w:pos="397" w:val="left"/>
        </w:tabs>
        <w:bidi w:val="0"/>
        <w:spacing w:before="0" w:after="0" w:line="240" w:lineRule="auto"/>
        <w:ind w:left="0" w:right="0" w:firstLine="0"/>
        <w:jc w:val="left"/>
      </w:pPr>
      <w:bookmarkStart w:id="96" w:name="bookmark96"/>
      <w:bookmarkEnd w:id="96"/>
      <w:r>
        <w:rPr>
          <w:b/>
          <w:bCs/>
          <w:color w:val="000000"/>
          <w:spacing w:val="0"/>
          <w:w w:val="100"/>
          <w:position w:val="0"/>
          <w:shd w:val="clear" w:color="auto" w:fill="auto"/>
          <w:lang w:val="cs-CZ" w:eastAsia="cs-CZ" w:bidi="cs-CZ"/>
        </w:rPr>
        <w:t>změnu účelu a předmětu smlouvy</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v rozsahu přílohy tohoto dodatku – Oceněného soupisu prací změn závazku ze dne 11.09.2025,</w:t>
      </w:r>
      <w:r>
        <w:br w:type="page"/>
      </w:r>
    </w:p>
    <w:p>
      <w:pPr>
        <w:pStyle w:val="Style2"/>
        <w:keepNext w:val="0"/>
        <w:keepLines w:val="0"/>
        <w:widowControl w:val="0"/>
        <w:numPr>
          <w:ilvl w:val="0"/>
          <w:numId w:val="1"/>
        </w:numPr>
        <w:shd w:val="clear" w:color="auto" w:fill="auto"/>
        <w:tabs>
          <w:tab w:pos="406" w:val="left"/>
        </w:tabs>
        <w:bidi w:val="0"/>
        <w:spacing w:before="0" w:after="0" w:line="240" w:lineRule="auto"/>
        <w:ind w:left="0" w:right="0" w:firstLine="0"/>
        <w:jc w:val="both"/>
      </w:pPr>
      <w:bookmarkStart w:id="97" w:name="bookmark97"/>
      <w:bookmarkEnd w:id="97"/>
      <w:r>
        <w:rPr>
          <w:b/>
          <w:bCs/>
          <w:color w:val="000000"/>
          <w:spacing w:val="0"/>
          <w:w w:val="100"/>
          <w:position w:val="0"/>
          <w:shd w:val="clear" w:color="auto" w:fill="auto"/>
          <w:lang w:val="cs-CZ" w:eastAsia="cs-CZ" w:bidi="cs-CZ"/>
        </w:rPr>
        <w:t>termínu předání a převzetí dokončeného díla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 důvodu projednávání a realizace změn plnění závazku,</w:t>
      </w:r>
    </w:p>
    <w:p>
      <w:pPr>
        <w:pStyle w:val="Style2"/>
        <w:keepNext w:val="0"/>
        <w:keepLines w:val="0"/>
        <w:widowControl w:val="0"/>
        <w:numPr>
          <w:ilvl w:val="0"/>
          <w:numId w:val="1"/>
        </w:numPr>
        <w:shd w:val="clear" w:color="auto" w:fill="auto"/>
        <w:tabs>
          <w:tab w:pos="411" w:val="left"/>
        </w:tabs>
        <w:bidi w:val="0"/>
        <w:spacing w:before="0" w:after="0" w:line="221" w:lineRule="auto"/>
        <w:ind w:left="0" w:right="0" w:firstLine="0"/>
        <w:jc w:val="both"/>
      </w:pPr>
      <w:bookmarkStart w:id="98" w:name="bookmark98"/>
      <w:bookmarkEnd w:id="98"/>
      <w:r>
        <w:rPr>
          <w:b/>
          <w:bCs/>
          <w:color w:val="000000"/>
          <w:spacing w:val="0"/>
          <w:w w:val="100"/>
          <w:position w:val="0"/>
          <w:shd w:val="clear" w:color="auto" w:fill="auto"/>
          <w:lang w:val="cs-CZ" w:eastAsia="cs-CZ" w:bidi="cs-CZ"/>
        </w:rPr>
        <w:t>změnu ceny díla</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 důvodu nutnosti zajištění realizace nezbytně nutných dodatečných prací. Tyto práce nebyly obsaženy v oceněném soupisu prací, ze kterého vycházela tato smlouva, a to z důvodu, že jejich cena byla stanovena až při realizaci veřejné zakázky podle skutečnosti. Dále provedení odpočtu neprovedených prací a upřesnění výměr u položek v soupisu prací. Tyto změny jsou obsahem Přílohy č. 1 Oceněného soupisu prací změn závazku ze dne 11.09.2025. Tato změna závazku ze smlouvy v souvislosti se zadáním dalších prací nemění celkovou povahu veřejné zakázky.</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Změny byly řádně projednány a odsouhlaseny zástupci smluvních stran na mimořádném kontrolním dnu stavby. Obě smluvní strany odsouhlasily a potvrdily oceněný soupis prací.</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Mění se:</w:t>
      </w:r>
    </w:p>
    <w:p>
      <w:pPr>
        <w:pStyle w:val="Style2"/>
        <w:keepNext w:val="0"/>
        <w:keepLines w:val="0"/>
        <w:widowControl w:val="0"/>
        <w:numPr>
          <w:ilvl w:val="0"/>
          <w:numId w:val="3"/>
        </w:numPr>
        <w:shd w:val="clear" w:color="auto" w:fill="auto"/>
        <w:tabs>
          <w:tab w:pos="397" w:val="left"/>
        </w:tabs>
        <w:bidi w:val="0"/>
        <w:spacing w:before="0" w:after="0" w:line="240" w:lineRule="auto"/>
        <w:ind w:left="0" w:right="0" w:firstLine="0"/>
        <w:jc w:val="both"/>
      </w:pPr>
      <w:bookmarkStart w:id="99" w:name="bookmark99"/>
      <w:bookmarkEnd w:id="99"/>
      <w:r>
        <w:rPr>
          <w:b/>
          <w:bCs/>
          <w:color w:val="000000"/>
          <w:spacing w:val="0"/>
          <w:w w:val="100"/>
          <w:position w:val="0"/>
          <w:shd w:val="clear" w:color="auto" w:fill="auto"/>
          <w:lang w:val="cs-CZ" w:eastAsia="cs-CZ" w:bidi="cs-CZ"/>
        </w:rPr>
        <w:t xml:space="preserve">Čl. I. Předmět díla </w:t>
      </w:r>
      <w:r>
        <w:rPr>
          <w:color w:val="000000"/>
          <w:spacing w:val="0"/>
          <w:w w:val="100"/>
          <w:position w:val="0"/>
          <w:shd w:val="clear" w:color="auto" w:fill="auto"/>
          <w:lang w:val="cs-CZ" w:eastAsia="cs-CZ" w:bidi="cs-CZ"/>
        </w:rPr>
        <w:t>v rozsahu přílohy tohoto dodatku – Oceněného soupisu prací změn závazku ze dne 11.09.2025, který se tímto stává nedílnou součástí smlouvy,</w:t>
      </w:r>
    </w:p>
    <w:p>
      <w:pPr>
        <w:pStyle w:val="Style2"/>
        <w:keepNext w:val="0"/>
        <w:keepLines w:val="0"/>
        <w:widowControl w:val="0"/>
        <w:numPr>
          <w:ilvl w:val="0"/>
          <w:numId w:val="3"/>
        </w:numPr>
        <w:shd w:val="clear" w:color="auto" w:fill="auto"/>
        <w:tabs>
          <w:tab w:pos="406" w:val="left"/>
        </w:tabs>
        <w:bidi w:val="0"/>
        <w:spacing w:before="0" w:after="0" w:line="240" w:lineRule="auto"/>
        <w:ind w:left="0" w:right="0" w:firstLine="0"/>
        <w:jc w:val="both"/>
      </w:pPr>
      <w:bookmarkStart w:id="100" w:name="bookmark100"/>
      <w:bookmarkEnd w:id="100"/>
      <w:r>
        <w:rPr>
          <w:b/>
          <w:bCs/>
          <w:color w:val="000000"/>
          <w:spacing w:val="0"/>
          <w:w w:val="100"/>
          <w:position w:val="0"/>
          <w:shd w:val="clear" w:color="auto" w:fill="auto"/>
          <w:lang w:val="cs-CZ" w:eastAsia="cs-CZ" w:bidi="cs-CZ"/>
        </w:rPr>
        <w:t>Čl. II. Lhůty a podmínky realizace díla, bod 1., písm. c) předání a převzetí dokončeného díla: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původní znění: Nejpozději do 42 kalendářních dnů od převzetí staveniště (počínaje následujícím kalendářním dnem po předání staveniště).</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nové znění: Nejpozději do 60 kalendářních dnů od převzetí staveniště (počínaje následujícím kalendářním dnem po předání staveniště).</w:t>
      </w:r>
    </w:p>
    <w:p>
      <w:pPr>
        <w:pStyle w:val="Style2"/>
        <w:keepNext w:val="0"/>
        <w:keepLines w:val="0"/>
        <w:widowControl w:val="0"/>
        <w:numPr>
          <w:ilvl w:val="0"/>
          <w:numId w:val="3"/>
        </w:numPr>
        <w:shd w:val="clear" w:color="auto" w:fill="auto"/>
        <w:tabs>
          <w:tab w:pos="406" w:val="left"/>
        </w:tabs>
        <w:bidi w:val="0"/>
        <w:spacing w:before="0" w:after="0" w:line="240" w:lineRule="auto"/>
        <w:ind w:left="0" w:right="0" w:firstLine="0"/>
        <w:jc w:val="both"/>
      </w:pPr>
      <w:bookmarkStart w:id="101" w:name="bookmark101"/>
      <w:bookmarkEnd w:id="101"/>
      <w:r>
        <w:rPr>
          <w:b/>
          <w:bCs/>
          <w:color w:val="000000"/>
          <w:spacing w:val="0"/>
          <w:w w:val="100"/>
          <w:position w:val="0"/>
          <w:shd w:val="clear" w:color="auto" w:fill="auto"/>
          <w:lang w:val="cs-CZ" w:eastAsia="cs-CZ" w:bidi="cs-CZ"/>
        </w:rPr>
        <w:t>Čl. III. Cena, odst. 5.</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původní znění:</w:t>
      </w:r>
    </w:p>
    <w:p>
      <w:pPr>
        <w:pStyle w:val="Style2"/>
        <w:keepNext w:val="0"/>
        <w:keepLines w:val="0"/>
        <w:widowControl w:val="0"/>
        <w:shd w:val="clear" w:color="auto" w:fill="auto"/>
        <w:tabs>
          <w:tab w:pos="5755" w:val="left"/>
        </w:tabs>
        <w:bidi w:val="0"/>
        <w:spacing w:before="0" w:after="0" w:line="240" w:lineRule="auto"/>
        <w:ind w:left="0" w:right="0" w:firstLine="0"/>
        <w:jc w:val="both"/>
      </w:pPr>
      <w:r>
        <w:rPr>
          <w:color w:val="000000"/>
          <w:spacing w:val="0"/>
          <w:w w:val="100"/>
          <w:position w:val="0"/>
          <w:shd w:val="clear" w:color="auto" w:fill="auto"/>
          <w:lang w:val="cs-CZ" w:eastAsia="cs-CZ" w:bidi="cs-CZ"/>
        </w:rPr>
        <w:t>Celková smluvní cena bez DPH</w:t>
        <w:tab/>
        <w:t>839 493,20 Kč</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nové znění:</w:t>
      </w:r>
    </w:p>
    <w:p>
      <w:pPr>
        <w:pStyle w:val="Style2"/>
        <w:keepNext w:val="0"/>
        <w:keepLines w:val="0"/>
        <w:widowControl w:val="0"/>
        <w:shd w:val="clear" w:color="auto" w:fill="auto"/>
        <w:tabs>
          <w:tab w:pos="5755" w:val="left"/>
        </w:tabs>
        <w:bidi w:val="0"/>
        <w:spacing w:before="0" w:after="200" w:line="240" w:lineRule="auto"/>
        <w:ind w:left="0" w:right="0" w:firstLine="0"/>
        <w:jc w:val="both"/>
      </w:pPr>
      <w:r>
        <w:rPr>
          <w:b/>
          <w:bCs/>
          <w:color w:val="000000"/>
          <w:spacing w:val="0"/>
          <w:w w:val="100"/>
          <w:position w:val="0"/>
          <w:shd w:val="clear" w:color="auto" w:fill="auto"/>
          <w:lang w:val="cs-CZ" w:eastAsia="cs-CZ" w:bidi="cs-CZ"/>
        </w:rPr>
        <w:t>Celková smluvní cena bez DPH</w:t>
        <w:tab/>
        <w:t>912 711,64 Kč</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4"/>
        <w:keepNext/>
        <w:keepLines/>
        <w:widowControl w:val="0"/>
        <w:shd w:val="clear" w:color="auto" w:fill="auto"/>
        <w:bidi w:val="0"/>
        <w:spacing w:before="0" w:after="200" w:line="240" w:lineRule="auto"/>
        <w:ind w:left="0" w:right="0" w:firstLine="0"/>
        <w:jc w:val="both"/>
      </w:pPr>
      <w:bookmarkStart w:id="102" w:name="bookmark102"/>
      <w:bookmarkStart w:id="103" w:name="bookmark103"/>
      <w:bookmarkStart w:id="104" w:name="bookmark104"/>
      <w:r>
        <w:rPr>
          <w:color w:val="000000"/>
          <w:spacing w:val="0"/>
          <w:w w:val="100"/>
          <w:position w:val="0"/>
          <w:shd w:val="clear" w:color="auto" w:fill="auto"/>
          <w:lang w:val="cs-CZ" w:eastAsia="cs-CZ" w:bidi="cs-CZ"/>
        </w:rPr>
        <w:t>Smluvní strany prohlašují, že tento dodatek ke smlouvě uzavřely určitě, vážně a srozumitelně, že je projevem jejich pravé a svobodné vůle, a na důkaz tohoto připojují své podpisy. 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bookmarkEnd w:id="102"/>
      <w:bookmarkEnd w:id="103"/>
      <w:bookmarkEnd w:id="104"/>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Nedílnou součástí tohoto dodatku je:</w:t>
      </w:r>
    </w:p>
    <w:p>
      <w:pPr>
        <w:pStyle w:val="Style2"/>
        <w:keepNext w:val="0"/>
        <w:keepLines w:val="0"/>
        <w:widowControl w:val="0"/>
        <w:shd w:val="clear" w:color="auto" w:fill="auto"/>
        <w:bidi w:val="0"/>
        <w:spacing w:before="0" w:after="1460" w:line="240" w:lineRule="auto"/>
        <w:ind w:left="0" w:right="0" w:firstLine="0"/>
        <w:jc w:val="both"/>
      </w:pPr>
      <w:r>
        <w:rPr>
          <w:color w:val="000000"/>
          <w:spacing w:val="0"/>
          <w:w w:val="100"/>
          <w:position w:val="0"/>
          <w:shd w:val="clear" w:color="auto" w:fill="auto"/>
          <w:lang w:val="cs-CZ" w:eastAsia="cs-CZ" w:bidi="cs-CZ"/>
        </w:rPr>
        <w:t>Příloha č. 1 Oceněný soupis prací změn závazku ze dne 11.09.2025</w:t>
      </w:r>
    </w:p>
    <w:p>
      <w:pPr>
        <w:pStyle w:val="Style2"/>
        <w:keepNext w:val="0"/>
        <w:keepLines w:val="0"/>
        <w:widowControl w:val="0"/>
        <w:shd w:val="clear" w:color="auto" w:fill="auto"/>
        <w:bidi w:val="0"/>
        <w:spacing w:before="0" w:after="0" w:line="240" w:lineRule="auto"/>
        <w:ind w:left="0" w:right="0" w:firstLine="0"/>
        <w:jc w:val="both"/>
      </w:pPr>
      <w:r>
        <mc:AlternateContent>
          <mc:Choice Requires="wps">
            <w:drawing>
              <wp:anchor distT="0" distB="0" distL="114300" distR="114300" simplePos="0" relativeHeight="125829378" behindDoc="0" locked="0" layoutInCell="1" allowOverlap="1">
                <wp:simplePos x="0" y="0"/>
                <wp:positionH relativeFrom="page">
                  <wp:posOffset>4085590</wp:posOffset>
                </wp:positionH>
                <wp:positionV relativeFrom="paragraph">
                  <wp:posOffset>12700</wp:posOffset>
                </wp:positionV>
                <wp:extent cx="1377950" cy="709930"/>
                <wp:wrapSquare wrapText="left"/>
                <wp:docPr id="1" name="Shape 1"/>
                <a:graphic xmlns:a="http://schemas.openxmlformats.org/drawingml/2006/main">
                  <a:graphicData uri="http://schemas.microsoft.com/office/word/2010/wordprocessingShape">
                    <wps:wsp>
                      <wps:cNvSpPr txBox="1"/>
                      <wps:spPr>
                        <a:xfrm>
                          <a:ext cx="1377950" cy="709930"/>
                        </a:xfrm>
                        <a:prstGeom prst="rect"/>
                        <a:noFill/>
                      </wps:spPr>
                      <wps:txbx>
                        <w:txbxContent>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jednatel firmy ESPEX spol. s r.o.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21.69999999999999pt;margin-top:1.pt;width:108.5pt;height:55.8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jednatel firmy ESPEX spol. s r.o.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txbxContent>
                </v:textbox>
                <w10:wrap type="square" side="left" anchorx="page"/>
              </v:shape>
            </w:pict>
          </mc:Fallback>
        </mc:AlternateContent>
      </w: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200" w:line="480" w:lineRule="auto"/>
        <w:ind w:left="0" w:right="0" w:firstLine="0"/>
        <w:jc w:val="both"/>
      </w:pPr>
      <w:r>
        <w:rPr>
          <w:color w:val="000000"/>
          <w:spacing w:val="0"/>
          <w:w w:val="100"/>
          <w:position w:val="0"/>
          <w:shd w:val="clear" w:color="auto" w:fill="auto"/>
          <w:lang w:val="cs-CZ" w:eastAsia="cs-CZ" w:bidi="cs-CZ"/>
        </w:rPr>
        <w:t>Povodí Ohře, státní podnik elektronicky podepsal</w:t>
      </w:r>
    </w:p>
    <w:sectPr>
      <w:footerReference w:type="default" r:id="rId5"/>
      <w:footnotePr>
        <w:pos w:val="pageBottom"/>
        <w:numFmt w:val="decimal"/>
        <w:numRestart w:val="continuous"/>
      </w:footnotePr>
      <w:pgSz w:w="11909" w:h="16838"/>
      <w:pgMar w:top="908" w:left="1394" w:right="1384" w:bottom="1166" w:header="48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5841365</wp:posOffset>
              </wp:positionH>
              <wp:positionV relativeFrom="page">
                <wp:posOffset>10014585</wp:posOffset>
              </wp:positionV>
              <wp:extent cx="822960" cy="201295"/>
              <wp:wrapNone/>
              <wp:docPr id="3" name="Shape 3"/>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59.94999999999999pt;margin-top:788.55000000000007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