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center"/>
      </w:pPr>
      <w:r>
        <w:rPr>
          <w:rStyle w:val="CharStyle3"/>
          <w:b/>
          <w:bCs/>
        </w:rPr>
        <w:t>KUPNÍ SMLOUVA</w:t>
        <w:br/>
      </w:r>
      <w:r>
        <w:rPr>
          <w:rStyle w:val="CharStyle3"/>
        </w:rPr>
        <w:t>uzavřená v souladu s ustanovení § 2079 a násl. zákona č. 89/2012 Sb., občanský zákoník,</w:t>
        <w:br/>
        <w:t>mezi níže uvedenými smluvními stranami</w:t>
      </w:r>
    </w:p>
    <w:tbl>
      <w:tblPr>
        <w:tblOverlap w:val="never"/>
        <w:jc w:val="center"/>
        <w:tblLayout w:type="fixed"/>
      </w:tblPr>
      <w:tblGrid>
        <w:gridCol w:w="2669"/>
        <w:gridCol w:w="6202"/>
      </w:tblGrid>
      <w:tr>
        <w:trPr>
          <w:trHeight w:val="46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Zdravotnická záchranná služba Jihomoravského kraje, příspěvková organizace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Sídlo: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Kamenice 798/1 d, 625 00 Brno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MUDr. Hana Albrechtová, ředitelka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Kontaktní osoba: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spacing w:val="1"/>
                <w:shd w:val="clear" w:color="auto" w:fill="000000"/>
              </w:rPr>
              <w:t>.....</w:t>
            </w:r>
            <w:r>
              <w:rPr>
                <w:rStyle w:val="CharStyle13"/>
                <w:spacing w:val="2"/>
                <w:shd w:val="clear" w:color="auto" w:fill="000000"/>
              </w:rPr>
              <w:t>..</w:t>
            </w:r>
            <w:r>
              <w:rPr>
                <w:rStyle w:val="CharStyle13"/>
                <w:shd w:val="clear" w:color="auto" w:fill="000000"/>
              </w:rPr>
              <w:t>​</w:t>
            </w:r>
            <w:r>
              <w:rPr>
                <w:rStyle w:val="CharStyle13"/>
                <w:spacing w:val="2"/>
                <w:shd w:val="clear" w:color="auto" w:fill="000000"/>
              </w:rPr>
              <w:t>............</w:t>
            </w:r>
            <w:r>
              <w:rPr>
                <w:rStyle w:val="CharStyle13"/>
                <w:spacing w:val="3"/>
                <w:shd w:val="clear" w:color="auto" w:fill="000000"/>
              </w:rPr>
              <w:t>..</w:t>
            </w:r>
            <w:r>
              <w:rPr>
                <w:rStyle w:val="CharStyle13"/>
                <w:shd w:val="clear" w:color="auto" w:fill="000000"/>
              </w:rPr>
              <w:t>​</w:t>
            </w:r>
            <w:r>
              <w:rPr>
                <w:rStyle w:val="CharStyle13"/>
                <w:spacing w:val="2"/>
                <w:shd w:val="clear" w:color="auto" w:fill="000000"/>
              </w:rPr>
              <w:t>..</w:t>
            </w:r>
            <w:r>
              <w:rPr>
                <w:rStyle w:val="CharStyle13"/>
                <w:spacing w:val="3"/>
                <w:shd w:val="clear" w:color="auto" w:fill="000000"/>
              </w:rPr>
              <w:t>............</w:t>
            </w:r>
            <w:r>
              <w:rPr>
                <w:rStyle w:val="CharStyle13"/>
                <w:shd w:val="clear" w:color="auto" w:fill="000000"/>
              </w:rPr>
              <w:t>​</w:t>
            </w:r>
            <w:r>
              <w:rPr>
                <w:rStyle w:val="CharStyle13"/>
                <w:spacing w:val="5"/>
                <w:shd w:val="clear" w:color="auto" w:fill="000000"/>
              </w:rPr>
              <w:t>.</w:t>
            </w:r>
            <w:r>
              <w:rPr>
                <w:rStyle w:val="CharStyle13"/>
                <w:spacing w:val="6"/>
                <w:shd w:val="clear" w:color="auto" w:fill="000000"/>
              </w:rPr>
              <w:t>......</w:t>
            </w:r>
          </w:p>
        </w:tc>
      </w:tr>
      <w:tr>
        <w:trPr>
          <w:trHeight w:val="65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IČ: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spacing w:val="3"/>
                <w:shd w:val="clear" w:color="auto" w:fill="000000"/>
              </w:rPr>
              <w:t>..</w:t>
            </w:r>
            <w:r>
              <w:rPr>
                <w:rStyle w:val="CharStyle13"/>
                <w:spacing w:val="4"/>
                <w:shd w:val="clear" w:color="auto" w:fill="000000"/>
              </w:rPr>
              <w:t>.</w:t>
            </w:r>
            <w:r>
              <w:rPr>
                <w:rStyle w:val="CharStyle13"/>
                <w:shd w:val="clear" w:color="auto" w:fill="000000"/>
              </w:rPr>
              <w:t>​</w:t>
            </w:r>
            <w:r>
              <w:rPr>
                <w:rStyle w:val="CharStyle13"/>
                <w:spacing w:val="3"/>
                <w:shd w:val="clear" w:color="auto" w:fill="000000"/>
              </w:rPr>
              <w:t>..</w:t>
            </w:r>
            <w:r>
              <w:rPr>
                <w:rStyle w:val="CharStyle13"/>
                <w:spacing w:val="4"/>
                <w:shd w:val="clear" w:color="auto" w:fill="000000"/>
              </w:rPr>
              <w:t>......</w:t>
            </w:r>
            <w:r>
              <w:rPr>
                <w:rStyle w:val="CharStyle13"/>
                <w:u w:val="single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CharStyle13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..........................</w:t>
            </w:r>
            <w:r>
              <w:rPr>
                <w:rStyle w:val="CharStyle13"/>
                <w:spacing w:val="2"/>
                <w:u w:val="single"/>
                <w:shd w:val="clear" w:color="auto" w:fill="000000"/>
                <w:lang w:val="en-US" w:eastAsia="en-US" w:bidi="en-US"/>
              </w:rPr>
              <w:t>......</w:t>
            </w:r>
            <w:r>
              <w:rPr>
                <w:rStyle w:val="CharStyle13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CharStyle13"/>
                <w:spacing w:val="8"/>
                <w:shd w:val="clear" w:color="auto" w:fill="000000"/>
              </w:rPr>
              <w:t>...</w:t>
            </w:r>
            <w:r>
              <w:rPr>
                <w:rStyle w:val="CharStyle13"/>
                <w:spacing w:val="9"/>
                <w:shd w:val="clear" w:color="auto" w:fill="000000"/>
              </w:rPr>
              <w:t>..</w:t>
            </w:r>
            <w:r>
              <w:rPr>
                <w:rStyle w:val="CharStyle13"/>
                <w:shd w:val="clear" w:color="auto" w:fill="000000"/>
              </w:rPr>
              <w:t>​.......​</w:t>
            </w:r>
            <w:r>
              <w:rPr>
                <w:rStyle w:val="CharStyle13"/>
                <w:spacing w:val="6"/>
                <w:shd w:val="clear" w:color="auto" w:fill="000000"/>
              </w:rPr>
              <w:t>...</w:t>
            </w:r>
            <w:r>
              <w:rPr>
                <w:rStyle w:val="CharStyle13"/>
                <w:spacing w:val="7"/>
                <w:shd w:val="clear" w:color="auto" w:fill="000000"/>
              </w:rPr>
              <w:t>...</w:t>
            </w:r>
            <w:r>
              <w:rPr>
                <w:rStyle w:val="CharStyle13"/>
                <w:shd w:val="clear" w:color="auto" w:fill="000000"/>
              </w:rPr>
              <w:t>​......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00346292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CZ00346292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Krajský soud v Brně sp. zn. Pr 1245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MONETA Money Bank, a.s., č. ú. 117203514/0600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" w:right="0" w:firstLine="0"/>
        <w:jc w:val="left"/>
      </w:pPr>
      <w:r>
        <w:rPr>
          <w:rStyle w:val="CharStyle10"/>
        </w:rPr>
        <w:t xml:space="preserve">(dále jen „ </w:t>
      </w:r>
      <w:r>
        <w:rPr>
          <w:rStyle w:val="CharStyle10"/>
          <w:b/>
          <w:bCs/>
          <w:i/>
          <w:iCs/>
        </w:rPr>
        <w:t>kupující'</w:t>
      </w:r>
    </w:p>
    <w:p>
      <w:pPr>
        <w:widowControl w:val="0"/>
        <w:spacing w:after="2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669"/>
        <w:gridCol w:w="6197"/>
      </w:tblGrid>
      <w:tr>
        <w:trPr>
          <w:trHeight w:val="60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TECOM Analytical Systems CS spol. s r.o.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Sídlo: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K Fialce 276/35, 155 00 Praha 5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Lenka Habalová, prokurista společnosti</w:t>
            </w:r>
          </w:p>
        </w:tc>
      </w:tr>
      <w:tr>
        <w:trPr>
          <w:trHeight w:val="99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Kontaktní osoba: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IČO: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DIČ: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rStyle w:val="CharStyle13"/>
                <w:shd w:val="clear" w:color="auto" w:fill="000000"/>
              </w:rPr>
              <w:t>.......​</w:t>
            </w:r>
            <w:r>
              <w:rPr>
                <w:rStyle w:val="CharStyle13"/>
                <w:spacing w:val="7"/>
                <w:shd w:val="clear" w:color="auto" w:fill="000000"/>
              </w:rPr>
              <w:t>......</w:t>
            </w:r>
            <w:r>
              <w:rPr>
                <w:rStyle w:val="CharStyle13"/>
                <w:shd w:val="clear" w:color="auto" w:fill="000000"/>
              </w:rPr>
              <w:t>​</w:t>
            </w:r>
            <w:r>
              <w:rPr>
                <w:rStyle w:val="CharStyle13"/>
                <w:spacing w:val="3"/>
                <w:shd w:val="clear" w:color="auto" w:fill="000000"/>
              </w:rPr>
              <w:t>........</w:t>
            </w:r>
            <w:r>
              <w:rPr>
                <w:rStyle w:val="CharStyle13"/>
                <w:spacing w:val="4"/>
                <w:shd w:val="clear" w:color="auto" w:fill="000000"/>
              </w:rPr>
              <w:t>....</w:t>
            </w:r>
            <w:r>
              <w:rPr>
                <w:rStyle w:val="CharStyle13"/>
                <w:u w:val="single"/>
                <w:shd w:val="clear" w:color="auto" w:fill="000000"/>
                <w:lang w:val="en-US" w:eastAsia="en-US" w:bidi="en-US"/>
              </w:rPr>
              <w:t>​.</w:t>
            </w:r>
            <w:r>
              <w:rPr>
                <w:rStyle w:val="CharStyle13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.............................</w:t>
            </w:r>
            <w:r>
              <w:rPr>
                <w:rStyle w:val="CharStyle13"/>
                <w:u w:val="single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CharStyle13"/>
                <w:spacing w:val="2"/>
                <w:u w:val="single"/>
                <w:shd w:val="clear" w:color="auto" w:fill="000000"/>
                <w:lang w:val="en-US" w:eastAsia="en-US" w:bidi="en-US"/>
              </w:rPr>
              <w:t>...</w:t>
            </w:r>
            <w:r>
              <w:rPr>
                <w:rStyle w:val="CharStyle13"/>
                <w:spacing w:val="3"/>
                <w:u w:val="single"/>
                <w:shd w:val="clear" w:color="auto" w:fill="000000"/>
                <w:lang w:val="en-US" w:eastAsia="en-US" w:bidi="en-US"/>
              </w:rPr>
              <w:t>........</w:t>
            </w:r>
            <w:r>
              <w:rPr>
                <w:rStyle w:val="CharStyle13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CharStyle13"/>
                <w:shd w:val="clear" w:color="auto" w:fill="000000"/>
              </w:rPr>
              <w:t>​</w:t>
            </w:r>
            <w:r>
              <w:rPr>
                <w:rStyle w:val="CharStyle13"/>
                <w:spacing w:val="7"/>
                <w:shd w:val="clear" w:color="auto" w:fill="000000"/>
              </w:rPr>
              <w:t>......</w:t>
            </w:r>
            <w:r>
              <w:rPr>
                <w:rStyle w:val="CharStyle13"/>
                <w:shd w:val="clear" w:color="auto" w:fill="000000"/>
              </w:rPr>
              <w:t>​....</w:t>
            </w:r>
            <w:r>
              <w:rPr>
                <w:rStyle w:val="CharStyle13"/>
                <w:spacing w:val="1"/>
                <w:shd w:val="clear" w:color="auto" w:fill="000000"/>
              </w:rPr>
              <w:t>.....</w:t>
            </w:r>
            <w:r>
              <w:rPr>
                <w:rStyle w:val="CharStyle13"/>
                <w:shd w:val="clear" w:color="auto" w:fill="000000"/>
              </w:rPr>
              <w:t>​.......​.......​......</w:t>
            </w:r>
            <w:r>
              <w:rPr>
                <w:rStyle w:val="CharStyle13"/>
              </w:rPr>
              <w:t xml:space="preserve"> 15889785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rStyle w:val="CharStyle13"/>
              </w:rPr>
              <w:t>CZ15889785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rStyle w:val="CharStyle13"/>
              </w:rPr>
              <w:t>Městský soud v Praze, oddíl C, vložka 7284</w:t>
            </w:r>
          </w:p>
        </w:tc>
      </w:tr>
      <w:tr>
        <w:trPr>
          <w:trHeight w:val="37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UniCredit Bank Czech Republic and Slovakia, a.s., č.ú. 934006/2700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</w:pPr>
      <w:r>
        <w:rPr>
          <w:rStyle w:val="CharStyle10"/>
        </w:rPr>
        <w:t>(dále jen ,,</w:t>
      </w:r>
      <w:r>
        <w:rPr>
          <w:rStyle w:val="CharStyle10"/>
          <w:b/>
          <w:bCs/>
          <w:i/>
          <w:iCs/>
        </w:rPr>
        <w:t>prodávající )</w:t>
      </w:r>
    </w:p>
    <w:p>
      <w:pPr>
        <w:widowControl w:val="0"/>
        <w:spacing w:after="839" w:line="1" w:lineRule="exact"/>
      </w:pP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 xml:space="preserve">Prodávající je oprávněn na základě svého vlastnického práva nakládat s tímto zbožím: </w:t>
      </w:r>
      <w:r>
        <w:rPr>
          <w:rStyle w:val="CharStyle3"/>
          <w:b/>
          <w:bCs/>
        </w:rPr>
        <w:t xml:space="preserve">4 ks analyzátoru pro monitoring laktátu, hemoglobinu a hematokritu. </w:t>
      </w:r>
      <w:r>
        <w:rPr>
          <w:rStyle w:val="CharStyle3"/>
        </w:rPr>
        <w:t>Bližší specifikace tohoto zboží je uvedena v příloze č. 1, která je nedílnou součástí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Prodávající prodává zboží podle čl. 1 této smlouvy se všemi jejich součástmi a příslušenstvím kupujícímu, a kupující kupuje toto zboží do vlastnictví Jihomoravského kraje, jako jeho zřizovatele, za kupní cenu podle čl. 6 této smlouvy. Místem plnění závazku prodávajícího je sídlo kupujícího podle záhlaví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Součástí dodávky zboží dle čl. 1 této smlouvy je také dodání veškerých návodů k obsluze, odpovídající technické dokumentace v tištěné a datové podobě, dodání dokladů prokazujících kvalitu a schválení pro užívání v České republice, zejm. dodání příslušných atestů, certifikátů a prohlášení o shodě, to vše v českém jazyce.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 xml:space="preserve">Prodávající se zavazuje splnit svůj závazek k dodání zboží podle čl. 1 této smlouvy ve lhůtě nejpozději do </w:t>
      </w:r>
      <w:r>
        <w:rPr>
          <w:rStyle w:val="CharStyle3"/>
          <w:b/>
          <w:bCs/>
        </w:rPr>
        <w:t xml:space="preserve">4 týdnů </w:t>
      </w:r>
      <w:r>
        <w:rPr>
          <w:rStyle w:val="CharStyle3"/>
        </w:rPr>
        <w:t>od účinnosti kupní smlouvy dle čl. 16 této smlouvy. Závazek prodávajícího k dodání zboží podle čl. 1 této smlouvy se pak považuje za splněný dnem předání a převzetí tohoto zboží, prostého všech vad, formou písemného předávacího protokolu, podepsaného oběma stranami.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Nebezpečí škody na převáděném zboží a vlastnické právo k tomuto zboží přechází z prodávajícího na kupujícího dnem splnění závazku prodávajícího k dodání tohoto zboží způsobem podle čl. 4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 xml:space="preserve">Kupující se zavazuje zaplatit prodávajícímu za předmět koupě a prodeje podle čl. 1 této smlouvy kupní cenu ve výši celkem </w:t>
      </w:r>
      <w:r>
        <w:rPr>
          <w:rStyle w:val="CharStyle3"/>
          <w:b/>
          <w:bCs/>
        </w:rPr>
        <w:t xml:space="preserve">80 960,- Kč bez DPH, </w:t>
      </w:r>
      <w:r>
        <w:rPr>
          <w:rStyle w:val="CharStyle3"/>
        </w:rPr>
        <w:t xml:space="preserve">tj. celkem </w:t>
      </w:r>
      <w:r>
        <w:rPr>
          <w:rStyle w:val="CharStyle3"/>
          <w:b/>
          <w:bCs/>
        </w:rPr>
        <w:t xml:space="preserve">96 331,88 Kč včetně DPH. </w:t>
      </w:r>
      <w:r>
        <w:rPr>
          <w:rStyle w:val="CharStyle3"/>
        </w:rPr>
        <w:t>Součástí této ceny jsou veškeré náklady prodávajícího na splnění jeho závazku k dodání zboží podle této smlouvy a daň z přidané hodnoty v sazbě podle zákona. Změna ceny je možná pouze v případě zákonné změny sazby DPH.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Kupní cena podle čl. 6 této smlouvy je splatná do rukou nebo na účet prodávajícího po splnění závazku prodávajícího k dodání zboží podle čl. 1 této smlouvy způsobem podle čl. 4 této smlouvy ve lhůtě do 30 dnů ode dne doručení jejího písemného vyúčtování (faktury/daňového dokladu). Faktura bude doručena elektronicky na e-mail:</w:t>
      </w:r>
      <w:r>
        <w:rPr>
          <w:rStyle w:val="CharStyle3"/>
          <w:shd w:val="clear" w:color="auto" w:fill="000000"/>
        </w:rPr>
        <w:t>.</w:t>
      </w:r>
      <w:r>
        <w:rPr>
          <w:rStyle w:val="CharStyle3"/>
          <w:u w:val="single"/>
          <w:shd w:val="clear" w:color="auto" w:fill="000000"/>
          <w:lang w:val="en-US" w:eastAsia="en-US" w:bidi="en-US"/>
        </w:rPr>
        <w:t>​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3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3"/>
          <w:shd w:val="clear" w:color="auto" w:fill="000000"/>
          <w:lang w:val="en-US" w:eastAsia="en-US" w:bidi="en-US"/>
        </w:rPr>
        <w:t>.</w:t>
      </w:r>
      <w:r>
        <w:rPr>
          <w:rStyle w:val="CharStyle3"/>
          <w:shd w:val="clear" w:color="auto" w:fill="000000"/>
        </w:rPr>
        <w:t>​...</w:t>
      </w:r>
      <w:r>
        <w:rPr>
          <w:rStyle w:val="CharStyle3"/>
          <w:u w:val="single"/>
          <w:shd w:val="clear" w:color="auto" w:fill="000000"/>
          <w:lang w:val="en-US" w:eastAsia="en-US" w:bidi="en-US"/>
        </w:rPr>
        <w:t>​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..........................</w:t>
      </w:r>
      <w:r>
        <w:rPr>
          <w:rStyle w:val="CharStyle3"/>
          <w:spacing w:val="2"/>
          <w:u w:val="single"/>
          <w:shd w:val="clear" w:color="auto" w:fill="000000"/>
          <w:lang w:val="en-US" w:eastAsia="en-US" w:bidi="en-US"/>
        </w:rPr>
        <w:t>......</w:t>
      </w:r>
      <w:r>
        <w:rPr>
          <w:rStyle w:val="CharStyle3"/>
          <w:color w:val="7293D4"/>
          <w:lang w:val="en-US" w:eastAsia="en-US" w:bidi="en-US"/>
        </w:rPr>
        <w:t xml:space="preserve">. </w:t>
      </w:r>
      <w:r>
        <w:rPr>
          <w:rStyle w:val="CharStyle3"/>
        </w:rPr>
        <w:t xml:space="preserve">Na faktuře musí být mimo jiné vždy uvedeno toto číslo veřejné zakázky, ke které se faktura vztahuje: </w:t>
      </w:r>
      <w:r>
        <w:rPr>
          <w:rStyle w:val="CharStyle3"/>
          <w:b/>
          <w:bCs/>
        </w:rPr>
        <w:t xml:space="preserve">P25V00003525 </w:t>
      </w:r>
      <w:r>
        <w:rPr>
          <w:rStyle w:val="CharStyle3"/>
        </w:rPr>
        <w:t>Přílohou faktury bude rovněž kopie písemného předávacího protokolu poaepsaného oběma stranami. Nebude-ii faktura splňovat veškeré náležitosti daňového dokladu podle zákona a další náležitosti podle této smlouvy, je kupující oprávněn vrátit takovou fakturu prodávajícímu k opravě, přičemž doba její splatnosti začne znovu celá běžet ode dne doručení opravené faktury kupujícímu.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S převodem zboží podle čl. 1 této smlouvy je spojena záruka za jeho jakost v trvání 24 měsíců. V rámci této záruky se prodávající zavazuje bezplatně odstraňovat vady na zboží podle čl. 1 této smlouvy ve lhůtě do 5 pracovních dní od doručení příslušné reklamace kupujícího. Za odstranění vady v uvedené lhůtě se přitom považuje i zapůjčení náhradního srovnatelného plnění v této lhůtě, a to na dobu nezbytnou k odstranění reklamované vady.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Pro případ sporu o oprávněnost reklamace se kupujícímu vyhrazuje právo nechat vyhotovit k prověření jakosti zboží soudně znalecký posudek, jehož výroku se obě strany zavazují podřizovat s tím, že náklady na vyhotovení tohoto posudku se zavazuje nést ten účastník tohoto sporu, kterému tento posudek nedal zapravdu.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Nepřikročí-li prodávající k odstranění vady ve lhůtě podle čl. 8 této smlouvy nebo v něm z důvodů na své straně nepokračuje, a to ani po písemné výzvě ze strany kupujícího, je kupující oprávněn nechat provést toto odstranění třetí osobou na náklady prodávajícího.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Pro případ prodlení se splněním jeho závazku k dodání zboží ve lhůtě podle čl. 4 této smlouvy a pro případ jeho prodlení s odstraněním vady ve lhůtě podle čl. 8 této smlouvy se prodávající zavazuje platit kupujícímu smluvní pokutu ve výši 0,1 % z kupní ceny podle čl. 5 této smlouvy za každý započatý den tohoto prodlení.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Pro případ prodlení se splněním jeho závazku k dodání zboží ve lhůtě podle čl. 4 této smlouvy o více, než 2 týdny nebo pro případ výskytu neodstranitelné vady resp. výskytu tří a více vad, a i to postupně, je kupující oprávněn odstoupit od této smlouvy s účinky ex tunc.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Pro případ prodlení kupujícího se zaplacením kupní ceny nebo její části ve lhůtě podle čl. 7 této smlouvy o víc, než 2 týdny, je prodávající oprávněn od této smlouvy odstoupit s účinky ex tunc.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Není-li touto smlouvou ujednáno jinak, řídí se vzájemný právní vztah mezi kupujícím a prodávajícím při realizaci této smlouvy ust. § 2079 a násl. občanského zákoníku.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Předpokladem uzavření této smlouvy je její písemná forma a dohoda o jejích podstatných náležitostech, čímž se rozumí celý obsah této smlouvy, jak je uveden v čl. 1 až 21 této smlouvy. Kupující přitom předem vylučuje přijetí tohoto návrhu s dodatkem nebo odchylkou ve smyslu ust. par. 1740 odst. 3 občanského zákoníku.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 xml:space="preserve">Prodávající bere na vědomí a souhlasí s tím, aby kupující uveřejnil tuto smlouvu v registru smluv v souladu s ustanoveními zákona č. 340/2015 Sb., o </w:t>
      </w:r>
      <w:r>
        <w:rPr>
          <w:rStyle w:val="CharStyle3"/>
          <w:i/>
          <w:iCs/>
          <w:sz w:val="17"/>
          <w:szCs w:val="17"/>
        </w:rPr>
        <w:t>registru smluv,</w:t>
      </w:r>
      <w:r>
        <w:rPr>
          <w:rStyle w:val="CharStyle3"/>
        </w:rPr>
        <w:t xml:space="preserve"> ve znění pozdějších předpisů.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>Tuto smlouvu lze změnit nebo zrušit pouze jinou písemnou dohodou obou smluvních stran.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>Tato smlouva nabývá účinnosti dnem jejího uveřejnění v registru smluv dle čl. 16.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80" w:right="0" w:hanging="480"/>
        <w:jc w:val="both"/>
      </w:pPr>
      <w:r>
        <w:rPr>
          <w:rStyle w:val="CharStyle3"/>
        </w:rPr>
        <w:t xml:space="preserve">Prodávající uděluje kupujícímu svůj výslovný souhlas se zveřejněním podmínek této smlouvy v rozsahu a za podmínek vyplývajících z příslušných právních předpisů (zejména zákona č. 106/1999 Sb., o </w:t>
      </w:r>
      <w:r>
        <w:rPr>
          <w:rStyle w:val="CharStyle3"/>
          <w:i/>
          <w:iCs/>
          <w:sz w:val="17"/>
          <w:szCs w:val="17"/>
        </w:rPr>
        <w:t>svobodném přístupu k informacím, v</w:t>
      </w:r>
      <w:r>
        <w:rPr>
          <w:rStyle w:val="CharStyle3"/>
        </w:rPr>
        <w:t xml:space="preserve"> platném znění).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80" w:right="0" w:hanging="480"/>
        <w:jc w:val="both"/>
      </w:pPr>
      <w:r>
        <w:rPr>
          <w:rStyle w:val="CharStyle3"/>
        </w:rPr>
        <w:t>Tato smlouva se vyhotovuje ve dvou stejnopisech s platností originálu, z nichž každá ze smluvních stran obdrží jedno vyhotovení. V případě, že je tato smlouva uzavřena elektronickými prostředky, obdrží každá smluvní strana jeden identický elektronický soubor.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rStyle w:val="CharStyle3"/>
        </w:rPr>
        <w:t>Nedílnou součástí této smlouvy jsou následující přílohy: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left"/>
      </w:pPr>
      <w:r>
        <w:rPr>
          <w:rStyle w:val="CharStyle3"/>
        </w:rPr>
        <w:t>Příloha č. 1 Specifikace</w:t>
      </w:r>
    </w:p>
    <w:p>
      <w:pPr>
        <w:widowControl w:val="0"/>
        <w:spacing w:line="1" w:lineRule="exact"/>
        <w:sectPr>
          <w:headerReference w:type="default" r:id="rId5"/>
          <w:footerReference w:type="default" r:id="rId6"/>
          <w:headerReference w:type="first" r:id="rId7"/>
          <w:footerReference w:type="first" r:id="rId8"/>
          <w:footnotePr>
            <w:pos w:val="pageBottom"/>
            <w:numFmt w:val="decimal"/>
            <w:numRestart w:val="continuous"/>
          </w:footnotePr>
          <w:pgSz w:w="11900" w:h="16840"/>
          <w:pgMar w:top="1572" w:right="1560" w:bottom="2222" w:left="1388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mc:AlternateContent>
          <mc:Choice Requires="wps">
            <w:drawing>
              <wp:anchor distT="473710" distB="0" distL="0" distR="0" simplePos="0" relativeHeight="125829378" behindDoc="0" locked="0" layoutInCell="1" allowOverlap="1">
                <wp:simplePos x="0" y="0"/>
                <wp:positionH relativeFrom="page">
                  <wp:posOffset>917575</wp:posOffset>
                </wp:positionH>
                <wp:positionV relativeFrom="paragraph">
                  <wp:posOffset>473710</wp:posOffset>
                </wp:positionV>
                <wp:extent cx="1332230" cy="14922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3223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04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V Brně dne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2.25pt;margin-top:37.300000000000004pt;width:104.90000000000001pt;height:11.75pt;z-index:-125829375;mso-wrap-distance-left:0;mso-wrap-distance-top:37.300000000000004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04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Brně dne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06400" distB="64135" distL="0" distR="0" simplePos="0" relativeHeight="125829380" behindDoc="0" locked="0" layoutInCell="1" allowOverlap="1">
                <wp:simplePos x="0" y="0"/>
                <wp:positionH relativeFrom="page">
                  <wp:posOffset>4224655</wp:posOffset>
                </wp:positionH>
                <wp:positionV relativeFrom="paragraph">
                  <wp:posOffset>406400</wp:posOffset>
                </wp:positionV>
                <wp:extent cx="1432560" cy="15240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3256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Ve Praze dne 13.10.2025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32.65000000000003pt;margin-top:32.pt;width:112.8pt;height:12.pt;z-index:-125829373;mso-wrap-distance-left:0;mso-wrap-distance-top:32.pt;mso-wrap-distance-right:0;mso-wrap-distance-bottom:5.0499999999999998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Ve Praze dne 13.10.2025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" w:after="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603" w:right="0" w:bottom="5039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655320" distL="168910" distR="114935" simplePos="0" relativeHeight="125829382" behindDoc="0" locked="0" layoutInCell="1" allowOverlap="1">
                <wp:simplePos x="0" y="0"/>
                <wp:positionH relativeFrom="page">
                  <wp:posOffset>4285615</wp:posOffset>
                </wp:positionH>
                <wp:positionV relativeFrom="paragraph">
                  <wp:posOffset>12700</wp:posOffset>
                </wp:positionV>
                <wp:extent cx="1746250" cy="502920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46250" cy="502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81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6"/>
                                <w:b/>
                                <w:bCs/>
                                <w:sz w:val="19"/>
                                <w:szCs w:val="19"/>
                              </w:rPr>
                              <w:t>lanka</w:t>
                              <w:tab/>
                            </w:r>
                            <w:r>
                              <w:rPr>
                                <w:rStyle w:val="CharStyle36"/>
                              </w:rPr>
                              <w:t>* Digitálně podepsal</w:t>
                            </w:r>
                          </w:p>
                          <w:p>
                            <w:pPr>
                              <w:pStyle w:val="Style3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81" w:val="left"/>
                              </w:tabs>
                              <w:bidi w:val="0"/>
                              <w:spacing w:before="0" w:after="0" w:line="1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6"/>
                                <w:b/>
                                <w:bCs/>
                                <w:sz w:val="19"/>
                                <w:szCs w:val="19"/>
                              </w:rPr>
                              <w:t>Lc 11 Kd</w:t>
                              <w:tab/>
                            </w:r>
                            <w:r>
                              <w:rPr>
                                <w:rStyle w:val="CharStyle36"/>
                              </w:rPr>
                              <w:t>Alenka Habaiová</w:t>
                            </w:r>
                          </w:p>
                          <w:p>
                            <w:pPr>
                              <w:pStyle w:val="Style3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5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6"/>
                                <w:b/>
                                <w:bCs/>
                                <w:sz w:val="19"/>
                                <w:szCs w:val="19"/>
                              </w:rPr>
                              <w:t>11 U |</w:t>
                              <w:tab/>
                            </w:r>
                            <w:r>
                              <w:rPr>
                                <w:rStyle w:val="CharStyle36"/>
                              </w:rPr>
                              <w:t>Datum: 2025.10.13</w:t>
                            </w:r>
                          </w:p>
                          <w:p>
                            <w:pPr>
                              <w:pStyle w:val="Style3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9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6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naUdlOVd </w:t>
                            </w:r>
                            <w:r>
                              <w:rPr>
                                <w:rStyle w:val="CharStyle36"/>
                              </w:rPr>
                              <w:t>16:3235 +02'00'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37.44999999999999pt;margin-top:1.pt;width:137.5pt;height:39.600000000000001pt;z-index:-125829371;mso-wrap-distance-left:13.300000000000001pt;mso-wrap-distance-right:9.0500000000000007pt;mso-wrap-distance-bottom:51.600000000000001pt;mso-position-horizontal-relative:page" filled="f" stroked="f">
                <v:textbox inset="0,0,0,0">
                  <w:txbxContent>
                    <w:p>
                      <w:pPr>
                        <w:pStyle w:val="Style3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8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6"/>
                          <w:b/>
                          <w:bCs/>
                          <w:sz w:val="19"/>
                          <w:szCs w:val="19"/>
                        </w:rPr>
                        <w:t>lanka</w:t>
                        <w:tab/>
                      </w:r>
                      <w:r>
                        <w:rPr>
                          <w:rStyle w:val="CharStyle36"/>
                        </w:rPr>
                        <w:t>* Digitálně podepsal</w:t>
                      </w:r>
                    </w:p>
                    <w:p>
                      <w:pPr>
                        <w:pStyle w:val="Style3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81" w:val="left"/>
                        </w:tabs>
                        <w:bidi w:val="0"/>
                        <w:spacing w:before="0" w:after="0" w:line="18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6"/>
                          <w:b/>
                          <w:bCs/>
                          <w:sz w:val="19"/>
                          <w:szCs w:val="19"/>
                        </w:rPr>
                        <w:t>Lc 11 Kd</w:t>
                        <w:tab/>
                      </w:r>
                      <w:r>
                        <w:rPr>
                          <w:rStyle w:val="CharStyle36"/>
                        </w:rPr>
                        <w:t>Alenka Habaiová</w:t>
                      </w:r>
                    </w:p>
                    <w:p>
                      <w:pPr>
                        <w:pStyle w:val="Style3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5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6"/>
                          <w:b/>
                          <w:bCs/>
                          <w:sz w:val="19"/>
                          <w:szCs w:val="19"/>
                        </w:rPr>
                        <w:t>11 U |</w:t>
                        <w:tab/>
                      </w:r>
                      <w:r>
                        <w:rPr>
                          <w:rStyle w:val="CharStyle36"/>
                        </w:rPr>
                        <w:t>Datum: 2025.10.13</w:t>
                      </w:r>
                    </w:p>
                    <w:p>
                      <w:pPr>
                        <w:pStyle w:val="Style3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4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6"/>
                          <w:b/>
                          <w:bCs/>
                          <w:sz w:val="19"/>
                          <w:szCs w:val="19"/>
                        </w:rPr>
                        <w:t xml:space="preserve">naUdlOVd </w:t>
                      </w:r>
                      <w:r>
                        <w:rPr>
                          <w:rStyle w:val="CharStyle36"/>
                        </w:rPr>
                        <w:t>16:3235 +02'00'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719455" distB="0" distL="114300" distR="992505" simplePos="0" relativeHeight="125829384" behindDoc="0" locked="0" layoutInCell="1" allowOverlap="1">
                <wp:simplePos x="0" y="0"/>
                <wp:positionH relativeFrom="page">
                  <wp:posOffset>4231005</wp:posOffset>
                </wp:positionH>
                <wp:positionV relativeFrom="paragraph">
                  <wp:posOffset>732155</wp:posOffset>
                </wp:positionV>
                <wp:extent cx="923290" cy="438785"/>
                <wp:wrapSquare wrapText="lef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3290" cy="4387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Lenka Habaiová Prokurista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33.15000000000003pt;margin-top:57.649999999999999pt;width:72.700000000000003pt;height:34.550000000000004pt;z-index:-125829369;mso-wrap-distance-left:9.pt;mso-wrap-distance-top:56.649999999999999pt;mso-wrap-distance-right:78.15000000000000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Lenka Habaiová Prokurista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Prodávající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00" w:right="0" w:firstLine="0"/>
        <w:jc w:val="left"/>
        <w:rPr>
          <w:sz w:val="14"/>
          <w:szCs w:val="14"/>
        </w:rPr>
      </w:pPr>
      <w:r>
        <w:rPr>
          <w:rStyle w:val="CharStyle36"/>
          <w:sz w:val="14"/>
          <w:szCs w:val="14"/>
        </w:rPr>
        <w:t>( Digitálně podepsaiMUDr.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4"/>
          <w:szCs w:val="14"/>
        </w:rPr>
      </w:pPr>
      <w:r>
        <w:rPr>
          <w:rStyle w:val="CharStyle36"/>
          <w:sz w:val="19"/>
          <w:szCs w:val="19"/>
        </w:rPr>
        <w:t xml:space="preserve">IVIU UF. nana </w:t>
      </w:r>
      <w:r>
        <w:rPr>
          <w:rStyle w:val="CharStyle36"/>
          <w:sz w:val="14"/>
          <w:szCs w:val="14"/>
        </w:rPr>
        <w:t>^</w:t>
      </w:r>
      <w:r>
        <w:rPr>
          <w:rStyle w:val="CharStyle36"/>
          <w:sz w:val="14"/>
          <w:szCs w:val="14"/>
          <w:vertAlign w:val="subscript"/>
        </w:rPr>
        <w:t>Hana</w:t>
      </w:r>
      <w:r>
        <w:rPr>
          <w:rStyle w:val="CharStyle36"/>
          <w:sz w:val="14"/>
          <w:szCs w:val="14"/>
        </w:rPr>
        <w:t>Albrechtová</w:t>
      </w:r>
    </w:p>
    <w:p>
      <w:pPr>
        <w:pStyle w:val="Style4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r>
        <w:rPr>
          <w:rStyle w:val="CharStyle41"/>
        </w:rPr>
        <w:t>Albrechtová/SX™'</w:t>
      </w:r>
      <w:r>
        <w:rPr>
          <w:rStyle w:val="CharStyle41"/>
          <w:vertAlign w:val="superscript"/>
        </w:rPr>
        <w:t>4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MUDr. Hana Albrechtová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ředitelka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3"/>
          <w:b/>
          <w:bCs/>
        </w:rPr>
        <w:t>Kupující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rStyle w:val="CharStyle3"/>
          <w:b/>
          <w:bCs/>
        </w:rPr>
        <w:t>Příloha č. 1 Specifikace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rStyle w:val="CharStyle3"/>
          <w:b/>
          <w:bCs/>
        </w:rPr>
        <w:t>Analyzátor pro monitoring faktátu, hemoglobinu a hematokritu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20" w:right="0" w:hanging="2120"/>
        <w:jc w:val="left"/>
      </w:pPr>
      <w:r>
        <w:rPr>
          <w:rStyle w:val="CharStyle3"/>
        </w:rPr>
        <w:t>Obchodní název. 60873 StatStrip Xpress 2 Lac/Hb/Hct Meter (jednotky laktát: mmoi/I, Hb: g/1, Hct: %)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99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Výrobce:</w:t>
        <w:tab/>
        <w:t>Nova Biomedical, USA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997" w:val="left"/>
        </w:tabs>
        <w:bidi w:val="0"/>
        <w:spacing w:before="0" w:after="200" w:line="240" w:lineRule="auto"/>
        <w:ind w:left="0" w:right="0" w:firstLine="0"/>
        <w:jc w:val="left"/>
      </w:pPr>
      <w:r>
        <w:rPr>
          <w:rStyle w:val="CharStyle3"/>
        </w:rPr>
        <w:t>Počet ks:</w:t>
        <w:tab/>
      </w:r>
      <w:r>
        <w:rPr>
          <w:rStyle w:val="CharStyle3"/>
          <w:b/>
          <w:bCs/>
        </w:rPr>
        <w:t>4</w:t>
      </w:r>
    </w:p>
    <w:tbl>
      <w:tblPr>
        <w:tblOverlap w:val="never"/>
        <w:jc w:val="center"/>
        <w:tblLayout w:type="fixed"/>
      </w:tblPr>
      <w:tblGrid>
        <w:gridCol w:w="619"/>
        <w:gridCol w:w="8645"/>
      </w:tblGrid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P.Č.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Specifikace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  <w:b/>
                <w:bCs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Měřené parametry: laktát, hemoglobin a hematoktrit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  <w:b/>
                <w:bCs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Objem vzorku: 0,6 pl laktát, 1,6 pl Hb/Hct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  <w:b/>
                <w:bCs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Doba měření: 13 s laktát, 40 s Hb/Hct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  <w:b/>
                <w:bCs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Metoda měření: elektrochemická, proužková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  <w:b/>
                <w:bCs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Typy vzorku: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400"/>
              <w:jc w:val="left"/>
            </w:pPr>
            <w:r>
              <w:rPr>
                <w:rStyle w:val="CharStyle13"/>
              </w:rPr>
              <w:t>• laktát - plná krev kapilární, arteriální, venózni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300"/>
              <w:jc w:val="left"/>
            </w:pPr>
            <w:r>
              <w:rPr>
                <w:rStyle w:val="CharStyle13"/>
              </w:rPr>
              <w:t>• • Hb/Hct - plná krev kapilární, venózni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  <w:b/>
                <w:bCs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Použitelný antikoagulant heparin sodný, líthný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  <w:b/>
                <w:bCs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Displej: barevný, podsvícený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  <w:b/>
                <w:bCs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Měřící rozsah: hemoglobin (65-220 g/i), hematokrit 20% - 65%, laktát 0,3 - 20,0 mmol/l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  <w:b/>
                <w:bCs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Rozměry: 98 x 61 x 23 mm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  <w:b/>
                <w:bCs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Hmotnost: do 80 g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  <w:b/>
                <w:bCs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Baterie: 2x AAA alkalická výměnná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  <w:b/>
                <w:bCs/>
              </w:rPr>
              <w:t>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Paměť na ukládání výsledků - Vzorky pacientů a QC: 400</w:t>
            </w:r>
          </w:p>
        </w:tc>
      </w:tr>
      <w:tr>
        <w:trPr>
          <w:trHeight w:val="13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  <w:b/>
                <w:bCs/>
              </w:rPr>
              <w:t>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Součást dodávky ke každému ks dodaného přístroje: </w:t>
            </w:r>
            <w:r>
              <w:rPr>
                <w:rStyle w:val="CharStyle13"/>
                <w:u w:val="single"/>
              </w:rPr>
              <w:t>pro stanovení laktátu</w:t>
            </w:r>
            <w:r>
              <w:rPr>
                <w:rStyle w:val="CharStyle13"/>
              </w:rPr>
              <w:t>:</w:t>
            </w:r>
          </w:p>
          <w:p>
            <w:pPr>
              <w:pStyle w:val="Style12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736" w:val="left"/>
              </w:tabs>
              <w:bidi w:val="0"/>
              <w:spacing w:before="0" w:after="0" w:line="240" w:lineRule="auto"/>
              <w:ind w:left="760" w:right="0" w:hanging="360"/>
              <w:jc w:val="left"/>
            </w:pPr>
            <w:r>
              <w:rPr>
                <w:rStyle w:val="CharStyle13"/>
              </w:rPr>
              <w:t>Balení měřících proužků: 50 ks (2 nádobky s 25 proužky) Stabilita 3 měsíce po prvním otevření nádobky.</w:t>
            </w:r>
          </w:p>
          <w:p>
            <w:pPr>
              <w:pStyle w:val="Style12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736" w:val="left"/>
              </w:tabs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3"/>
              </w:rPr>
              <w:t>Kontrolní roztok Level 1</w:t>
            </w:r>
          </w:p>
          <w:p>
            <w:pPr>
              <w:pStyle w:val="Style12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736" w:val="left"/>
              </w:tabs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3"/>
              </w:rPr>
              <w:t>Kontrolní roztok Level 2</w:t>
            </w:r>
          </w:p>
        </w:tc>
      </w:tr>
      <w:tr>
        <w:trPr>
          <w:trHeight w:val="126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  <w:b/>
                <w:bCs/>
              </w:rPr>
              <w:t>14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Součást dodávky ke každému ks dodaného přístroje: </w:t>
            </w:r>
            <w:r>
              <w:rPr>
                <w:rStyle w:val="CharStyle13"/>
                <w:u w:val="single"/>
              </w:rPr>
              <w:t>pro stanovení Bh/Hct</w:t>
            </w:r>
            <w:r>
              <w:rPr>
                <w:rStyle w:val="CharStyle13"/>
              </w:rPr>
              <w:t>:</w:t>
            </w:r>
          </w:p>
          <w:p>
            <w:pPr>
              <w:pStyle w:val="Style12"/>
              <w:keepNext w:val="0"/>
              <w:keepLines w:val="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pos="741" w:val="left"/>
              </w:tabs>
              <w:bidi w:val="0"/>
              <w:spacing w:before="0" w:after="0" w:line="240" w:lineRule="auto"/>
              <w:ind w:left="760" w:right="0" w:hanging="360"/>
              <w:jc w:val="left"/>
            </w:pPr>
            <w:r>
              <w:rPr>
                <w:rStyle w:val="CharStyle13"/>
              </w:rPr>
              <w:t>Balení měřících proužků: 50 ks (2 nádobky s 25 proužky) Stabilita 3 měsíce po prvním otevření nádobky.</w:t>
            </w:r>
          </w:p>
          <w:p>
            <w:pPr>
              <w:pStyle w:val="Style12"/>
              <w:keepNext w:val="0"/>
              <w:keepLines w:val="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pos="741" w:val="left"/>
              </w:tabs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3"/>
              </w:rPr>
              <w:t>Kontrolní roztok Level 1</w:t>
            </w:r>
          </w:p>
          <w:p>
            <w:pPr>
              <w:pStyle w:val="Style12"/>
              <w:keepNext w:val="0"/>
              <w:keepLines w:val="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pos="741" w:val="left"/>
              </w:tabs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3"/>
              </w:rPr>
              <w:t>Kontrolní roztok Level 2</w:t>
            </w:r>
          </w:p>
        </w:tc>
      </w:tr>
    </w:tbl>
    <w:sectPr>
      <w:footnotePr>
        <w:pos w:val="pageBottom"/>
        <w:numFmt w:val="decimal"/>
        <w:numRestart w:val="continuous"/>
      </w:footnotePr>
      <w:type w:val="continuous"/>
      <w:pgSz w:w="11900" w:h="16840"/>
      <w:pgMar w:top="1603" w:right="1218" w:bottom="5039" w:left="1417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946785</wp:posOffset>
              </wp:positionH>
              <wp:positionV relativeFrom="page">
                <wp:posOffset>9952990</wp:posOffset>
              </wp:positionV>
              <wp:extent cx="3669665" cy="11557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69665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Veřejná zakázka 45_2025: Analyzátory laktátu, hemoglobinu a hematokritu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4.549999999999997pt;margin-top:783.70000000000005pt;width:288.94999999999999pt;height:9.0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45_2025: Analyzátory laktátu, hemoglobinu a hematokritu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925195</wp:posOffset>
              </wp:positionH>
              <wp:positionV relativeFrom="page">
                <wp:posOffset>9913620</wp:posOffset>
              </wp:positionV>
              <wp:extent cx="3669665" cy="11874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69665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Veřejná zakázka 45J2025: Analyzátory laktátu, hemoglobinu a hematokritu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72.850000000000009pt;margin-top:780.60000000000002pt;width:288.94999999999999pt;height:9.3499999999999996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45J2025: Analyzátory laktátu, hemoglobinu a hematokritu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5756275</wp:posOffset>
              </wp:positionH>
              <wp:positionV relativeFrom="page">
                <wp:posOffset>705485</wp:posOffset>
              </wp:positionV>
              <wp:extent cx="557530" cy="11303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57530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2025007935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53.25pt;margin-top:55.550000000000004pt;width:43.899999999999999pt;height:8.9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>2025007935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Záhlaví nebo zápatí (2)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Titulek tabulky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Jiné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6">
    <w:name w:val="Základní text (2)_"/>
    <w:basedOn w:val="DefaultParagraphFont"/>
    <w:link w:val="Style3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41">
    <w:name w:val="Nadpis #1_"/>
    <w:basedOn w:val="DefaultParagraphFont"/>
    <w:link w:val="Style4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5">
    <w:name w:val="Záhlaví nebo zápatí (2)"/>
    <w:basedOn w:val="Normal"/>
    <w:link w:val="CharStyle6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Titulek tabulky"/>
    <w:basedOn w:val="Normal"/>
    <w:link w:val="CharStyle10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2">
    <w:name w:val="Jiné"/>
    <w:basedOn w:val="Normal"/>
    <w:link w:val="CharStyle13"/>
    <w:pPr>
      <w:widowControl w:val="0"/>
      <w:shd w:val="clear" w:color="auto" w:fill="auto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35">
    <w:name w:val="Základní text (2)"/>
    <w:basedOn w:val="Normal"/>
    <w:link w:val="CharStyle36"/>
    <w:pPr>
      <w:widowControl w:val="0"/>
      <w:shd w:val="clear" w:color="auto" w:fill="auto"/>
      <w:spacing w:line="21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0">
    <w:name w:val="Nadpis #1"/>
    <w:basedOn w:val="Normal"/>
    <w:link w:val="CharStyle41"/>
    <w:pPr>
      <w:widowControl w:val="0"/>
      <w:shd w:val="clear" w:color="auto" w:fill="auto"/>
      <w:spacing w:after="14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