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7E0B" w14:textId="1E351E9D" w:rsidR="00EF4D9A" w:rsidRPr="005F1FA4" w:rsidRDefault="00EF4D9A" w:rsidP="00EF4D9A">
      <w:pPr>
        <w:pageBreakBefore/>
      </w:pPr>
      <w:r w:rsidRPr="005F1FA4">
        <w:t>Příloha č. 5</w:t>
      </w:r>
    </w:p>
    <w:p w14:paraId="28AA29BD" w14:textId="0C7E3BD2" w:rsidR="00EF4D9A" w:rsidRPr="005F1FA4" w:rsidRDefault="00EF4D9A" w:rsidP="00EF4D9A">
      <w:pPr>
        <w:jc w:val="center"/>
        <w:rPr>
          <w:b/>
          <w:bCs/>
        </w:rPr>
      </w:pPr>
      <w:r w:rsidRPr="005F1FA4">
        <w:rPr>
          <w:b/>
          <w:bCs/>
        </w:rPr>
        <w:t>Harmonogram migrace</w:t>
      </w:r>
    </w:p>
    <w:p w14:paraId="0E9FC115" w14:textId="77777777" w:rsidR="00470128" w:rsidRPr="00856248" w:rsidRDefault="00470128" w:rsidP="00470128">
      <w:pPr>
        <w:spacing w:before="100" w:after="100"/>
      </w:pPr>
      <w:r w:rsidRPr="00856248">
        <w:t>Dodavatel (jakožto přejímající poskytovatel služeb) zajistí přenesení současných telefonních čísel od poskytovatele dosud zajišťujícího zákazníkovi služby (dále jako „opouštěný poskytovatel“) v souladu se zákonem č.127/2005 Sb., o elektronických komunikacích a o změně některých souvisejících předpisů, ve znění pozdějších předpisů (dále jen „</w:t>
      </w:r>
      <w:proofErr w:type="spellStart"/>
      <w:r w:rsidRPr="00856248">
        <w:t>ZoEK</w:t>
      </w:r>
      <w:proofErr w:type="spellEnd"/>
      <w:r w:rsidRPr="00856248">
        <w:t>“). Současně s uzavřením smlouvy na základní službu (nebo později, pokud se na tom zákazník s poskytovatelem dohodne) si zákazník k poskytovateli může přenést své telefonní číslo od opouštěného poskytovatele.</w:t>
      </w:r>
    </w:p>
    <w:p w14:paraId="21BEFE80" w14:textId="77777777" w:rsidR="00470128" w:rsidRPr="00856248" w:rsidRDefault="00470128" w:rsidP="00470128">
      <w:pPr>
        <w:spacing w:before="100" w:after="100"/>
      </w:pPr>
      <w:r w:rsidRPr="00856248">
        <w:t xml:space="preserve">V souladu s novelou zákona o elektronických komunikacích č. 311/2019 Sb. v platném znění je pro tento proces stanovena lhůta v délce 3 pracovní dny ode dne, kdy poskytovatel požádá o přenesení telefonních čísel opouštěného poskytovatele, nesjedná-li zákazník s přejímajícím poskytovatelem pozdější termín. Poskytovatel je dle </w:t>
      </w:r>
      <w:proofErr w:type="spellStart"/>
      <w:r w:rsidRPr="00856248">
        <w:t>ZoEK</w:t>
      </w:r>
      <w:proofErr w:type="spellEnd"/>
      <w:r w:rsidRPr="00856248">
        <w:t xml:space="preserve"> povinen požádat opouštěného poskytovatele o přenesení telefonního čísla do jednoho pracovního dne poté, co o přenesení telefonního čísla požádá zákazník poskytovatele. Tento proces může tedy proběhnout nejdříve ve lhůtě 4 dnů od uzavření smlouvy na poskytování služby elektronických komunikací mezi poskytovatelem a zákazníkem a sdělení OKU/ČVOP zákazníkem poskytovateli, není-li sjednán termín pozdější.</w:t>
      </w:r>
    </w:p>
    <w:p w14:paraId="37362CFF" w14:textId="77777777" w:rsidR="00470128" w:rsidRPr="00856248" w:rsidRDefault="00470128" w:rsidP="00470128">
      <w:pPr>
        <w:spacing w:before="100" w:after="100"/>
      </w:pPr>
      <w:r w:rsidRPr="00856248">
        <w:t>Dodavatel zajistí přenesení stávajících telefonních čísel zákazníka do své sítě v souladu se zákonnými požadavky vždy bezplatně.</w:t>
      </w:r>
    </w:p>
    <w:p w14:paraId="34690AD4" w14:textId="77777777" w:rsidR="00470128" w:rsidRPr="00856248" w:rsidRDefault="00470128" w:rsidP="00470128">
      <w:pPr>
        <w:spacing w:before="100" w:after="100"/>
      </w:pPr>
      <w:r w:rsidRPr="00856248">
        <w:t>V průběhu procesu přenosu čísel mezi poskytovateli nedojde k přerušení poskytování služeb nad rámec upravený Zákonem č. 127/2005 Sb. o elektronických komunikacích a o změně některých souvisejících zákonů (zákon o elektronických komunikacích).</w:t>
      </w:r>
    </w:p>
    <w:p w14:paraId="3CD138D6" w14:textId="77777777" w:rsidR="00470128" w:rsidRPr="00856248" w:rsidRDefault="00470128" w:rsidP="00470128">
      <w:pPr>
        <w:spacing w:before="100" w:after="100"/>
      </w:pPr>
      <w:r w:rsidRPr="00856248">
        <w:t>Pro přenesení telefonních čísel od 1.4.2020 stačí, když zákazník sdělí poskytovateli přenášené telefonní číslo a ověřovací kód účastníka („OKU“) pro jeho přenesení, který má zákazník k dispozici od opouštěného poskytovatele, a sjedná s poskytovatelem termín přenesení. Pod jedním kódem OKU lze přenést pouze jedno číslo.</w:t>
      </w:r>
    </w:p>
    <w:p w14:paraId="417E5112" w14:textId="77777777" w:rsidR="00470128" w:rsidRPr="00856248" w:rsidRDefault="00470128" w:rsidP="00470128">
      <w:pPr>
        <w:pStyle w:val="Odrka"/>
        <w:spacing w:before="120" w:after="0"/>
      </w:pPr>
      <w:r w:rsidRPr="00856248">
        <w:t>Ověřovací kód účastníka (dále jen „OKU“):</w:t>
      </w:r>
    </w:p>
    <w:p w14:paraId="25F8E586" w14:textId="77777777" w:rsidR="00470128" w:rsidRPr="00856248" w:rsidRDefault="00470128" w:rsidP="00470128">
      <w:pPr>
        <w:pStyle w:val="Odstavecseseznamem"/>
        <w:numPr>
          <w:ilvl w:val="0"/>
          <w:numId w:val="28"/>
        </w:numPr>
        <w:spacing w:before="0"/>
        <w:ind w:left="714" w:hanging="357"/>
        <w:jc w:val="both"/>
      </w:pPr>
      <w:r w:rsidRPr="00856248">
        <w:t>14místný číselný identifikátor přidělený ke každému zákazníkovi, který má telefonní číslo, které lze přenášet</w:t>
      </w:r>
    </w:p>
    <w:p w14:paraId="588A122E" w14:textId="77777777" w:rsidR="00470128" w:rsidRPr="00856248" w:rsidRDefault="00470128" w:rsidP="00470128">
      <w:pPr>
        <w:pStyle w:val="Odstavecseseznamem"/>
        <w:numPr>
          <w:ilvl w:val="0"/>
          <w:numId w:val="28"/>
        </w:numPr>
        <w:jc w:val="both"/>
      </w:pPr>
      <w:r w:rsidRPr="00856248">
        <w:t>slouží k ověření zákazníka a od 1.4. 2020 musí být součástí žádosti o přenos telefonního čísla</w:t>
      </w:r>
      <w:r w:rsidRPr="00856248">
        <w:rPr>
          <w:rStyle w:val="Znakapoznpodarou"/>
          <w:bCs/>
        </w:rPr>
        <w:footnoteReference w:id="1"/>
      </w:r>
    </w:p>
    <w:p w14:paraId="43E85A02" w14:textId="77777777" w:rsidR="00470128" w:rsidRPr="00856248" w:rsidRDefault="00470128" w:rsidP="00470128">
      <w:pPr>
        <w:pStyle w:val="Odstavecseseznamem"/>
        <w:numPr>
          <w:ilvl w:val="0"/>
          <w:numId w:val="28"/>
        </w:numPr>
        <w:spacing w:after="120"/>
        <w:ind w:left="714" w:hanging="357"/>
        <w:jc w:val="both"/>
      </w:pPr>
      <w:r w:rsidRPr="00856248">
        <w:t>po celou dobu trvání smlouvy s konkrétním poskytovatelem služeb elektronických komunikací je neměnný.</w:t>
      </w:r>
    </w:p>
    <w:p w14:paraId="43D1DCC3" w14:textId="77777777" w:rsidR="00470128" w:rsidRPr="00856248" w:rsidRDefault="00470128" w:rsidP="00470128">
      <w:pPr>
        <w:spacing w:after="40"/>
      </w:pPr>
      <w:r w:rsidRPr="00856248">
        <w:rPr>
          <w:b/>
          <w:bCs/>
        </w:rPr>
        <w:t>Pro přenos většího množství telefonních čísel je i nadále preferovaným identifikátorem ČVOP</w:t>
      </w:r>
      <w:r w:rsidRPr="00856248">
        <w:t xml:space="preserve"> – číslo výpovědi opouštěného poskytovatele služeb, které je vydáváno opouštěným poskytovatelem na základě žádosti zákazníka o zrušení nebo přenesení telefonního čísla služby (dále jako „ČVOP“). V takovém případě zákazník podá výpověď smlouvy o službě opouštěnému poskytovateli z důvodu přenesení telefonního čísla. Při uzavírání smlouvy s poskytovatelem (či později v termínu dohodnutém s poskytovatelem) pak zákazník uvede platné ČVOP.</w:t>
      </w:r>
    </w:p>
    <w:p w14:paraId="650EFD1A" w14:textId="77777777" w:rsidR="00470128" w:rsidRPr="00856248" w:rsidRDefault="00470128" w:rsidP="00470128">
      <w:pPr>
        <w:spacing w:before="40" w:after="0"/>
      </w:pPr>
      <w:r w:rsidRPr="00856248">
        <w:t>I po 1.4.2020 lze tedy přenášet telefonní čísla prostřednictvím ČVOP</w:t>
      </w:r>
      <w:r w:rsidRPr="00856248">
        <w:rPr>
          <w:rStyle w:val="Znakapoznpodarou"/>
          <w:b/>
          <w:bCs/>
        </w:rPr>
        <w:footnoteReference w:id="2"/>
      </w:r>
      <w:r w:rsidRPr="00856248">
        <w:t>.</w:t>
      </w:r>
    </w:p>
    <w:p w14:paraId="05A22260" w14:textId="77777777" w:rsidR="00365ECE" w:rsidRPr="006E1B94" w:rsidRDefault="00365ECE" w:rsidP="00365ECE">
      <w:pPr>
        <w:rPr>
          <w:b/>
          <w:bCs/>
        </w:rPr>
      </w:pPr>
      <w:r w:rsidRPr="006E1B94">
        <w:rPr>
          <w:b/>
          <w:bCs/>
        </w:rPr>
        <w:t>Postup přenesení telefonních čísel:</w:t>
      </w:r>
    </w:p>
    <w:p w14:paraId="2CB99C3E" w14:textId="57A8F0F1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Uzavření smlouvy s poskytovatelem (vč. uvedení konkrétního přenášeného čísla)</w:t>
      </w:r>
    </w:p>
    <w:p w14:paraId="67ABB310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Sdělení OKU, příp. vygenerování ČVOP opouštěným poskytovatelem</w:t>
      </w:r>
    </w:p>
    <w:p w14:paraId="41016406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Zavedení smlouvy do systému poskytovatele</w:t>
      </w:r>
    </w:p>
    <w:p w14:paraId="6D6713A4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Navedení tarifu</w:t>
      </w:r>
    </w:p>
    <w:p w14:paraId="26697623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lastRenderedPageBreak/>
        <w:t>Vytvoření VPN skupiny</w:t>
      </w:r>
    </w:p>
    <w:p w14:paraId="36E5E46C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Vlastní přenesení telefonních čísel</w:t>
      </w:r>
    </w:p>
    <w:p w14:paraId="2C78D68E" w14:textId="77777777" w:rsidR="00B31B2D" w:rsidRPr="006E1B94" w:rsidRDefault="00B31B2D" w:rsidP="00B31B2D">
      <w:pPr>
        <w:numPr>
          <w:ilvl w:val="0"/>
          <w:numId w:val="21"/>
        </w:numPr>
        <w:spacing w:after="240"/>
        <w:contextualSpacing/>
        <w:rPr>
          <w:rFonts w:eastAsia="Arial" w:cs="Times New Roman"/>
        </w:rPr>
      </w:pPr>
      <w:r w:rsidRPr="006E1B94">
        <w:rPr>
          <w:rFonts w:eastAsia="Arial" w:cs="Times New Roman"/>
        </w:rPr>
        <w:t>Fakturace</w:t>
      </w:r>
    </w:p>
    <w:p w14:paraId="32CBDED4" w14:textId="77777777" w:rsidR="00B31B2D" w:rsidRPr="00B428D8" w:rsidRDefault="00B31B2D" w:rsidP="00B31B2D">
      <w:pPr>
        <w:keepNext/>
        <w:spacing w:before="360"/>
        <w:rPr>
          <w:rFonts w:eastAsia="Arial" w:cs="Times New Roman"/>
          <w:bCs/>
          <w:i/>
          <w:iCs/>
          <w:u w:val="single"/>
        </w:rPr>
      </w:pPr>
      <w:r w:rsidRPr="00B428D8">
        <w:rPr>
          <w:rFonts w:eastAsia="Arial" w:cs="Times New Roman"/>
          <w:bCs/>
          <w:i/>
          <w:iCs/>
          <w:u w:val="single"/>
        </w:rPr>
        <w:t>Přípravná fáze:</w:t>
      </w:r>
    </w:p>
    <w:p w14:paraId="3F349C61" w14:textId="77777777" w:rsidR="00B428D8" w:rsidRPr="00856248" w:rsidRDefault="00B428D8" w:rsidP="00B428D8">
      <w:pPr>
        <w:pStyle w:val="Odstavecseseznamem"/>
        <w:numPr>
          <w:ilvl w:val="0"/>
          <w:numId w:val="22"/>
        </w:numPr>
        <w:jc w:val="both"/>
      </w:pPr>
      <w:r w:rsidRPr="00856248">
        <w:t>Podání kompletní žádosti zákazníka o přenesení čísla poskytovateli, sdělení OKU či ČVOP</w:t>
      </w:r>
    </w:p>
    <w:p w14:paraId="60601512" w14:textId="77777777" w:rsidR="00B428D8" w:rsidRPr="00856248" w:rsidRDefault="00B428D8" w:rsidP="00B428D8">
      <w:pPr>
        <w:pStyle w:val="Odstavecseseznamem"/>
        <w:numPr>
          <w:ilvl w:val="0"/>
          <w:numId w:val="22"/>
        </w:numPr>
        <w:jc w:val="both"/>
      </w:pPr>
      <w:r w:rsidRPr="00856248">
        <w:t>Vytvoření tabulky čísel (formát .</w:t>
      </w:r>
      <w:proofErr w:type="spellStart"/>
      <w:r w:rsidRPr="00856248">
        <w:t>xls</w:t>
      </w:r>
      <w:proofErr w:type="spellEnd"/>
      <w:r w:rsidRPr="00856248">
        <w:t>), která bude obsahovat nezbytné informace o přenášených číslech (čísla, služby, adresy + další informace podle dohody) (zajistí zákazník)</w:t>
      </w:r>
    </w:p>
    <w:p w14:paraId="61153997" w14:textId="77777777" w:rsidR="00B428D8" w:rsidRPr="00856248" w:rsidRDefault="00B428D8" w:rsidP="00B428D8">
      <w:pPr>
        <w:pStyle w:val="Odstavecseseznamem"/>
        <w:numPr>
          <w:ilvl w:val="0"/>
          <w:numId w:val="22"/>
        </w:numPr>
        <w:jc w:val="both"/>
      </w:pPr>
      <w:r w:rsidRPr="00856248">
        <w:t>Určení termínu přenesení telefonních čísel (nutná součinnost poskytovatele a zákazníka).</w:t>
      </w:r>
    </w:p>
    <w:p w14:paraId="064F3ED5" w14:textId="77777777" w:rsidR="00B428D8" w:rsidRPr="00856248" w:rsidRDefault="00B428D8" w:rsidP="00B428D8">
      <w:pPr>
        <w:pStyle w:val="Odstavecseseznamem"/>
        <w:numPr>
          <w:ilvl w:val="0"/>
          <w:numId w:val="22"/>
        </w:numPr>
        <w:jc w:val="both"/>
      </w:pPr>
      <w:r w:rsidRPr="00856248">
        <w:t>Nejdříve může jít o 4. pracovní den po dni podání žádosti o přenesení čísla poskytovateli.</w:t>
      </w:r>
    </w:p>
    <w:p w14:paraId="292A3737" w14:textId="77777777" w:rsidR="00B428D8" w:rsidRPr="00856248" w:rsidRDefault="00B428D8" w:rsidP="00B428D8">
      <w:pPr>
        <w:pStyle w:val="Odstavecseseznamem"/>
        <w:numPr>
          <w:ilvl w:val="0"/>
          <w:numId w:val="22"/>
        </w:numPr>
        <w:jc w:val="both"/>
      </w:pPr>
      <w:r w:rsidRPr="00856248">
        <w:t>Podání kompletní objednávky na přenesení čísla opouštěnému poskytovateli zajistí poskytovatel jako přejímající poskytovatel</w:t>
      </w:r>
    </w:p>
    <w:p w14:paraId="5E3F68A7" w14:textId="77777777" w:rsidR="00B31B2D" w:rsidRPr="00B428D8" w:rsidRDefault="00B31B2D" w:rsidP="00B31B2D">
      <w:pPr>
        <w:keepNext/>
        <w:spacing w:before="360"/>
        <w:rPr>
          <w:rFonts w:eastAsia="Arial" w:cs="Times New Roman"/>
          <w:bCs/>
          <w:i/>
          <w:iCs/>
          <w:u w:val="single"/>
        </w:rPr>
      </w:pPr>
      <w:r w:rsidRPr="00B428D8">
        <w:rPr>
          <w:rFonts w:eastAsia="Arial" w:cs="Times New Roman"/>
          <w:bCs/>
          <w:i/>
          <w:iCs/>
          <w:u w:val="single"/>
        </w:rPr>
        <w:t>Vlastní přenesení telefonních čísel:</w:t>
      </w:r>
    </w:p>
    <w:p w14:paraId="099ED43E" w14:textId="77777777" w:rsidR="007D1BBA" w:rsidRPr="00856248" w:rsidRDefault="007D1BBA" w:rsidP="007D1BBA">
      <w:pPr>
        <w:pStyle w:val="Odstavecseseznamem"/>
        <w:numPr>
          <w:ilvl w:val="0"/>
          <w:numId w:val="23"/>
        </w:numPr>
      </w:pPr>
      <w:r w:rsidRPr="00856248">
        <w:t xml:space="preserve">Distribuce SIM karet poskytovatelem zákazníkovi, u </w:t>
      </w:r>
      <w:proofErr w:type="spellStart"/>
      <w:r w:rsidRPr="00856248">
        <w:t>eSIM</w:t>
      </w:r>
      <w:proofErr w:type="spellEnd"/>
      <w:r w:rsidRPr="00856248">
        <w:t xml:space="preserve"> předání QR kódu zákazníkovi za účelem nahrání </w:t>
      </w:r>
      <w:proofErr w:type="spellStart"/>
      <w:r w:rsidRPr="00856248">
        <w:t>eSIM</w:t>
      </w:r>
      <w:proofErr w:type="spellEnd"/>
      <w:r w:rsidRPr="00856248">
        <w:t xml:space="preserve"> do zařízení </w:t>
      </w:r>
    </w:p>
    <w:p w14:paraId="2D40F843" w14:textId="77777777" w:rsidR="007D1BBA" w:rsidRPr="00856248" w:rsidRDefault="007D1BBA" w:rsidP="007D1BBA">
      <w:pPr>
        <w:pStyle w:val="Odstavecseseznamem"/>
        <w:numPr>
          <w:ilvl w:val="0"/>
          <w:numId w:val="23"/>
        </w:numPr>
        <w:jc w:val="both"/>
      </w:pPr>
      <w:r w:rsidRPr="00856248">
        <w:t>Koncovému uživateli každého přenášeného telefonního čísla je potvrzeno datum přenesení prostřednictvím SMS</w:t>
      </w:r>
    </w:p>
    <w:p w14:paraId="3080DC7C" w14:textId="77777777" w:rsidR="007D1BBA" w:rsidRPr="00856248" w:rsidRDefault="007D1BBA" w:rsidP="007D1BBA">
      <w:pPr>
        <w:pStyle w:val="Odstavecseseznamem"/>
        <w:numPr>
          <w:ilvl w:val="0"/>
          <w:numId w:val="23"/>
        </w:numPr>
        <w:jc w:val="both"/>
      </w:pPr>
      <w:r w:rsidRPr="00856248">
        <w:t>Vlastní přenesení telefonních čísel s navedením služeb proběhne v plánovaném termínu od 0:00 do 6:00. Celý proces (včetně přípravné fáze) probíhá pouze v pracovní dny (tzn. mimo víkendy a státní svátky)</w:t>
      </w:r>
    </w:p>
    <w:p w14:paraId="11739D80" w14:textId="77777777" w:rsidR="00B31B2D" w:rsidRPr="00B428D8" w:rsidRDefault="00B31B2D" w:rsidP="00B31B2D">
      <w:pPr>
        <w:keepNext/>
        <w:spacing w:before="360"/>
        <w:rPr>
          <w:rFonts w:eastAsia="Arial" w:cs="Times New Roman"/>
          <w:bCs/>
          <w:i/>
          <w:iCs/>
          <w:u w:val="single"/>
        </w:rPr>
      </w:pPr>
      <w:r w:rsidRPr="00B428D8">
        <w:rPr>
          <w:rFonts w:eastAsia="Arial" w:cs="Times New Roman"/>
          <w:bCs/>
          <w:i/>
          <w:iCs/>
          <w:u w:val="single"/>
        </w:rPr>
        <w:t>Závěrečná fáze:</w:t>
      </w:r>
    </w:p>
    <w:p w14:paraId="54467F90" w14:textId="77777777" w:rsidR="00CA3632" w:rsidRPr="00856248" w:rsidRDefault="00CA3632" w:rsidP="00CA3632">
      <w:pPr>
        <w:pStyle w:val="Odstavecseseznamem"/>
        <w:numPr>
          <w:ilvl w:val="0"/>
          <w:numId w:val="24"/>
        </w:numPr>
        <w:jc w:val="both"/>
      </w:pPr>
      <w:r w:rsidRPr="00856248">
        <w:t xml:space="preserve">Koncový uživatel příslušného telefonního čísla si sám vymění SIM kartu v mobilním telefonu, v případě </w:t>
      </w:r>
      <w:proofErr w:type="spellStart"/>
      <w:r w:rsidRPr="00856248">
        <w:t>eSIM</w:t>
      </w:r>
      <w:proofErr w:type="spellEnd"/>
      <w:r w:rsidRPr="00856248">
        <w:t xml:space="preserve"> nahraje do telefonu QR kód, který obdrží od poskytovatele</w:t>
      </w:r>
    </w:p>
    <w:p w14:paraId="2F98AAEE" w14:textId="77777777" w:rsidR="00CA3632" w:rsidRPr="00856248" w:rsidRDefault="00CA3632" w:rsidP="00CA3632">
      <w:pPr>
        <w:pStyle w:val="Odstavecseseznamem"/>
        <w:numPr>
          <w:ilvl w:val="0"/>
          <w:numId w:val="24"/>
        </w:numPr>
        <w:jc w:val="both"/>
      </w:pPr>
      <w:r w:rsidRPr="00856248">
        <w:t>Koncový uživatel příslušného telefonního čísla provede restart telefonu</w:t>
      </w:r>
    </w:p>
    <w:p w14:paraId="0EE22A5B" w14:textId="77777777" w:rsidR="00CA3632" w:rsidRPr="00856248" w:rsidRDefault="00CA3632" w:rsidP="00CA3632">
      <w:pPr>
        <w:pStyle w:val="Odstavecseseznamem"/>
        <w:numPr>
          <w:ilvl w:val="0"/>
          <w:numId w:val="24"/>
        </w:numPr>
        <w:jc w:val="both"/>
      </w:pPr>
      <w:r w:rsidRPr="00856248">
        <w:t>Potvrzení úspěšnosti přechodu zákazníkovi poskytovatelem</w:t>
      </w:r>
    </w:p>
    <w:p w14:paraId="157F99E3" w14:textId="77777777" w:rsidR="00CA3632" w:rsidRPr="00856248" w:rsidRDefault="00CA3632" w:rsidP="00CA3632">
      <w:pPr>
        <w:pStyle w:val="Odstavecseseznamem"/>
        <w:numPr>
          <w:ilvl w:val="0"/>
          <w:numId w:val="24"/>
        </w:numPr>
        <w:jc w:val="both"/>
      </w:pPr>
      <w:r w:rsidRPr="00856248">
        <w:t>Navedení doplňkových služeb dle požadavků zákazníka po přenosu telefonního čísla k poskytovateli do 48 hodin od přenesení telefonních čísel</w:t>
      </w:r>
    </w:p>
    <w:p w14:paraId="5B3F4F1D" w14:textId="77777777" w:rsidR="00CA3632" w:rsidRPr="00856248" w:rsidRDefault="00CA3632" w:rsidP="00CA3632">
      <w:pPr>
        <w:pStyle w:val="Odstavecseseznamem"/>
        <w:numPr>
          <w:ilvl w:val="0"/>
          <w:numId w:val="24"/>
        </w:numPr>
        <w:jc w:val="both"/>
      </w:pPr>
      <w:r w:rsidRPr="00856248">
        <w:t>Zákazník potvrdí poskytovateli řádné přenesení telefonních čísel – akceptace</w:t>
      </w:r>
    </w:p>
    <w:p w14:paraId="26CAE779" w14:textId="77777777" w:rsidR="00CA3632" w:rsidRPr="00856248" w:rsidRDefault="00CA3632" w:rsidP="00CA3632">
      <w:r w:rsidRPr="00856248">
        <w:t>Poskytovatel službu zřídí v mobilní síti na nové SIM kartě, kterou od poskytovatele zákazník obdrží.</w:t>
      </w:r>
    </w:p>
    <w:p w14:paraId="437E2841" w14:textId="77777777" w:rsidR="00B31B2D" w:rsidRPr="00B428D8" w:rsidRDefault="00B31B2D" w:rsidP="00B31B2D">
      <w:pPr>
        <w:keepNext/>
        <w:spacing w:before="360"/>
        <w:rPr>
          <w:rFonts w:eastAsia="Arial" w:cs="Times New Roman"/>
          <w:bCs/>
          <w:i/>
          <w:iCs/>
          <w:u w:val="single"/>
        </w:rPr>
      </w:pPr>
      <w:r w:rsidRPr="00B428D8">
        <w:rPr>
          <w:rFonts w:eastAsia="Arial" w:cs="Times New Roman"/>
          <w:bCs/>
          <w:i/>
          <w:iCs/>
          <w:u w:val="single"/>
        </w:rPr>
        <w:t>Číslo nelze k poskytovateli přenést, pokud:</w:t>
      </w:r>
    </w:p>
    <w:p w14:paraId="4CCF4998" w14:textId="77777777" w:rsidR="00984198" w:rsidRPr="00856248" w:rsidRDefault="00984198" w:rsidP="00984198">
      <w:pPr>
        <w:pStyle w:val="Odstavecseseznamem"/>
        <w:numPr>
          <w:ilvl w:val="0"/>
          <w:numId w:val="25"/>
        </w:numPr>
        <w:jc w:val="both"/>
      </w:pPr>
      <w:r w:rsidRPr="00856248">
        <w:t>Zákazník nesdělí všechny údaje potřebné pro přenesení, uvedené výše (zejm. platný OKU nebo ČVOP), či nevyhoví žádosti o ověření totožnosti, nebo</w:t>
      </w:r>
    </w:p>
    <w:p w14:paraId="474719C5" w14:textId="77777777" w:rsidR="00984198" w:rsidRPr="00856248" w:rsidRDefault="00984198" w:rsidP="00984198">
      <w:pPr>
        <w:pStyle w:val="Odstavecseseznamem"/>
        <w:numPr>
          <w:ilvl w:val="0"/>
          <w:numId w:val="25"/>
        </w:numPr>
        <w:jc w:val="both"/>
      </w:pPr>
      <w:r w:rsidRPr="00856248">
        <w:t>trvá starší objednávka na přenesení téhož čísla či žádost zákazníka o jeho přenesení, nebo</w:t>
      </w:r>
    </w:p>
    <w:p w14:paraId="0DB47455" w14:textId="77777777" w:rsidR="00984198" w:rsidRPr="00856248" w:rsidRDefault="00984198" w:rsidP="00984198">
      <w:pPr>
        <w:pStyle w:val="Odstavecseseznamem"/>
        <w:numPr>
          <w:ilvl w:val="0"/>
          <w:numId w:val="25"/>
        </w:numPr>
        <w:jc w:val="both"/>
      </w:pPr>
      <w:r w:rsidRPr="00856248">
        <w:t>na číslo se nevztahuje povinnost přenositelnosti, nebo</w:t>
      </w:r>
    </w:p>
    <w:p w14:paraId="5EDFAB95" w14:textId="77777777" w:rsidR="00984198" w:rsidRPr="00856248" w:rsidRDefault="00984198" w:rsidP="00984198">
      <w:pPr>
        <w:pStyle w:val="Odstavecseseznamem"/>
        <w:numPr>
          <w:ilvl w:val="0"/>
          <w:numId w:val="25"/>
        </w:numPr>
        <w:jc w:val="both"/>
      </w:pPr>
      <w:r w:rsidRPr="00856248">
        <w:t>pokud existují technické překážky bránící přenesení čísla, zejména pokud zákazník nepřevzal či neaktivoval SIM kartu, nebo</w:t>
      </w:r>
    </w:p>
    <w:p w14:paraId="45C650A4" w14:textId="77777777" w:rsidR="00984198" w:rsidRPr="00856248" w:rsidRDefault="00984198" w:rsidP="00984198">
      <w:pPr>
        <w:pStyle w:val="Odstavecseseznamem"/>
        <w:numPr>
          <w:ilvl w:val="0"/>
          <w:numId w:val="25"/>
        </w:numPr>
        <w:jc w:val="both"/>
      </w:pPr>
      <w:r w:rsidRPr="00856248">
        <w:t>číslo je součástí skupiny přenášených telefonních čísel, ve které se alespoň u jednoho telefonního čísla vyskytne některá ze situací uvedených výše.</w:t>
      </w:r>
    </w:p>
    <w:p w14:paraId="28E86FC0" w14:textId="07A24F8E" w:rsidR="00B31B2D" w:rsidRDefault="00B31B2D" w:rsidP="00B31B2D">
      <w:pPr>
        <w:rPr>
          <w:rFonts w:eastAsia="Arial" w:cs="Times New Roman"/>
        </w:rPr>
      </w:pPr>
      <w:r w:rsidRPr="006E1B94">
        <w:rPr>
          <w:rFonts w:eastAsia="Arial" w:cs="Times New Roman"/>
        </w:rPr>
        <w:t>V tomto případě dojde k posunutí celého nebo dílčího bloku harmonogramu.</w:t>
      </w:r>
    </w:p>
    <w:p w14:paraId="145680FD" w14:textId="77777777" w:rsidR="00984198" w:rsidRDefault="00984198" w:rsidP="00B31B2D">
      <w:pPr>
        <w:rPr>
          <w:rFonts w:eastAsia="Arial" w:cs="Times New Roman"/>
          <w:b/>
          <w:bCs/>
        </w:rPr>
      </w:pPr>
    </w:p>
    <w:p w14:paraId="2815D1E0" w14:textId="77777777" w:rsidR="008C2FD7" w:rsidRDefault="008C2FD7" w:rsidP="00B31B2D">
      <w:pPr>
        <w:rPr>
          <w:rFonts w:eastAsia="Arial" w:cs="Times New Roman"/>
          <w:b/>
          <w:bCs/>
        </w:rPr>
      </w:pPr>
    </w:p>
    <w:p w14:paraId="621CA955" w14:textId="77777777" w:rsidR="008C2FD7" w:rsidRDefault="008C2FD7" w:rsidP="00B31B2D">
      <w:pPr>
        <w:rPr>
          <w:rFonts w:eastAsia="Arial" w:cs="Times New Roman"/>
          <w:b/>
          <w:bCs/>
        </w:rPr>
      </w:pPr>
    </w:p>
    <w:p w14:paraId="78D2BCF8" w14:textId="5D39C041" w:rsidR="001C0EB9" w:rsidRDefault="00E97F9F" w:rsidP="00B31B2D">
      <w:pPr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lastRenderedPageBreak/>
        <w:t>Popis přenesení telefonních čísel, t</w:t>
      </w:r>
      <w:r w:rsidR="001C0EB9" w:rsidRPr="001C0EB9">
        <w:rPr>
          <w:rFonts w:eastAsia="Arial" w:cs="Times New Roman"/>
          <w:b/>
          <w:bCs/>
        </w:rPr>
        <w:t>ermínový harmonogram postupu migrace</w:t>
      </w:r>
    </w:p>
    <w:p w14:paraId="63726672" w14:textId="77777777" w:rsidR="00D76551" w:rsidRPr="008C11BD" w:rsidRDefault="00D76551" w:rsidP="00D76551">
      <w:pPr>
        <w:keepNext/>
        <w:rPr>
          <w:highlight w:val="yellow"/>
        </w:rPr>
      </w:pPr>
      <w:r w:rsidRPr="00856248">
        <w:t>Níže jsou popsané jednotlivé činnosti, které je třeba provést na straně zákazníka a poskytovatele tak, aby přenesení čísel zákazníka proběhlo hladce vzhledem k počtu přenášených telefonních čísel.</w:t>
      </w:r>
    </w:p>
    <w:p w14:paraId="36D12112" w14:textId="77777777" w:rsidR="00D76551" w:rsidRPr="007D432D" w:rsidRDefault="00D76551" w:rsidP="00D76551">
      <w:pPr>
        <w:keepNext/>
      </w:pPr>
      <w:r w:rsidRPr="00856248">
        <w:t xml:space="preserve">V další tabulce je vytvořen i obecný harmonogram pro realizaci přenosu libovolného počtu SIM karet. </w:t>
      </w:r>
      <w:r w:rsidRPr="007D432D">
        <w:t>Harmonogram je vždy individualizován s ohledem na poptávaný počet přenášených telefonních čísel.</w:t>
      </w:r>
    </w:p>
    <w:p w14:paraId="0FEE7A78" w14:textId="77777777" w:rsidR="00D76551" w:rsidRPr="007D432D" w:rsidRDefault="00D76551" w:rsidP="00D76551">
      <w:pPr>
        <w:keepNext/>
      </w:pPr>
      <w:r w:rsidRPr="007D432D">
        <w:t xml:space="preserve">Bližší popis viz </w:t>
      </w:r>
      <w:hyperlink r:id="rId8" w:history="1">
        <w:r w:rsidRPr="007D432D">
          <w:rPr>
            <w:rStyle w:val="Hypertextovodkaz"/>
          </w:rPr>
          <w:t>https://www.o2.cz/podpora/moje-o2-pro-podnikatele-a-firmy/prevod-cisla-od-jineho-operatora-spravce</w:t>
        </w:r>
      </w:hyperlink>
      <w:r w:rsidRPr="007D432D">
        <w:rPr>
          <w:rStyle w:val="Hypertextovodkaz"/>
        </w:rPr>
        <w:t>.</w:t>
      </w:r>
    </w:p>
    <w:tbl>
      <w:tblPr>
        <w:tblStyle w:val="O2v07"/>
        <w:tblW w:w="5000" w:type="pct"/>
        <w:tblLook w:val="06A0" w:firstRow="1" w:lastRow="0" w:firstColumn="1" w:lastColumn="0" w:noHBand="1" w:noVBand="1"/>
      </w:tblPr>
      <w:tblGrid>
        <w:gridCol w:w="1374"/>
        <w:gridCol w:w="6718"/>
        <w:gridCol w:w="1678"/>
      </w:tblGrid>
      <w:tr w:rsidR="00A92660" w:rsidRPr="007D432D" w14:paraId="76298AFA" w14:textId="77777777" w:rsidTr="007E2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7328160F" w14:textId="77777777" w:rsidR="00A92660" w:rsidRPr="007D432D" w:rsidRDefault="00A92660" w:rsidP="007E24D3">
            <w:pPr>
              <w:pStyle w:val="TabulkaO2"/>
            </w:pPr>
            <w:r w:rsidRPr="007D432D">
              <w:t>Dny</w:t>
            </w:r>
          </w:p>
        </w:tc>
        <w:tc>
          <w:tcPr>
            <w:tcW w:w="3438" w:type="pct"/>
          </w:tcPr>
          <w:p w14:paraId="63E32B11" w14:textId="77777777" w:rsidR="00A92660" w:rsidRPr="007D432D" w:rsidRDefault="00A92660" w:rsidP="007E24D3">
            <w:pPr>
              <w:pStyle w:val="Tabulka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Popis činností</w:t>
            </w:r>
          </w:p>
        </w:tc>
        <w:tc>
          <w:tcPr>
            <w:tcW w:w="859" w:type="pct"/>
          </w:tcPr>
          <w:p w14:paraId="1CF8217D" w14:textId="77777777" w:rsidR="00A92660" w:rsidRPr="007D432D" w:rsidRDefault="00A92660" w:rsidP="007E24D3">
            <w:pPr>
              <w:pStyle w:val="Tabulka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Odpovědnost</w:t>
            </w:r>
          </w:p>
        </w:tc>
      </w:tr>
      <w:tr w:rsidR="00A92660" w:rsidRPr="007D432D" w14:paraId="2571440C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32C59F78" w14:textId="77777777" w:rsidR="00A92660" w:rsidRPr="007D432D" w:rsidRDefault="00A92660" w:rsidP="007E24D3">
            <w:pPr>
              <w:pStyle w:val="TabulkaO2"/>
            </w:pPr>
            <w:r w:rsidRPr="007D432D">
              <w:t>D0</w:t>
            </w:r>
          </w:p>
        </w:tc>
        <w:tc>
          <w:tcPr>
            <w:tcW w:w="3438" w:type="pct"/>
          </w:tcPr>
          <w:p w14:paraId="628381CD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Podepsání smlouvy na poskytování služeb s poskytovatelem (účastnická smlouva), zavedení do systému poskytovatele,</w:t>
            </w:r>
          </w:p>
        </w:tc>
        <w:tc>
          <w:tcPr>
            <w:tcW w:w="859" w:type="pct"/>
          </w:tcPr>
          <w:p w14:paraId="6A17930D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zákazník/ poskytovatel</w:t>
            </w:r>
          </w:p>
        </w:tc>
      </w:tr>
      <w:tr w:rsidR="00A92660" w:rsidRPr="007D432D" w14:paraId="29B76C71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054C5089" w14:textId="77777777" w:rsidR="00A92660" w:rsidRPr="007D432D" w:rsidRDefault="00A92660" w:rsidP="007E24D3">
            <w:pPr>
              <w:pStyle w:val="TabulkaO2"/>
            </w:pPr>
            <w:r w:rsidRPr="007D432D">
              <w:t>D1 – D6</w:t>
            </w:r>
          </w:p>
        </w:tc>
        <w:tc>
          <w:tcPr>
            <w:tcW w:w="3438" w:type="pct"/>
          </w:tcPr>
          <w:p w14:paraId="5BBA58E1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Sdělení OKU zákazníkem. Při přenosu většího poštu telefonních čísel zákazník podá výpověď u opouštěného poskytovatele, který mu vygeneruje ČVOP.</w:t>
            </w:r>
          </w:p>
        </w:tc>
        <w:tc>
          <w:tcPr>
            <w:tcW w:w="859" w:type="pct"/>
          </w:tcPr>
          <w:p w14:paraId="16F0AA06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zákazník</w:t>
            </w:r>
          </w:p>
        </w:tc>
      </w:tr>
      <w:tr w:rsidR="00A92660" w:rsidRPr="007D432D" w14:paraId="4AA60D61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7CC7F0BB" w14:textId="77777777" w:rsidR="00A92660" w:rsidRPr="007D432D" w:rsidRDefault="00A92660" w:rsidP="007E24D3">
            <w:pPr>
              <w:pStyle w:val="TabulkaO2"/>
            </w:pPr>
            <w:r w:rsidRPr="007D432D">
              <w:t>D1 – D7</w:t>
            </w:r>
          </w:p>
        </w:tc>
        <w:tc>
          <w:tcPr>
            <w:tcW w:w="3438" w:type="pct"/>
          </w:tcPr>
          <w:p w14:paraId="1D6B334B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 xml:space="preserve">Zákazník vyplní tabulku přenášených telefonních čísel ve formátu </w:t>
            </w:r>
            <w:proofErr w:type="spellStart"/>
            <w:r w:rsidRPr="007D432D">
              <w:t>xls</w:t>
            </w:r>
            <w:proofErr w:type="spellEnd"/>
            <w:r w:rsidRPr="007D432D">
              <w:t xml:space="preserve"> (dále jen „</w:t>
            </w:r>
            <w:proofErr w:type="spellStart"/>
            <w:r w:rsidRPr="007D432D">
              <w:t>portační</w:t>
            </w:r>
            <w:proofErr w:type="spellEnd"/>
            <w:r w:rsidRPr="007D432D">
              <w:t xml:space="preserve"> tabulka“), která bude obsahovat informace o přenášených číslech (čísla, služby, adresy – množství informací podle dohody). Do této tabulky zákazník doplní ČVOP nebo OKU a předá tabulku přenášených čísel poskytovateli (může navrhnout termíny přenesení telefonních čísel).</w:t>
            </w:r>
          </w:p>
        </w:tc>
        <w:tc>
          <w:tcPr>
            <w:tcW w:w="859" w:type="pct"/>
          </w:tcPr>
          <w:p w14:paraId="349B7361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zákazník</w:t>
            </w:r>
          </w:p>
        </w:tc>
      </w:tr>
      <w:tr w:rsidR="00A92660" w:rsidRPr="007D432D" w14:paraId="2EC87EC7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5F5C2478" w14:textId="77777777" w:rsidR="00A92660" w:rsidRPr="007D432D" w:rsidRDefault="00A92660" w:rsidP="007E24D3">
            <w:pPr>
              <w:pStyle w:val="TabulkaO2"/>
            </w:pPr>
            <w:r w:rsidRPr="007D432D">
              <w:t>D8 – D11</w:t>
            </w:r>
          </w:p>
        </w:tc>
        <w:tc>
          <w:tcPr>
            <w:tcW w:w="3438" w:type="pct"/>
          </w:tcPr>
          <w:p w14:paraId="6CEFEE73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Zadání informací (objednávky) do systému poskytovatele a odeslání opouštěnému poskytovateli.</w:t>
            </w:r>
          </w:p>
        </w:tc>
        <w:tc>
          <w:tcPr>
            <w:tcW w:w="859" w:type="pct"/>
          </w:tcPr>
          <w:p w14:paraId="4B9BB055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poskytovatel</w:t>
            </w:r>
          </w:p>
        </w:tc>
      </w:tr>
      <w:tr w:rsidR="00A92660" w:rsidRPr="007D432D" w14:paraId="34A525CE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5CB46039" w14:textId="77777777" w:rsidR="00A92660" w:rsidRPr="007D432D" w:rsidRDefault="00A92660" w:rsidP="007E24D3">
            <w:pPr>
              <w:pStyle w:val="TabulkaO2"/>
            </w:pPr>
            <w:r w:rsidRPr="007D432D">
              <w:t>D12 – D15</w:t>
            </w:r>
          </w:p>
        </w:tc>
        <w:tc>
          <w:tcPr>
            <w:tcW w:w="3438" w:type="pct"/>
          </w:tcPr>
          <w:p w14:paraId="0EDC52F0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 xml:space="preserve">Poskytovatel distribuuje zákazníkovi SIM karty. Distribuce může proběhnout na vybraná místa v regionech. </w:t>
            </w:r>
          </w:p>
        </w:tc>
        <w:tc>
          <w:tcPr>
            <w:tcW w:w="859" w:type="pct"/>
          </w:tcPr>
          <w:p w14:paraId="356667B4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poskytovatel, zákazník</w:t>
            </w:r>
          </w:p>
        </w:tc>
      </w:tr>
      <w:tr w:rsidR="00A92660" w:rsidRPr="007D432D" w14:paraId="13539794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3EA81944" w14:textId="77777777" w:rsidR="00A92660" w:rsidRPr="007D432D" w:rsidRDefault="00A92660" w:rsidP="007E24D3">
            <w:pPr>
              <w:pStyle w:val="TabulkaO2"/>
            </w:pPr>
            <w:r w:rsidRPr="007D432D">
              <w:t>D16 – D21</w:t>
            </w:r>
          </w:p>
        </w:tc>
        <w:tc>
          <w:tcPr>
            <w:tcW w:w="3438" w:type="pct"/>
          </w:tcPr>
          <w:p w14:paraId="51DE1FD7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Zákazník zajistí distribuci koncovým uživatelům. Koncový uživatel má SIM kartu a zná datum, kdy proběhne přenos čísla (Zákazník distribuuje SIM karty a informuje zaměstnance o přenosu, např. hromadným e-mailem koncovým uživatelům).</w:t>
            </w:r>
          </w:p>
        </w:tc>
        <w:tc>
          <w:tcPr>
            <w:tcW w:w="859" w:type="pct"/>
          </w:tcPr>
          <w:p w14:paraId="517868A6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zákazník</w:t>
            </w:r>
          </w:p>
        </w:tc>
      </w:tr>
      <w:tr w:rsidR="00A92660" w:rsidRPr="007D432D" w14:paraId="0FF67574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08EAB221" w14:textId="77777777" w:rsidR="00A92660" w:rsidRPr="007D432D" w:rsidRDefault="00A92660" w:rsidP="007E24D3">
            <w:pPr>
              <w:pStyle w:val="TabulkaO2"/>
            </w:pPr>
            <w:r w:rsidRPr="007D432D">
              <w:t>D22 – D25</w:t>
            </w:r>
          </w:p>
        </w:tc>
        <w:tc>
          <w:tcPr>
            <w:tcW w:w="3438" w:type="pct"/>
          </w:tcPr>
          <w:p w14:paraId="2EC059A8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Vlastní přenos čísla mezi opouštěným poskytovatelem a poskytovatelem.</w:t>
            </w:r>
          </w:p>
          <w:p w14:paraId="243C4851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Do půlnoci služby poskytuje opouštěný poskytovatel.</w:t>
            </w:r>
          </w:p>
          <w:p w14:paraId="37AF0D70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Od 0:00 do 6:00 (max.) SIM bez aktivních služeb.</w:t>
            </w:r>
          </w:p>
          <w:p w14:paraId="51A35C80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Od 6:00 SIM funguje v síti poskytovatele.</w:t>
            </w:r>
          </w:p>
        </w:tc>
        <w:tc>
          <w:tcPr>
            <w:tcW w:w="859" w:type="pct"/>
          </w:tcPr>
          <w:p w14:paraId="03207A0A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opouštěný poskytovatel a poskytovatel</w:t>
            </w:r>
          </w:p>
        </w:tc>
      </w:tr>
      <w:tr w:rsidR="00A92660" w:rsidRPr="007D432D" w14:paraId="7EC946BD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7D048FDF" w14:textId="77777777" w:rsidR="00A92660" w:rsidRPr="007D432D" w:rsidRDefault="00A92660" w:rsidP="007E24D3">
            <w:pPr>
              <w:pStyle w:val="TabulkaO2"/>
            </w:pPr>
            <w:r w:rsidRPr="007D432D">
              <w:t>D23 – D26</w:t>
            </w:r>
          </w:p>
        </w:tc>
        <w:tc>
          <w:tcPr>
            <w:tcW w:w="3438" w:type="pct"/>
          </w:tcPr>
          <w:p w14:paraId="33105FB7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Koncový uživatel si sám vymění SIM kartu, restartuje mobilní zařízení a funguje v síti poskytovatele.</w:t>
            </w:r>
          </w:p>
        </w:tc>
        <w:tc>
          <w:tcPr>
            <w:tcW w:w="859" w:type="pct"/>
          </w:tcPr>
          <w:p w14:paraId="1634B325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koncový uživatel</w:t>
            </w:r>
          </w:p>
        </w:tc>
      </w:tr>
      <w:tr w:rsidR="00A92660" w:rsidRPr="007D432D" w14:paraId="0FD79B82" w14:textId="77777777" w:rsidTr="007E24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</w:tcPr>
          <w:p w14:paraId="0AABB8A0" w14:textId="77777777" w:rsidR="00A92660" w:rsidRPr="007D432D" w:rsidRDefault="00A92660" w:rsidP="007E24D3">
            <w:pPr>
              <w:pStyle w:val="TabulkaO2"/>
            </w:pPr>
            <w:r w:rsidRPr="007D432D">
              <w:t>D23 – D26</w:t>
            </w:r>
          </w:p>
        </w:tc>
        <w:tc>
          <w:tcPr>
            <w:tcW w:w="3438" w:type="pct"/>
          </w:tcPr>
          <w:p w14:paraId="78D67E41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Navedení doplňkových služeb dle požadavků zákazníka do 48 hodin od přenesení telefonních čísel.</w:t>
            </w:r>
          </w:p>
        </w:tc>
        <w:tc>
          <w:tcPr>
            <w:tcW w:w="859" w:type="pct"/>
          </w:tcPr>
          <w:p w14:paraId="57B6834A" w14:textId="77777777" w:rsidR="00A92660" w:rsidRPr="007D432D" w:rsidRDefault="00A92660" w:rsidP="007E24D3">
            <w:pPr>
              <w:pStyle w:val="Tabulka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2D">
              <w:t>poskytovatel</w:t>
            </w:r>
          </w:p>
        </w:tc>
      </w:tr>
    </w:tbl>
    <w:p w14:paraId="23689458" w14:textId="77777777" w:rsidR="00986FCC" w:rsidRPr="007D432D" w:rsidRDefault="00986FCC" w:rsidP="00986FCC">
      <w:r w:rsidRPr="007D432D">
        <w:t>Harmonogram je vypracovaný v pracovních dnech. Uvedený harmonogram je realizován vždy pouze v pracovní dny. Tento harmonogram je platný pro počty SIM indikované v Zadávací dokumentaci a příslušných přílohách.</w:t>
      </w:r>
    </w:p>
    <w:p w14:paraId="7E0FB514" w14:textId="77777777" w:rsidR="00986FCC" w:rsidRPr="00986FCC" w:rsidRDefault="00986FCC" w:rsidP="00986FCC">
      <w:pPr>
        <w:rPr>
          <w:b/>
          <w:bCs/>
        </w:rPr>
      </w:pPr>
      <w:r w:rsidRPr="00986FCC">
        <w:rPr>
          <w:b/>
          <w:bCs/>
        </w:rPr>
        <w:t xml:space="preserve">Portace </w:t>
      </w:r>
      <w:proofErr w:type="spellStart"/>
      <w:r w:rsidRPr="00986FCC">
        <w:rPr>
          <w:b/>
          <w:bCs/>
        </w:rPr>
        <w:t>eSIM</w:t>
      </w:r>
      <w:proofErr w:type="spellEnd"/>
    </w:p>
    <w:p w14:paraId="3BA2BA8D" w14:textId="77777777" w:rsidR="00986FCC" w:rsidRDefault="00986FCC" w:rsidP="00986FCC">
      <w:r w:rsidRPr="007D432D">
        <w:t xml:space="preserve">V případě </w:t>
      </w:r>
      <w:r w:rsidRPr="007D432D">
        <w:rPr>
          <w:b/>
          <w:bCs/>
        </w:rPr>
        <w:t xml:space="preserve">portace </w:t>
      </w:r>
      <w:proofErr w:type="spellStart"/>
      <w:r w:rsidRPr="007D432D">
        <w:rPr>
          <w:b/>
          <w:bCs/>
        </w:rPr>
        <w:t>eSIM</w:t>
      </w:r>
      <w:proofErr w:type="spellEnd"/>
      <w:r w:rsidRPr="007D432D">
        <w:rPr>
          <w:b/>
          <w:bCs/>
        </w:rPr>
        <w:t xml:space="preserve"> </w:t>
      </w:r>
      <w:r w:rsidRPr="007D432D">
        <w:t xml:space="preserve">(z fyzické SIM na </w:t>
      </w:r>
      <w:proofErr w:type="spellStart"/>
      <w:r w:rsidRPr="007D432D">
        <w:t>eSIM</w:t>
      </w:r>
      <w:proofErr w:type="spellEnd"/>
      <w:r w:rsidRPr="007D432D">
        <w:t xml:space="preserve"> a naopak, případně </w:t>
      </w:r>
      <w:proofErr w:type="spellStart"/>
      <w:r w:rsidRPr="007D432D">
        <w:t>eSIM</w:t>
      </w:r>
      <w:proofErr w:type="spellEnd"/>
      <w:r w:rsidRPr="007D432D">
        <w:t xml:space="preserve"> na </w:t>
      </w:r>
      <w:proofErr w:type="spellStart"/>
      <w:r w:rsidRPr="007D432D">
        <w:t>eSIM</w:t>
      </w:r>
      <w:proofErr w:type="spellEnd"/>
      <w:r w:rsidRPr="007D432D">
        <w:t xml:space="preserve">) je postup přenesení tel. čísel obdobný jako u fyzických SIM karet s tím rozdílem, že distribuce </w:t>
      </w:r>
      <w:proofErr w:type="spellStart"/>
      <w:r w:rsidRPr="007D432D">
        <w:t>eSIM</w:t>
      </w:r>
      <w:proofErr w:type="spellEnd"/>
      <w:r w:rsidRPr="007D432D">
        <w:t xml:space="preserve"> se provádí přes QR kód dodaný poskytovatelem a jeho následné nahrání do mobilního zařízení.</w:t>
      </w:r>
    </w:p>
    <w:p w14:paraId="67992CB2" w14:textId="77777777" w:rsidR="00EF4D9A" w:rsidRPr="0081634B" w:rsidRDefault="00EF4D9A" w:rsidP="0081634B"/>
    <w:sectPr w:rsidR="00EF4D9A" w:rsidRPr="0081634B" w:rsidSect="0052193F">
      <w:headerReference w:type="default" r:id="rId9"/>
      <w:footerReference w:type="default" r:id="rId10"/>
      <w:pgSz w:w="11906" w:h="16838"/>
      <w:pgMar w:top="1418" w:right="1133" w:bottom="1135" w:left="993" w:header="426" w:footer="422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B8E4" w14:textId="77777777" w:rsidR="006241BA" w:rsidRDefault="006241BA" w:rsidP="00924E96">
      <w:pPr>
        <w:spacing w:after="0"/>
      </w:pPr>
      <w:r>
        <w:separator/>
      </w:r>
    </w:p>
  </w:endnote>
  <w:endnote w:type="continuationSeparator" w:id="0">
    <w:p w14:paraId="02795BEA" w14:textId="77777777" w:rsidR="006241BA" w:rsidRDefault="006241BA" w:rsidP="00924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45 Light">
    <w:altName w:val="Calibri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589F" w14:textId="66A3E474" w:rsidR="003E4AE3" w:rsidRPr="003E4AE3" w:rsidRDefault="003E4AE3" w:rsidP="003E4AE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D517" w14:textId="77777777" w:rsidR="006241BA" w:rsidRDefault="006241BA" w:rsidP="00924E96">
      <w:pPr>
        <w:spacing w:after="0"/>
      </w:pPr>
      <w:r>
        <w:separator/>
      </w:r>
    </w:p>
  </w:footnote>
  <w:footnote w:type="continuationSeparator" w:id="0">
    <w:p w14:paraId="49BAF607" w14:textId="77777777" w:rsidR="006241BA" w:rsidRDefault="006241BA" w:rsidP="00924E96">
      <w:pPr>
        <w:spacing w:after="0"/>
      </w:pPr>
      <w:r>
        <w:continuationSeparator/>
      </w:r>
    </w:p>
  </w:footnote>
  <w:footnote w:id="1">
    <w:p w14:paraId="0B10CD9A" w14:textId="77777777" w:rsidR="00470128" w:rsidRPr="00906AA4" w:rsidRDefault="00470128" w:rsidP="00470128">
      <w:pPr>
        <w:pStyle w:val="Textpoznpodarou"/>
        <w:rPr>
          <w:bCs/>
          <w:sz w:val="16"/>
          <w:szCs w:val="16"/>
        </w:rPr>
      </w:pPr>
      <w:r w:rsidRPr="00906AA4">
        <w:rPr>
          <w:rStyle w:val="Znakapoznpodarou"/>
          <w:sz w:val="16"/>
          <w:szCs w:val="16"/>
        </w:rPr>
        <w:footnoteRef/>
      </w:r>
      <w:r w:rsidRPr="00906AA4">
        <w:rPr>
          <w:sz w:val="16"/>
          <w:szCs w:val="16"/>
        </w:rPr>
        <w:t xml:space="preserve"> </w:t>
      </w:r>
      <w:r w:rsidRPr="00906AA4">
        <w:rPr>
          <w:bCs/>
          <w:sz w:val="16"/>
          <w:szCs w:val="16"/>
        </w:rPr>
        <w:t>Vyjma případů, kdy je pro přenos čísel využít tzv. ČVOP</w:t>
      </w:r>
    </w:p>
  </w:footnote>
  <w:footnote w:id="2">
    <w:p w14:paraId="1EAC49CA" w14:textId="77777777" w:rsidR="00470128" w:rsidRPr="00906AA4" w:rsidRDefault="00470128" w:rsidP="00470128">
      <w:pPr>
        <w:pStyle w:val="Textpoznpodarou"/>
        <w:rPr>
          <w:sz w:val="16"/>
          <w:szCs w:val="16"/>
        </w:rPr>
      </w:pPr>
      <w:r w:rsidRPr="00906AA4">
        <w:rPr>
          <w:rStyle w:val="Znakapoznpodarou"/>
          <w:sz w:val="16"/>
          <w:szCs w:val="16"/>
        </w:rPr>
        <w:footnoteRef/>
      </w:r>
      <w:r w:rsidRPr="00906AA4">
        <w:rPr>
          <w:sz w:val="16"/>
          <w:szCs w:val="16"/>
        </w:rPr>
        <w:t xml:space="preserve"> </w:t>
      </w:r>
      <w:r w:rsidRPr="00906AA4">
        <w:rPr>
          <w:bCs/>
          <w:sz w:val="16"/>
          <w:szCs w:val="16"/>
        </w:rPr>
        <w:t>Možnost přenosu čísel pomocí ČVOP je zakotvena v „Kodexu procesu přenášení mobilního telefonního čísla, přístupu a užívání Referenční databáze přenesených mobilních čísel“ APMS (Asociace provozovatelů mobilních sítí).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48F" w14:textId="0DF9B437" w:rsidR="00ED5037" w:rsidRDefault="00ED5037" w:rsidP="003B7B3E">
    <w:pPr>
      <w:pStyle w:val="Zhlav"/>
      <w:tabs>
        <w:tab w:val="left" w:pos="7200"/>
      </w:tabs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F6D"/>
    <w:multiLevelType w:val="hybridMultilevel"/>
    <w:tmpl w:val="E5BA8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9EF"/>
    <w:multiLevelType w:val="hybridMultilevel"/>
    <w:tmpl w:val="1A882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0BA0"/>
    <w:multiLevelType w:val="multilevel"/>
    <w:tmpl w:val="D36E9BA6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F83D90"/>
    <w:multiLevelType w:val="hybridMultilevel"/>
    <w:tmpl w:val="ECDAED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83A25"/>
    <w:multiLevelType w:val="hybridMultilevel"/>
    <w:tmpl w:val="99108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32"/>
    <w:multiLevelType w:val="hybridMultilevel"/>
    <w:tmpl w:val="241C9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5C84"/>
    <w:multiLevelType w:val="multilevel"/>
    <w:tmpl w:val="3594F600"/>
    <w:styleLink w:val="O2seznam"/>
    <w:lvl w:ilvl="0">
      <w:start w:val="1"/>
      <w:numFmt w:val="bullet"/>
      <w:lvlText w:val="»"/>
      <w:lvlJc w:val="left"/>
      <w:pPr>
        <w:ind w:left="567" w:hanging="283"/>
      </w:pPr>
      <w:rPr>
        <w:rFonts w:ascii="Frutiger LT Com 45 Light" w:hAnsi="Frutiger LT Com 45 Light" w:hint="default"/>
        <w:b/>
        <w:i w:val="0"/>
        <w:color w:val="54B6E7"/>
        <w:u w:color="54B6E7"/>
      </w:rPr>
    </w:lvl>
    <w:lvl w:ilvl="1">
      <w:start w:val="1"/>
      <w:numFmt w:val="bullet"/>
      <w:lvlText w:val="»"/>
      <w:lvlJc w:val="left"/>
      <w:pPr>
        <w:ind w:left="964" w:hanging="284"/>
      </w:pPr>
      <w:rPr>
        <w:rFonts w:ascii="Frutiger LT Com 45 Light" w:hAnsi="Frutiger LT Com 45 Light" w:hint="default"/>
        <w:b w:val="0"/>
        <w:i w:val="0"/>
        <w:color w:val="54B6E7"/>
        <w:u w:color="54B6E7"/>
      </w:rPr>
    </w:lvl>
    <w:lvl w:ilvl="2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7" w15:restartNumberingAfterBreak="0">
    <w:nsid w:val="227B028B"/>
    <w:multiLevelType w:val="hybridMultilevel"/>
    <w:tmpl w:val="02F0224C"/>
    <w:lvl w:ilvl="0" w:tplc="07E6792E">
      <w:start w:val="1"/>
      <w:numFmt w:val="decimal"/>
      <w:pStyle w:val="RD2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41B09"/>
    <w:multiLevelType w:val="hybridMultilevel"/>
    <w:tmpl w:val="9A08A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0199"/>
    <w:multiLevelType w:val="hybridMultilevel"/>
    <w:tmpl w:val="322E7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3ED6"/>
    <w:multiLevelType w:val="hybridMultilevel"/>
    <w:tmpl w:val="7F02E02A"/>
    <w:lvl w:ilvl="0" w:tplc="2D6A997E">
      <w:start w:val="1"/>
      <w:numFmt w:val="decimal"/>
      <w:pStyle w:val="RD3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67039"/>
    <w:multiLevelType w:val="hybridMultilevel"/>
    <w:tmpl w:val="1E620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0E14"/>
    <w:multiLevelType w:val="hybridMultilevel"/>
    <w:tmpl w:val="7B0AB368"/>
    <w:lvl w:ilvl="0" w:tplc="F5323F02">
      <w:start w:val="1"/>
      <w:numFmt w:val="decimal"/>
      <w:pStyle w:val="RD6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2967A4"/>
    <w:multiLevelType w:val="hybridMultilevel"/>
    <w:tmpl w:val="AA562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2622"/>
    <w:multiLevelType w:val="hybridMultilevel"/>
    <w:tmpl w:val="1382C73C"/>
    <w:lvl w:ilvl="0" w:tplc="BB203466">
      <w:start w:val="1"/>
      <w:numFmt w:val="decimal"/>
      <w:pStyle w:val="RD5"/>
      <w:lvlText w:val="5.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F40B4"/>
    <w:multiLevelType w:val="hybridMultilevel"/>
    <w:tmpl w:val="114610DA"/>
    <w:lvl w:ilvl="0" w:tplc="AB9C11A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675A2D"/>
    <w:multiLevelType w:val="hybridMultilevel"/>
    <w:tmpl w:val="E53A60E2"/>
    <w:lvl w:ilvl="0" w:tplc="8752FB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262F8"/>
    <w:multiLevelType w:val="hybridMultilevel"/>
    <w:tmpl w:val="4740B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77F"/>
    <w:multiLevelType w:val="hybridMultilevel"/>
    <w:tmpl w:val="1592C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276D"/>
    <w:multiLevelType w:val="hybridMultilevel"/>
    <w:tmpl w:val="B6C2A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465D05"/>
    <w:multiLevelType w:val="hybridMultilevel"/>
    <w:tmpl w:val="90663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83CA8"/>
    <w:multiLevelType w:val="hybridMultilevel"/>
    <w:tmpl w:val="D0CEEA68"/>
    <w:lvl w:ilvl="0" w:tplc="2B9A024E">
      <w:start w:val="1"/>
      <w:numFmt w:val="decimal"/>
      <w:pStyle w:val="RD1"/>
      <w:lvlText w:val="1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1061AD"/>
    <w:multiLevelType w:val="hybridMultilevel"/>
    <w:tmpl w:val="538A2D8E"/>
    <w:lvl w:ilvl="0" w:tplc="ED6A78E2">
      <w:start w:val="1"/>
      <w:numFmt w:val="decimal"/>
      <w:pStyle w:val="RD4"/>
      <w:lvlText w:val="4.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C4368A"/>
    <w:multiLevelType w:val="hybridMultilevel"/>
    <w:tmpl w:val="F2705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532872"/>
    <w:multiLevelType w:val="hybridMultilevel"/>
    <w:tmpl w:val="D3ECA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A4222"/>
    <w:multiLevelType w:val="hybridMultilevel"/>
    <w:tmpl w:val="CBE80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E7FF9"/>
    <w:multiLevelType w:val="hybridMultilevel"/>
    <w:tmpl w:val="2BC0CDD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7E776FC6"/>
    <w:multiLevelType w:val="hybridMultilevel"/>
    <w:tmpl w:val="B49C6C7E"/>
    <w:lvl w:ilvl="0" w:tplc="B25273D6">
      <w:start w:val="1"/>
      <w:numFmt w:val="decimal"/>
      <w:pStyle w:val="RD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11957">
    <w:abstractNumId w:val="6"/>
  </w:num>
  <w:num w:numId="2" w16cid:durableId="1547984585">
    <w:abstractNumId w:val="2"/>
  </w:num>
  <w:num w:numId="3" w16cid:durableId="329984440">
    <w:abstractNumId w:val="2"/>
  </w:num>
  <w:num w:numId="4" w16cid:durableId="1499347623">
    <w:abstractNumId w:val="27"/>
  </w:num>
  <w:num w:numId="5" w16cid:durableId="1838382307">
    <w:abstractNumId w:val="21"/>
  </w:num>
  <w:num w:numId="6" w16cid:durableId="1471359163">
    <w:abstractNumId w:val="15"/>
  </w:num>
  <w:num w:numId="7" w16cid:durableId="1497456159">
    <w:abstractNumId w:val="7"/>
  </w:num>
  <w:num w:numId="8" w16cid:durableId="31345085">
    <w:abstractNumId w:val="10"/>
  </w:num>
  <w:num w:numId="9" w16cid:durableId="761881081">
    <w:abstractNumId w:val="22"/>
  </w:num>
  <w:num w:numId="10" w16cid:durableId="1413355645">
    <w:abstractNumId w:val="14"/>
  </w:num>
  <w:num w:numId="11" w16cid:durableId="976035329">
    <w:abstractNumId w:val="26"/>
  </w:num>
  <w:num w:numId="12" w16cid:durableId="676807684">
    <w:abstractNumId w:val="12"/>
  </w:num>
  <w:num w:numId="13" w16cid:durableId="125241390">
    <w:abstractNumId w:val="9"/>
  </w:num>
  <w:num w:numId="14" w16cid:durableId="1302004255">
    <w:abstractNumId w:val="16"/>
  </w:num>
  <w:num w:numId="15" w16cid:durableId="941378826">
    <w:abstractNumId w:val="0"/>
  </w:num>
  <w:num w:numId="16" w16cid:durableId="1215314289">
    <w:abstractNumId w:val="24"/>
  </w:num>
  <w:num w:numId="17" w16cid:durableId="91899886">
    <w:abstractNumId w:val="13"/>
  </w:num>
  <w:num w:numId="18" w16cid:durableId="1684942582">
    <w:abstractNumId w:val="19"/>
  </w:num>
  <w:num w:numId="19" w16cid:durableId="1654488639">
    <w:abstractNumId w:val="23"/>
  </w:num>
  <w:num w:numId="20" w16cid:durableId="229115776">
    <w:abstractNumId w:val="1"/>
  </w:num>
  <w:num w:numId="21" w16cid:durableId="1612398117">
    <w:abstractNumId w:val="25"/>
  </w:num>
  <w:num w:numId="22" w16cid:durableId="618343580">
    <w:abstractNumId w:val="20"/>
  </w:num>
  <w:num w:numId="23" w16cid:durableId="1194465137">
    <w:abstractNumId w:val="8"/>
  </w:num>
  <w:num w:numId="24" w16cid:durableId="1085107209">
    <w:abstractNumId w:val="5"/>
  </w:num>
  <w:num w:numId="25" w16cid:durableId="87308462">
    <w:abstractNumId w:val="18"/>
  </w:num>
  <w:num w:numId="26" w16cid:durableId="338040594">
    <w:abstractNumId w:val="11"/>
  </w:num>
  <w:num w:numId="27" w16cid:durableId="1742100642">
    <w:abstractNumId w:val="3"/>
  </w:num>
  <w:num w:numId="28" w16cid:durableId="1894776977">
    <w:abstractNumId w:val="4"/>
  </w:num>
  <w:num w:numId="29" w16cid:durableId="31811988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O2v0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8B"/>
    <w:rsid w:val="000019C8"/>
    <w:rsid w:val="00001C73"/>
    <w:rsid w:val="00004BE2"/>
    <w:rsid w:val="00006D1A"/>
    <w:rsid w:val="00025EF5"/>
    <w:rsid w:val="000271A1"/>
    <w:rsid w:val="00040179"/>
    <w:rsid w:val="000420EF"/>
    <w:rsid w:val="00047B4B"/>
    <w:rsid w:val="00054B5A"/>
    <w:rsid w:val="00057EEB"/>
    <w:rsid w:val="00066B32"/>
    <w:rsid w:val="00066B5A"/>
    <w:rsid w:val="00067C32"/>
    <w:rsid w:val="00071746"/>
    <w:rsid w:val="000907CA"/>
    <w:rsid w:val="00092C14"/>
    <w:rsid w:val="000A301E"/>
    <w:rsid w:val="000A6132"/>
    <w:rsid w:val="000B41A4"/>
    <w:rsid w:val="000B48CF"/>
    <w:rsid w:val="000C17B2"/>
    <w:rsid w:val="000C2786"/>
    <w:rsid w:val="000C4E95"/>
    <w:rsid w:val="000D0A0D"/>
    <w:rsid w:val="000D10B2"/>
    <w:rsid w:val="000D4B46"/>
    <w:rsid w:val="000D6339"/>
    <w:rsid w:val="000E1217"/>
    <w:rsid w:val="000E3F4B"/>
    <w:rsid w:val="000E5062"/>
    <w:rsid w:val="000E5361"/>
    <w:rsid w:val="000F09ED"/>
    <w:rsid w:val="000F22D8"/>
    <w:rsid w:val="000F471C"/>
    <w:rsid w:val="00102185"/>
    <w:rsid w:val="00104BF6"/>
    <w:rsid w:val="00113552"/>
    <w:rsid w:val="00117538"/>
    <w:rsid w:val="00121A4F"/>
    <w:rsid w:val="001226B1"/>
    <w:rsid w:val="00123D91"/>
    <w:rsid w:val="001252E4"/>
    <w:rsid w:val="001346CA"/>
    <w:rsid w:val="0013503E"/>
    <w:rsid w:val="00136908"/>
    <w:rsid w:val="00140282"/>
    <w:rsid w:val="00141EB2"/>
    <w:rsid w:val="00146EB6"/>
    <w:rsid w:val="00151899"/>
    <w:rsid w:val="00157AE6"/>
    <w:rsid w:val="00160192"/>
    <w:rsid w:val="00172A8A"/>
    <w:rsid w:val="00173D49"/>
    <w:rsid w:val="00176E79"/>
    <w:rsid w:val="001772E0"/>
    <w:rsid w:val="00180F77"/>
    <w:rsid w:val="001923C6"/>
    <w:rsid w:val="001952CC"/>
    <w:rsid w:val="001953E2"/>
    <w:rsid w:val="00195612"/>
    <w:rsid w:val="00197B74"/>
    <w:rsid w:val="001A39B4"/>
    <w:rsid w:val="001B4BCF"/>
    <w:rsid w:val="001B78D1"/>
    <w:rsid w:val="001C0EB9"/>
    <w:rsid w:val="001C43AA"/>
    <w:rsid w:val="001C6921"/>
    <w:rsid w:val="001E36E3"/>
    <w:rsid w:val="001E54F7"/>
    <w:rsid w:val="001E55AE"/>
    <w:rsid w:val="00200F0E"/>
    <w:rsid w:val="00204866"/>
    <w:rsid w:val="0020526D"/>
    <w:rsid w:val="00206746"/>
    <w:rsid w:val="002067E2"/>
    <w:rsid w:val="002071B9"/>
    <w:rsid w:val="00216366"/>
    <w:rsid w:val="0022101D"/>
    <w:rsid w:val="002242DA"/>
    <w:rsid w:val="00226771"/>
    <w:rsid w:val="002325E4"/>
    <w:rsid w:val="00232AB4"/>
    <w:rsid w:val="0023341D"/>
    <w:rsid w:val="00233FE7"/>
    <w:rsid w:val="00235E49"/>
    <w:rsid w:val="00251140"/>
    <w:rsid w:val="00254381"/>
    <w:rsid w:val="00256918"/>
    <w:rsid w:val="00257C19"/>
    <w:rsid w:val="0026159E"/>
    <w:rsid w:val="00264487"/>
    <w:rsid w:val="00266990"/>
    <w:rsid w:val="00270DE8"/>
    <w:rsid w:val="002723B9"/>
    <w:rsid w:val="0028693B"/>
    <w:rsid w:val="00290189"/>
    <w:rsid w:val="00293E51"/>
    <w:rsid w:val="002A0B88"/>
    <w:rsid w:val="002A407D"/>
    <w:rsid w:val="002A7697"/>
    <w:rsid w:val="002B54E8"/>
    <w:rsid w:val="002C0021"/>
    <w:rsid w:val="002C4DF3"/>
    <w:rsid w:val="002D7062"/>
    <w:rsid w:val="002F0972"/>
    <w:rsid w:val="002F66CC"/>
    <w:rsid w:val="0030718A"/>
    <w:rsid w:val="00312C14"/>
    <w:rsid w:val="00315780"/>
    <w:rsid w:val="00330C29"/>
    <w:rsid w:val="00345379"/>
    <w:rsid w:val="00350706"/>
    <w:rsid w:val="00350F15"/>
    <w:rsid w:val="003640BF"/>
    <w:rsid w:val="003644DB"/>
    <w:rsid w:val="00364F68"/>
    <w:rsid w:val="0036555C"/>
    <w:rsid w:val="00365E43"/>
    <w:rsid w:val="00365ECE"/>
    <w:rsid w:val="003840AB"/>
    <w:rsid w:val="003900D4"/>
    <w:rsid w:val="00393288"/>
    <w:rsid w:val="00395C1D"/>
    <w:rsid w:val="00397E8D"/>
    <w:rsid w:val="003A102C"/>
    <w:rsid w:val="003A17B5"/>
    <w:rsid w:val="003A5C8F"/>
    <w:rsid w:val="003B0754"/>
    <w:rsid w:val="003B156E"/>
    <w:rsid w:val="003B378E"/>
    <w:rsid w:val="003B5707"/>
    <w:rsid w:val="003B6257"/>
    <w:rsid w:val="003B7B3E"/>
    <w:rsid w:val="003C3F8A"/>
    <w:rsid w:val="003C68B7"/>
    <w:rsid w:val="003C7BF1"/>
    <w:rsid w:val="003D2D2F"/>
    <w:rsid w:val="003D3AC7"/>
    <w:rsid w:val="003D3C7D"/>
    <w:rsid w:val="003D4656"/>
    <w:rsid w:val="003D6BDB"/>
    <w:rsid w:val="003E4296"/>
    <w:rsid w:val="003E4AE3"/>
    <w:rsid w:val="003F6412"/>
    <w:rsid w:val="003F7186"/>
    <w:rsid w:val="00406448"/>
    <w:rsid w:val="004073A1"/>
    <w:rsid w:val="00407EA0"/>
    <w:rsid w:val="00413549"/>
    <w:rsid w:val="00414746"/>
    <w:rsid w:val="004178CB"/>
    <w:rsid w:val="00417D71"/>
    <w:rsid w:val="00427E87"/>
    <w:rsid w:val="00431900"/>
    <w:rsid w:val="00436CD3"/>
    <w:rsid w:val="00452BD6"/>
    <w:rsid w:val="00454F42"/>
    <w:rsid w:val="00463DC8"/>
    <w:rsid w:val="00470128"/>
    <w:rsid w:val="004707F4"/>
    <w:rsid w:val="0048638F"/>
    <w:rsid w:val="004943D9"/>
    <w:rsid w:val="00494E4C"/>
    <w:rsid w:val="004A2E2D"/>
    <w:rsid w:val="004A2F01"/>
    <w:rsid w:val="004A3537"/>
    <w:rsid w:val="004A6AAC"/>
    <w:rsid w:val="004B0673"/>
    <w:rsid w:val="004B0B4D"/>
    <w:rsid w:val="004B6924"/>
    <w:rsid w:val="004D458C"/>
    <w:rsid w:val="004D46D9"/>
    <w:rsid w:val="004F2679"/>
    <w:rsid w:val="004F379C"/>
    <w:rsid w:val="004F4794"/>
    <w:rsid w:val="004F5BF4"/>
    <w:rsid w:val="00501EC0"/>
    <w:rsid w:val="0050364F"/>
    <w:rsid w:val="00504FCA"/>
    <w:rsid w:val="0050530C"/>
    <w:rsid w:val="005112AB"/>
    <w:rsid w:val="00512D29"/>
    <w:rsid w:val="005133F1"/>
    <w:rsid w:val="0051390E"/>
    <w:rsid w:val="00516FDF"/>
    <w:rsid w:val="0052193F"/>
    <w:rsid w:val="005219FD"/>
    <w:rsid w:val="00521E75"/>
    <w:rsid w:val="00522FF5"/>
    <w:rsid w:val="00526FC3"/>
    <w:rsid w:val="0053094C"/>
    <w:rsid w:val="005322C7"/>
    <w:rsid w:val="00540C91"/>
    <w:rsid w:val="005440B2"/>
    <w:rsid w:val="00546B16"/>
    <w:rsid w:val="0054765F"/>
    <w:rsid w:val="00550AB1"/>
    <w:rsid w:val="00550E35"/>
    <w:rsid w:val="00554729"/>
    <w:rsid w:val="00560786"/>
    <w:rsid w:val="0056642A"/>
    <w:rsid w:val="005764FF"/>
    <w:rsid w:val="0058706F"/>
    <w:rsid w:val="00592302"/>
    <w:rsid w:val="005A4B9B"/>
    <w:rsid w:val="005B41AD"/>
    <w:rsid w:val="005B4ECA"/>
    <w:rsid w:val="005C2114"/>
    <w:rsid w:val="005C2718"/>
    <w:rsid w:val="005C3D99"/>
    <w:rsid w:val="005C5711"/>
    <w:rsid w:val="005C67DF"/>
    <w:rsid w:val="005D1F75"/>
    <w:rsid w:val="005F1FA4"/>
    <w:rsid w:val="005F21DD"/>
    <w:rsid w:val="005F407C"/>
    <w:rsid w:val="005F604E"/>
    <w:rsid w:val="005F7B07"/>
    <w:rsid w:val="00601FAC"/>
    <w:rsid w:val="00602A16"/>
    <w:rsid w:val="00606E75"/>
    <w:rsid w:val="00614A77"/>
    <w:rsid w:val="00620394"/>
    <w:rsid w:val="00623926"/>
    <w:rsid w:val="00623F74"/>
    <w:rsid w:val="006241BA"/>
    <w:rsid w:val="00632443"/>
    <w:rsid w:val="006325DE"/>
    <w:rsid w:val="0063268D"/>
    <w:rsid w:val="00633F8B"/>
    <w:rsid w:val="00636DC4"/>
    <w:rsid w:val="00640085"/>
    <w:rsid w:val="00642F4C"/>
    <w:rsid w:val="00645345"/>
    <w:rsid w:val="00646D1C"/>
    <w:rsid w:val="00647F91"/>
    <w:rsid w:val="00660951"/>
    <w:rsid w:val="006612E3"/>
    <w:rsid w:val="00671C36"/>
    <w:rsid w:val="00676055"/>
    <w:rsid w:val="00680C9B"/>
    <w:rsid w:val="006856F4"/>
    <w:rsid w:val="006863F1"/>
    <w:rsid w:val="00692392"/>
    <w:rsid w:val="006A3B7D"/>
    <w:rsid w:val="006B65CD"/>
    <w:rsid w:val="006C5642"/>
    <w:rsid w:val="006D2BA8"/>
    <w:rsid w:val="006D374E"/>
    <w:rsid w:val="006E0CA5"/>
    <w:rsid w:val="006E1B94"/>
    <w:rsid w:val="006E6A0F"/>
    <w:rsid w:val="006F575C"/>
    <w:rsid w:val="006F613F"/>
    <w:rsid w:val="007017C7"/>
    <w:rsid w:val="00701990"/>
    <w:rsid w:val="00701EB8"/>
    <w:rsid w:val="00703467"/>
    <w:rsid w:val="00703B6D"/>
    <w:rsid w:val="0070570E"/>
    <w:rsid w:val="0071018B"/>
    <w:rsid w:val="007117E2"/>
    <w:rsid w:val="00711A61"/>
    <w:rsid w:val="00713C24"/>
    <w:rsid w:val="007316D4"/>
    <w:rsid w:val="007319C0"/>
    <w:rsid w:val="00733118"/>
    <w:rsid w:val="00734130"/>
    <w:rsid w:val="007369EA"/>
    <w:rsid w:val="007401CA"/>
    <w:rsid w:val="007404AC"/>
    <w:rsid w:val="0074162D"/>
    <w:rsid w:val="007419E9"/>
    <w:rsid w:val="0074218B"/>
    <w:rsid w:val="00745663"/>
    <w:rsid w:val="00746063"/>
    <w:rsid w:val="00752B8A"/>
    <w:rsid w:val="0075459A"/>
    <w:rsid w:val="00756FB9"/>
    <w:rsid w:val="0076451C"/>
    <w:rsid w:val="00771814"/>
    <w:rsid w:val="00782159"/>
    <w:rsid w:val="00783B11"/>
    <w:rsid w:val="00785AFA"/>
    <w:rsid w:val="00786638"/>
    <w:rsid w:val="00787252"/>
    <w:rsid w:val="007930ED"/>
    <w:rsid w:val="007A1449"/>
    <w:rsid w:val="007A2407"/>
    <w:rsid w:val="007A4FC4"/>
    <w:rsid w:val="007B099D"/>
    <w:rsid w:val="007B4EBB"/>
    <w:rsid w:val="007B692A"/>
    <w:rsid w:val="007B7BA4"/>
    <w:rsid w:val="007B7C39"/>
    <w:rsid w:val="007C001C"/>
    <w:rsid w:val="007D1BBA"/>
    <w:rsid w:val="007D63D3"/>
    <w:rsid w:val="007D7332"/>
    <w:rsid w:val="007E1262"/>
    <w:rsid w:val="007E15CD"/>
    <w:rsid w:val="007E25D5"/>
    <w:rsid w:val="007E4934"/>
    <w:rsid w:val="007E5F49"/>
    <w:rsid w:val="00800D39"/>
    <w:rsid w:val="0080209B"/>
    <w:rsid w:val="0080760E"/>
    <w:rsid w:val="00810D92"/>
    <w:rsid w:val="0081251F"/>
    <w:rsid w:val="00815CD0"/>
    <w:rsid w:val="0081634B"/>
    <w:rsid w:val="00817EAB"/>
    <w:rsid w:val="00820FD1"/>
    <w:rsid w:val="00830758"/>
    <w:rsid w:val="008330B2"/>
    <w:rsid w:val="00833214"/>
    <w:rsid w:val="0083713D"/>
    <w:rsid w:val="00844F22"/>
    <w:rsid w:val="00850843"/>
    <w:rsid w:val="00851912"/>
    <w:rsid w:val="008519A7"/>
    <w:rsid w:val="00852BAE"/>
    <w:rsid w:val="00861439"/>
    <w:rsid w:val="00870D23"/>
    <w:rsid w:val="008735CB"/>
    <w:rsid w:val="00874D6F"/>
    <w:rsid w:val="00875BC3"/>
    <w:rsid w:val="00880AEC"/>
    <w:rsid w:val="0088506B"/>
    <w:rsid w:val="00886452"/>
    <w:rsid w:val="00894EA0"/>
    <w:rsid w:val="008A2845"/>
    <w:rsid w:val="008A666E"/>
    <w:rsid w:val="008B3C5C"/>
    <w:rsid w:val="008B5DEE"/>
    <w:rsid w:val="008C05C4"/>
    <w:rsid w:val="008C0D6E"/>
    <w:rsid w:val="008C2FD7"/>
    <w:rsid w:val="008C4C5A"/>
    <w:rsid w:val="008C6A4D"/>
    <w:rsid w:val="008C6D04"/>
    <w:rsid w:val="008D2754"/>
    <w:rsid w:val="008D6058"/>
    <w:rsid w:val="008E37C7"/>
    <w:rsid w:val="008E67D9"/>
    <w:rsid w:val="008E7133"/>
    <w:rsid w:val="008F22F2"/>
    <w:rsid w:val="008F5BC0"/>
    <w:rsid w:val="009031C2"/>
    <w:rsid w:val="00910EBF"/>
    <w:rsid w:val="009122C7"/>
    <w:rsid w:val="00914EDA"/>
    <w:rsid w:val="00922002"/>
    <w:rsid w:val="0092386A"/>
    <w:rsid w:val="00924E96"/>
    <w:rsid w:val="009258CF"/>
    <w:rsid w:val="00925A48"/>
    <w:rsid w:val="009276C6"/>
    <w:rsid w:val="0093021D"/>
    <w:rsid w:val="00941402"/>
    <w:rsid w:val="00942D8E"/>
    <w:rsid w:val="009456D9"/>
    <w:rsid w:val="0094795F"/>
    <w:rsid w:val="00950022"/>
    <w:rsid w:val="0095551F"/>
    <w:rsid w:val="00962A83"/>
    <w:rsid w:val="0096543B"/>
    <w:rsid w:val="009721CA"/>
    <w:rsid w:val="00983B54"/>
    <w:rsid w:val="00984198"/>
    <w:rsid w:val="00984699"/>
    <w:rsid w:val="00986D98"/>
    <w:rsid w:val="00986FCC"/>
    <w:rsid w:val="00992011"/>
    <w:rsid w:val="009928C5"/>
    <w:rsid w:val="00995E23"/>
    <w:rsid w:val="009A0A86"/>
    <w:rsid w:val="009A14C6"/>
    <w:rsid w:val="009A2E85"/>
    <w:rsid w:val="009A3789"/>
    <w:rsid w:val="009A6018"/>
    <w:rsid w:val="009A7A4F"/>
    <w:rsid w:val="009B134B"/>
    <w:rsid w:val="009B5F04"/>
    <w:rsid w:val="009D1EB3"/>
    <w:rsid w:val="009D39D6"/>
    <w:rsid w:val="009E002A"/>
    <w:rsid w:val="009E17C0"/>
    <w:rsid w:val="009E7509"/>
    <w:rsid w:val="009F47EF"/>
    <w:rsid w:val="00A0282B"/>
    <w:rsid w:val="00A02B5F"/>
    <w:rsid w:val="00A069E3"/>
    <w:rsid w:val="00A07A63"/>
    <w:rsid w:val="00A10BBD"/>
    <w:rsid w:val="00A2486B"/>
    <w:rsid w:val="00A3336E"/>
    <w:rsid w:val="00A35D29"/>
    <w:rsid w:val="00A3740D"/>
    <w:rsid w:val="00A40D48"/>
    <w:rsid w:val="00A42AF3"/>
    <w:rsid w:val="00A430F5"/>
    <w:rsid w:val="00A50687"/>
    <w:rsid w:val="00A51683"/>
    <w:rsid w:val="00A6013A"/>
    <w:rsid w:val="00A747DE"/>
    <w:rsid w:val="00A748EC"/>
    <w:rsid w:val="00A75BF5"/>
    <w:rsid w:val="00A8215E"/>
    <w:rsid w:val="00A87BF2"/>
    <w:rsid w:val="00A87F7F"/>
    <w:rsid w:val="00A92660"/>
    <w:rsid w:val="00A928A3"/>
    <w:rsid w:val="00A92F9E"/>
    <w:rsid w:val="00A93C6A"/>
    <w:rsid w:val="00A94291"/>
    <w:rsid w:val="00A97422"/>
    <w:rsid w:val="00AB0772"/>
    <w:rsid w:val="00AB2884"/>
    <w:rsid w:val="00AB5DEA"/>
    <w:rsid w:val="00AB63F9"/>
    <w:rsid w:val="00AC41B6"/>
    <w:rsid w:val="00AC4B6A"/>
    <w:rsid w:val="00AC67AF"/>
    <w:rsid w:val="00AD0C3E"/>
    <w:rsid w:val="00AD2A3E"/>
    <w:rsid w:val="00AD2B05"/>
    <w:rsid w:val="00AD6E21"/>
    <w:rsid w:val="00AE0795"/>
    <w:rsid w:val="00B02566"/>
    <w:rsid w:val="00B06873"/>
    <w:rsid w:val="00B07424"/>
    <w:rsid w:val="00B11678"/>
    <w:rsid w:val="00B17D47"/>
    <w:rsid w:val="00B30576"/>
    <w:rsid w:val="00B31B2D"/>
    <w:rsid w:val="00B3273F"/>
    <w:rsid w:val="00B3348B"/>
    <w:rsid w:val="00B3719F"/>
    <w:rsid w:val="00B428D8"/>
    <w:rsid w:val="00B42C27"/>
    <w:rsid w:val="00B43172"/>
    <w:rsid w:val="00B57AC7"/>
    <w:rsid w:val="00B60EE3"/>
    <w:rsid w:val="00B62090"/>
    <w:rsid w:val="00B62CDA"/>
    <w:rsid w:val="00B711BA"/>
    <w:rsid w:val="00B7613E"/>
    <w:rsid w:val="00B96975"/>
    <w:rsid w:val="00B97364"/>
    <w:rsid w:val="00BA0B50"/>
    <w:rsid w:val="00BA3266"/>
    <w:rsid w:val="00BB6105"/>
    <w:rsid w:val="00BC7D47"/>
    <w:rsid w:val="00BD44CF"/>
    <w:rsid w:val="00BD4986"/>
    <w:rsid w:val="00BD562E"/>
    <w:rsid w:val="00BE13F8"/>
    <w:rsid w:val="00BE1A6E"/>
    <w:rsid w:val="00BE2611"/>
    <w:rsid w:val="00BE4615"/>
    <w:rsid w:val="00C12DDB"/>
    <w:rsid w:val="00C1642B"/>
    <w:rsid w:val="00C216E3"/>
    <w:rsid w:val="00C241B9"/>
    <w:rsid w:val="00C36C5E"/>
    <w:rsid w:val="00C40A7A"/>
    <w:rsid w:val="00C411B8"/>
    <w:rsid w:val="00C422F8"/>
    <w:rsid w:val="00C428AC"/>
    <w:rsid w:val="00C50545"/>
    <w:rsid w:val="00C50D0B"/>
    <w:rsid w:val="00C542C2"/>
    <w:rsid w:val="00C72BD2"/>
    <w:rsid w:val="00C7328D"/>
    <w:rsid w:val="00C9200F"/>
    <w:rsid w:val="00C95B96"/>
    <w:rsid w:val="00C9712C"/>
    <w:rsid w:val="00CA3632"/>
    <w:rsid w:val="00CB3E29"/>
    <w:rsid w:val="00CC072C"/>
    <w:rsid w:val="00CC337E"/>
    <w:rsid w:val="00CE72C9"/>
    <w:rsid w:val="00CF45BB"/>
    <w:rsid w:val="00CF5460"/>
    <w:rsid w:val="00CF5464"/>
    <w:rsid w:val="00D01217"/>
    <w:rsid w:val="00D029C8"/>
    <w:rsid w:val="00D04B7C"/>
    <w:rsid w:val="00D053E1"/>
    <w:rsid w:val="00D13E07"/>
    <w:rsid w:val="00D31691"/>
    <w:rsid w:val="00D33385"/>
    <w:rsid w:val="00D33AE6"/>
    <w:rsid w:val="00D36A6D"/>
    <w:rsid w:val="00D4780E"/>
    <w:rsid w:val="00D549B0"/>
    <w:rsid w:val="00D669DB"/>
    <w:rsid w:val="00D737DB"/>
    <w:rsid w:val="00D74084"/>
    <w:rsid w:val="00D76551"/>
    <w:rsid w:val="00D76853"/>
    <w:rsid w:val="00D836FA"/>
    <w:rsid w:val="00D84E14"/>
    <w:rsid w:val="00D86C4E"/>
    <w:rsid w:val="00D902CA"/>
    <w:rsid w:val="00D90C58"/>
    <w:rsid w:val="00D944DA"/>
    <w:rsid w:val="00DA1FB8"/>
    <w:rsid w:val="00DA5341"/>
    <w:rsid w:val="00DA5611"/>
    <w:rsid w:val="00DB1D96"/>
    <w:rsid w:val="00DC4753"/>
    <w:rsid w:val="00DC58CD"/>
    <w:rsid w:val="00DD383E"/>
    <w:rsid w:val="00DD4989"/>
    <w:rsid w:val="00DD4ACE"/>
    <w:rsid w:val="00DD5795"/>
    <w:rsid w:val="00DD5AB9"/>
    <w:rsid w:val="00DD6BBE"/>
    <w:rsid w:val="00DE4B56"/>
    <w:rsid w:val="00DE7214"/>
    <w:rsid w:val="00DF3929"/>
    <w:rsid w:val="00DF6F19"/>
    <w:rsid w:val="00E007ED"/>
    <w:rsid w:val="00E145C5"/>
    <w:rsid w:val="00E22D38"/>
    <w:rsid w:val="00E243D2"/>
    <w:rsid w:val="00E25824"/>
    <w:rsid w:val="00E3302B"/>
    <w:rsid w:val="00E41B64"/>
    <w:rsid w:val="00E56D36"/>
    <w:rsid w:val="00E57D3C"/>
    <w:rsid w:val="00E623CF"/>
    <w:rsid w:val="00E62707"/>
    <w:rsid w:val="00E642B8"/>
    <w:rsid w:val="00E6754A"/>
    <w:rsid w:val="00E75554"/>
    <w:rsid w:val="00E75AB2"/>
    <w:rsid w:val="00E773E5"/>
    <w:rsid w:val="00E85BDC"/>
    <w:rsid w:val="00E87948"/>
    <w:rsid w:val="00E973BF"/>
    <w:rsid w:val="00E97F9F"/>
    <w:rsid w:val="00EA1C9E"/>
    <w:rsid w:val="00EA3B41"/>
    <w:rsid w:val="00EA5D96"/>
    <w:rsid w:val="00EA60FD"/>
    <w:rsid w:val="00EB2773"/>
    <w:rsid w:val="00EC0254"/>
    <w:rsid w:val="00EC075F"/>
    <w:rsid w:val="00EC4BB1"/>
    <w:rsid w:val="00ED5037"/>
    <w:rsid w:val="00EE39A7"/>
    <w:rsid w:val="00EF1BBB"/>
    <w:rsid w:val="00EF4D9A"/>
    <w:rsid w:val="00EF75DC"/>
    <w:rsid w:val="00F000FD"/>
    <w:rsid w:val="00F00AEC"/>
    <w:rsid w:val="00F05742"/>
    <w:rsid w:val="00F12147"/>
    <w:rsid w:val="00F12679"/>
    <w:rsid w:val="00F2545E"/>
    <w:rsid w:val="00F31B1C"/>
    <w:rsid w:val="00F403B5"/>
    <w:rsid w:val="00F44414"/>
    <w:rsid w:val="00F479A7"/>
    <w:rsid w:val="00F5087F"/>
    <w:rsid w:val="00F52A2B"/>
    <w:rsid w:val="00F5518C"/>
    <w:rsid w:val="00F560A2"/>
    <w:rsid w:val="00F56BC4"/>
    <w:rsid w:val="00F60F7A"/>
    <w:rsid w:val="00F614DC"/>
    <w:rsid w:val="00F749A1"/>
    <w:rsid w:val="00F74EC4"/>
    <w:rsid w:val="00F8622E"/>
    <w:rsid w:val="00F922FA"/>
    <w:rsid w:val="00F9566D"/>
    <w:rsid w:val="00F9703A"/>
    <w:rsid w:val="00FA4325"/>
    <w:rsid w:val="00FA5FE3"/>
    <w:rsid w:val="00FE122D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98D0"/>
  <w15:docId w15:val="{1DE8DB67-8383-4527-8C24-A9BC9315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19224F"/>
        <w:szCs w:val="22"/>
        <w:lang w:val="cs-CZ" w:eastAsia="en-US" w:bidi="ar-SA"/>
        <w14:numSpacing w14:val="tabula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B7C"/>
    <w:pPr>
      <w:spacing w:before="120" w:after="120" w:line="288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2486B"/>
    <w:pPr>
      <w:keepNext/>
      <w:keepLines/>
      <w:pageBreakBefore/>
      <w:numPr>
        <w:numId w:val="3"/>
      </w:numPr>
      <w:pBdr>
        <w:bottom w:val="single" w:sz="4" w:space="1" w:color="222550"/>
      </w:pBdr>
      <w:spacing w:before="360" w:after="360" w:line="24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486B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bCs/>
      <w:color w:val="953698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486B"/>
    <w:pPr>
      <w:keepNext/>
      <w:keepLines/>
      <w:numPr>
        <w:ilvl w:val="2"/>
        <w:numId w:val="3"/>
      </w:numPr>
      <w:spacing w:before="360" w:after="160"/>
      <w:outlineLvl w:val="2"/>
    </w:pPr>
    <w:rPr>
      <w:rFonts w:eastAsiaTheme="majorEastAsia" w:cstheme="majorBidi"/>
      <w:bCs/>
      <w:color w:val="953698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486B"/>
    <w:pPr>
      <w:keepNext/>
      <w:keepLines/>
      <w:numPr>
        <w:ilvl w:val="3"/>
        <w:numId w:val="3"/>
      </w:numPr>
      <w:spacing w:before="36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2486B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2486B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2486B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248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439C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48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1439C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86B"/>
    <w:rPr>
      <w:rFonts w:eastAsiaTheme="majorEastAsia" w:cstheme="majorBidi"/>
      <w:b/>
      <w:bCs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2486B"/>
    <w:rPr>
      <w:rFonts w:eastAsiaTheme="majorEastAsia" w:cstheme="majorBidi"/>
      <w:b/>
      <w:bCs/>
      <w:color w:val="953698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486B"/>
    <w:rPr>
      <w:rFonts w:eastAsiaTheme="majorEastAsia" w:cstheme="majorBidi"/>
      <w:bCs/>
      <w:color w:val="953698"/>
      <w:sz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486B"/>
    <w:pPr>
      <w:pageBreakBefore w:val="0"/>
      <w:numPr>
        <w:numId w:val="0"/>
      </w:numPr>
      <w:spacing w:before="480" w:after="0"/>
      <w:outlineLvl w:val="9"/>
    </w:pPr>
    <w:rPr>
      <w:rFonts w:asciiTheme="majorHAnsi" w:hAnsiTheme="majorHAnsi"/>
      <w:b w:val="0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uiPriority w:val="39"/>
    <w:unhideWhenUsed/>
    <w:rsid w:val="00A94291"/>
    <w:pPr>
      <w:keepNext/>
      <w:spacing w:after="100"/>
      <w:ind w:left="511" w:right="284" w:hanging="227"/>
    </w:pPr>
  </w:style>
  <w:style w:type="paragraph" w:styleId="Obsah2">
    <w:name w:val="toc 2"/>
    <w:basedOn w:val="Normln"/>
    <w:next w:val="Normln"/>
    <w:uiPriority w:val="39"/>
    <w:unhideWhenUsed/>
    <w:rsid w:val="001A39B4"/>
    <w:pPr>
      <w:spacing w:after="100"/>
      <w:ind w:left="1304" w:right="284" w:hanging="567"/>
    </w:pPr>
  </w:style>
  <w:style w:type="paragraph" w:styleId="Obsah3">
    <w:name w:val="toc 3"/>
    <w:basedOn w:val="Normln"/>
    <w:next w:val="Normln"/>
    <w:uiPriority w:val="39"/>
    <w:unhideWhenUsed/>
    <w:rsid w:val="001A39B4"/>
    <w:pPr>
      <w:tabs>
        <w:tab w:val="left" w:pos="2041"/>
        <w:tab w:val="right" w:leader="dot" w:pos="9062"/>
      </w:tabs>
      <w:spacing w:after="100"/>
      <w:ind w:left="2041" w:right="284" w:hanging="737"/>
    </w:pPr>
  </w:style>
  <w:style w:type="character" w:styleId="Hypertextovodkaz">
    <w:name w:val="Hyperlink"/>
    <w:basedOn w:val="Standardnpsmoodstavce"/>
    <w:uiPriority w:val="99"/>
    <w:unhideWhenUsed/>
    <w:rsid w:val="00924E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E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E96"/>
    <w:rPr>
      <w:rFonts w:ascii="Tahoma" w:hAnsi="Tahoma" w:cs="Tahoma"/>
      <w:color w:val="000066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4E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24E96"/>
    <w:rPr>
      <w:rFonts w:ascii="Frutiger LT Com 45 Light" w:hAnsi="Frutiger LT Com 45 Light"/>
      <w:color w:val="000066"/>
      <w:sz w:val="20"/>
    </w:rPr>
  </w:style>
  <w:style w:type="paragraph" w:styleId="Zpat">
    <w:name w:val="footer"/>
    <w:basedOn w:val="Normln"/>
    <w:link w:val="ZpatChar"/>
    <w:uiPriority w:val="99"/>
    <w:unhideWhenUsed/>
    <w:rsid w:val="00924E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24E96"/>
    <w:rPr>
      <w:rFonts w:ascii="Frutiger LT Com 45 Light" w:hAnsi="Frutiger LT Com 45 Light"/>
      <w:color w:val="000066"/>
      <w:sz w:val="20"/>
    </w:rPr>
  </w:style>
  <w:style w:type="table" w:styleId="Mkatabulky">
    <w:name w:val="Table Grid"/>
    <w:basedOn w:val="Normlntabulka"/>
    <w:uiPriority w:val="59"/>
    <w:rsid w:val="00F5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F52A2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1">
    <w:name w:val="Light List Accent 1"/>
    <w:basedOn w:val="Normlntabulka"/>
    <w:uiPriority w:val="61"/>
    <w:rsid w:val="00F52A2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A2486B"/>
    <w:pPr>
      <w:spacing w:before="240"/>
    </w:pPr>
    <w:rPr>
      <w:bCs/>
      <w:color w:val="95369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2486B"/>
    <w:pPr>
      <w:spacing w:after="240"/>
      <w:contextualSpacing/>
    </w:pPr>
  </w:style>
  <w:style w:type="paragraph" w:styleId="Seznamobrzk">
    <w:name w:val="table of figures"/>
    <w:basedOn w:val="Normln"/>
    <w:next w:val="Normln"/>
    <w:uiPriority w:val="99"/>
    <w:unhideWhenUsed/>
    <w:rsid w:val="00F403B5"/>
    <w:pPr>
      <w:spacing w:after="0"/>
      <w:ind w:left="1078" w:right="284" w:hanging="794"/>
    </w:pPr>
  </w:style>
  <w:style w:type="numbering" w:customStyle="1" w:styleId="O2seznam">
    <w:name w:val="O2 seznam"/>
    <w:uiPriority w:val="99"/>
    <w:rsid w:val="006F575C"/>
    <w:pPr>
      <w:numPr>
        <w:numId w:val="1"/>
      </w:numPr>
    </w:pPr>
  </w:style>
  <w:style w:type="paragraph" w:styleId="Bezmezer">
    <w:name w:val="No Spacing"/>
    <w:link w:val="BezmezerChar"/>
    <w:uiPriority w:val="1"/>
    <w:rsid w:val="00983B5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2A7697"/>
  </w:style>
  <w:style w:type="paragraph" w:customStyle="1" w:styleId="TabulkaO2">
    <w:name w:val="Tabulka O2"/>
    <w:basedOn w:val="Normln"/>
    <w:qFormat/>
    <w:rsid w:val="00A2486B"/>
    <w:pPr>
      <w:keepLines/>
      <w:spacing w:before="40" w:after="40" w:line="240" w:lineRule="auto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A2486B"/>
    <w:rPr>
      <w:rFonts w:eastAsiaTheme="majorEastAsia" w:cstheme="majorBidi"/>
      <w:b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A2486B"/>
    <w:rPr>
      <w:rFonts w:eastAsiaTheme="majorEastAsia" w:cstheme="majorBidi"/>
      <w:b/>
    </w:rPr>
  </w:style>
  <w:style w:type="character" w:customStyle="1" w:styleId="Nadpis6Char">
    <w:name w:val="Nadpis 6 Char"/>
    <w:basedOn w:val="Standardnpsmoodstavce"/>
    <w:link w:val="Nadpis6"/>
    <w:uiPriority w:val="9"/>
    <w:rsid w:val="00A2486B"/>
    <w:rPr>
      <w:rFonts w:eastAsiaTheme="majorEastAsia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A2486B"/>
    <w:rPr>
      <w:rFonts w:eastAsiaTheme="majorEastAsia" w:cstheme="majorBidi"/>
      <w:b/>
      <w:iCs/>
    </w:rPr>
  </w:style>
  <w:style w:type="character" w:customStyle="1" w:styleId="Nadpis8Char">
    <w:name w:val="Nadpis 8 Char"/>
    <w:basedOn w:val="Standardnpsmoodstavce"/>
    <w:link w:val="Nadpis8"/>
    <w:uiPriority w:val="9"/>
    <w:rsid w:val="00A2486B"/>
    <w:rPr>
      <w:rFonts w:asciiTheme="majorHAnsi" w:eastAsiaTheme="majorEastAsia" w:hAnsiTheme="majorHAnsi" w:cstheme="majorBidi"/>
      <w:color w:val="31439C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2486B"/>
    <w:rPr>
      <w:rFonts w:asciiTheme="majorHAnsi" w:eastAsiaTheme="majorEastAsia" w:hAnsiTheme="majorHAnsi" w:cstheme="majorBidi"/>
      <w:i/>
      <w:iCs/>
      <w:color w:val="31439C" w:themeColor="text1" w:themeTint="BF"/>
      <w:szCs w:val="20"/>
    </w:rPr>
  </w:style>
  <w:style w:type="paragraph" w:customStyle="1" w:styleId="LogoO2">
    <w:name w:val="Logo O2"/>
    <w:link w:val="LogoO2Char"/>
    <w:rsid w:val="007369EA"/>
    <w:pPr>
      <w:spacing w:after="0" w:line="240" w:lineRule="auto"/>
    </w:pPr>
    <w:rPr>
      <w:rFonts w:ascii="Frutiger LT Com 45 Light" w:hAnsi="Frutiger LT Com 45 Light"/>
      <w:color w:val="192575"/>
      <w:sz w:val="16"/>
    </w:rPr>
  </w:style>
  <w:style w:type="character" w:customStyle="1" w:styleId="LogoO2Char">
    <w:name w:val="Logo O2 Char"/>
    <w:basedOn w:val="Standardnpsmoodstavce"/>
    <w:link w:val="LogoO2"/>
    <w:rsid w:val="007369EA"/>
    <w:rPr>
      <w:rFonts w:ascii="Frutiger LT Com 45 Light" w:hAnsi="Frutiger LT Com 45 Light"/>
      <w:color w:val="192575"/>
      <w:sz w:val="16"/>
    </w:rPr>
  </w:style>
  <w:style w:type="paragraph" w:styleId="Obsah4">
    <w:name w:val="toc 4"/>
    <w:basedOn w:val="Normln"/>
    <w:next w:val="Normln"/>
    <w:autoRedefine/>
    <w:uiPriority w:val="39"/>
    <w:unhideWhenUsed/>
    <w:rsid w:val="008C6A4D"/>
    <w:pPr>
      <w:spacing w:after="100"/>
      <w:ind w:left="601" w:right="284"/>
    </w:pPr>
  </w:style>
  <w:style w:type="table" w:styleId="Svtlstnovnzvraznn3">
    <w:name w:val="Light Shading Accent 3"/>
    <w:basedOn w:val="Normlntabulka"/>
    <w:uiPriority w:val="60"/>
    <w:rsid w:val="00B620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">
    <w:name w:val="Light Shading"/>
    <w:basedOn w:val="Normlntabulka"/>
    <w:uiPriority w:val="60"/>
    <w:rsid w:val="00AD2B05"/>
    <w:pPr>
      <w:spacing w:after="0" w:line="240" w:lineRule="auto"/>
    </w:pPr>
    <w:rPr>
      <w:color w:val="12193A" w:themeColor="text1" w:themeShade="BF"/>
    </w:rPr>
    <w:tblPr>
      <w:tblStyleRowBandSize w:val="1"/>
      <w:tblStyleColBandSize w:val="1"/>
      <w:tblBorders>
        <w:top w:val="single" w:sz="8" w:space="0" w:color="19224F" w:themeColor="text1"/>
        <w:bottom w:val="single" w:sz="8" w:space="0" w:color="19224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4F" w:themeColor="text1"/>
          <w:left w:val="nil"/>
          <w:bottom w:val="single" w:sz="8" w:space="0" w:color="19224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4F" w:themeColor="text1"/>
          <w:left w:val="nil"/>
          <w:bottom w:val="single" w:sz="8" w:space="0" w:color="19224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BE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BE7" w:themeFill="text1" w:themeFillTint="3F"/>
      </w:tcPr>
    </w:tblStylePr>
  </w:style>
  <w:style w:type="table" w:styleId="Svtlstnovnzvraznn4">
    <w:name w:val="Light Shading Accent 4"/>
    <w:basedOn w:val="Normlntabulka"/>
    <w:uiPriority w:val="60"/>
    <w:rsid w:val="000A613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slostrnky">
    <w:name w:val="page number"/>
    <w:basedOn w:val="Standardnpsmoodstavce"/>
    <w:rsid w:val="00733118"/>
  </w:style>
  <w:style w:type="character" w:styleId="Odkaznakoment">
    <w:name w:val="annotation reference"/>
    <w:basedOn w:val="Standardnpsmoodstavce"/>
    <w:semiHidden/>
    <w:unhideWhenUsed/>
    <w:rsid w:val="008330B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330B2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330B2"/>
    <w:rPr>
      <w:rFonts w:ascii="Frutiger LT Com 45 Light" w:hAnsi="Frutiger LT Com 45 Light"/>
      <w:color w:val="192575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0B2"/>
    <w:rPr>
      <w:rFonts w:ascii="Frutiger LT Com 45 Light" w:hAnsi="Frutiger LT Com 45 Light"/>
      <w:b/>
      <w:bCs/>
      <w:color w:val="192575"/>
      <w:sz w:val="20"/>
      <w:szCs w:val="20"/>
    </w:rPr>
  </w:style>
  <w:style w:type="table" w:styleId="Svtlmkatabulky">
    <w:name w:val="Grid Table Light"/>
    <w:basedOn w:val="Normlntabulka"/>
    <w:uiPriority w:val="40"/>
    <w:rsid w:val="002163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rka">
    <w:name w:val="Odrážka"/>
    <w:basedOn w:val="Normln"/>
    <w:link w:val="OdrkaChar"/>
    <w:qFormat/>
    <w:rsid w:val="00A2486B"/>
    <w:pPr>
      <w:keepNext/>
      <w:spacing w:before="360"/>
    </w:pPr>
    <w:rPr>
      <w:b/>
    </w:rPr>
  </w:style>
  <w:style w:type="character" w:customStyle="1" w:styleId="OdrkaChar">
    <w:name w:val="Odrážka Char"/>
    <w:basedOn w:val="Standardnpsmoodstavce"/>
    <w:link w:val="Odrka"/>
    <w:rsid w:val="00A2486B"/>
    <w:rPr>
      <w:b/>
    </w:rPr>
  </w:style>
  <w:style w:type="paragraph" w:customStyle="1" w:styleId="Poznmkapodtabulkou">
    <w:name w:val="Poznámka pod tabulkou"/>
    <w:basedOn w:val="Normln"/>
    <w:link w:val="PoznmkapodtabulkouChar"/>
    <w:rsid w:val="00CC337E"/>
    <w:pPr>
      <w:keepNext/>
      <w:tabs>
        <w:tab w:val="left" w:pos="284"/>
      </w:tabs>
      <w:spacing w:after="360" w:line="240" w:lineRule="auto"/>
      <w:contextualSpacing/>
    </w:pPr>
    <w:rPr>
      <w:sz w:val="16"/>
      <w:szCs w:val="16"/>
    </w:rPr>
  </w:style>
  <w:style w:type="character" w:customStyle="1" w:styleId="PoznmkapodtabulkouChar">
    <w:name w:val="Poznámka pod tabulkou Char"/>
    <w:basedOn w:val="Standardnpsmoodstavce"/>
    <w:link w:val="Poznmkapodtabulkou"/>
    <w:rsid w:val="00CC337E"/>
    <w:rPr>
      <w:rFonts w:ascii="Arial" w:hAnsi="Arial"/>
      <w:color w:val="000066"/>
      <w:sz w:val="16"/>
      <w:szCs w:val="16"/>
    </w:rPr>
  </w:style>
  <w:style w:type="paragraph" w:customStyle="1" w:styleId="poznmkapodtabulkou0">
    <w:name w:val="poznámka pod tabulkou"/>
    <w:basedOn w:val="Normln"/>
    <w:link w:val="poznmkapodtabulkouChar0"/>
    <w:qFormat/>
    <w:rsid w:val="00A2486B"/>
    <w:pPr>
      <w:spacing w:after="360"/>
      <w:contextualSpacing/>
    </w:pPr>
    <w:rPr>
      <w:sz w:val="16"/>
      <w:szCs w:val="16"/>
    </w:rPr>
  </w:style>
  <w:style w:type="character" w:customStyle="1" w:styleId="poznmkapodtabulkouChar0">
    <w:name w:val="poznámka pod tabulkou Char"/>
    <w:basedOn w:val="Standardnpsmoodstavce"/>
    <w:link w:val="poznmkapodtabulkou0"/>
    <w:rsid w:val="00A2486B"/>
    <w:rPr>
      <w:sz w:val="16"/>
      <w:szCs w:val="16"/>
    </w:rPr>
  </w:style>
  <w:style w:type="table" w:styleId="Tabulkaseznamu3">
    <w:name w:val="List Table 3"/>
    <w:basedOn w:val="Normlntabulka"/>
    <w:uiPriority w:val="48"/>
    <w:rsid w:val="00C9712C"/>
    <w:pPr>
      <w:spacing w:after="0" w:line="240" w:lineRule="auto"/>
    </w:pPr>
    <w:tblPr>
      <w:tblStyleRowBandSize w:val="1"/>
      <w:tblStyleColBandSize w:val="1"/>
      <w:tblBorders>
        <w:top w:val="single" w:sz="4" w:space="0" w:color="19224F" w:themeColor="text1"/>
        <w:left w:val="single" w:sz="4" w:space="0" w:color="19224F" w:themeColor="text1"/>
        <w:bottom w:val="single" w:sz="4" w:space="0" w:color="19224F" w:themeColor="text1"/>
        <w:right w:val="single" w:sz="4" w:space="0" w:color="19224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224F" w:themeFill="text1"/>
      </w:tcPr>
    </w:tblStylePr>
    <w:tblStylePr w:type="lastRow">
      <w:rPr>
        <w:b/>
        <w:bCs/>
      </w:rPr>
      <w:tblPr/>
      <w:tcPr>
        <w:tcBorders>
          <w:top w:val="double" w:sz="4" w:space="0" w:color="19224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224F" w:themeColor="text1"/>
          <w:right w:val="single" w:sz="4" w:space="0" w:color="19224F" w:themeColor="text1"/>
        </w:tcBorders>
      </w:tcPr>
    </w:tblStylePr>
    <w:tblStylePr w:type="band1Horz">
      <w:tblPr/>
      <w:tcPr>
        <w:tcBorders>
          <w:top w:val="single" w:sz="4" w:space="0" w:color="19224F" w:themeColor="text1"/>
          <w:bottom w:val="single" w:sz="4" w:space="0" w:color="19224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224F" w:themeColor="text1"/>
          <w:left w:val="nil"/>
        </w:tcBorders>
      </w:tcPr>
    </w:tblStylePr>
    <w:tblStylePr w:type="swCell">
      <w:tblPr/>
      <w:tcPr>
        <w:tcBorders>
          <w:top w:val="double" w:sz="4" w:space="0" w:color="19224F" w:themeColor="text1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C9712C"/>
    <w:pPr>
      <w:spacing w:after="0" w:line="240" w:lineRule="auto"/>
    </w:pPr>
    <w:tblPr>
      <w:tblStyleRowBandSize w:val="1"/>
      <w:tblStyleColBandSize w:val="1"/>
      <w:tblBorders>
        <w:top w:val="single" w:sz="4" w:space="0" w:color="455AC4" w:themeColor="text1" w:themeTint="99"/>
        <w:left w:val="single" w:sz="4" w:space="0" w:color="455AC4" w:themeColor="text1" w:themeTint="99"/>
        <w:bottom w:val="single" w:sz="4" w:space="0" w:color="455AC4" w:themeColor="text1" w:themeTint="99"/>
        <w:right w:val="single" w:sz="4" w:space="0" w:color="455AC4" w:themeColor="text1" w:themeTint="99"/>
        <w:insideH w:val="single" w:sz="4" w:space="0" w:color="455AC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224F" w:themeColor="text1"/>
          <w:left w:val="single" w:sz="4" w:space="0" w:color="19224F" w:themeColor="text1"/>
          <w:bottom w:val="single" w:sz="4" w:space="0" w:color="19224F" w:themeColor="text1"/>
          <w:right w:val="single" w:sz="4" w:space="0" w:color="19224F" w:themeColor="text1"/>
          <w:insideH w:val="nil"/>
        </w:tcBorders>
        <w:shd w:val="clear" w:color="auto" w:fill="19224F" w:themeFill="text1"/>
      </w:tcPr>
    </w:tblStylePr>
    <w:tblStylePr w:type="lastRow">
      <w:rPr>
        <w:b/>
        <w:bCs/>
      </w:rPr>
      <w:tblPr/>
      <w:tcPr>
        <w:tcBorders>
          <w:top w:val="double" w:sz="4" w:space="0" w:color="455AC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8EB" w:themeFill="text1" w:themeFillTint="33"/>
      </w:tcPr>
    </w:tblStylePr>
    <w:tblStylePr w:type="band1Horz">
      <w:tblPr/>
      <w:tcPr>
        <w:shd w:val="clear" w:color="auto" w:fill="C1C8EB" w:themeFill="text1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A2486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8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86B"/>
    <w:pPr>
      <w:numPr>
        <w:ilvl w:val="1"/>
      </w:numPr>
      <w:spacing w:after="160"/>
    </w:pPr>
    <w:rPr>
      <w:rFonts w:eastAsiaTheme="minorEastAsia"/>
      <w:color w:val="3B50BB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2486B"/>
    <w:rPr>
      <w:rFonts w:eastAsiaTheme="minorEastAsia"/>
      <w:color w:val="3B50BB" w:themeColor="text1" w:themeTint="A5"/>
      <w:spacing w:val="15"/>
      <w:sz w:val="22"/>
    </w:rPr>
  </w:style>
  <w:style w:type="character" w:styleId="Siln">
    <w:name w:val="Strong"/>
    <w:basedOn w:val="Standardnpsmoodstavce"/>
    <w:uiPriority w:val="22"/>
    <w:qFormat/>
    <w:rsid w:val="00A2486B"/>
    <w:rPr>
      <w:b/>
      <w:bCs/>
    </w:rPr>
  </w:style>
  <w:style w:type="character" w:styleId="Zdraznn">
    <w:name w:val="Emphasis"/>
    <w:basedOn w:val="Standardnpsmoodstavce"/>
    <w:uiPriority w:val="20"/>
    <w:qFormat/>
    <w:rsid w:val="00A2486B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2486B"/>
    <w:pPr>
      <w:spacing w:before="200" w:after="160"/>
      <w:ind w:left="864" w:right="864"/>
      <w:jc w:val="center"/>
    </w:pPr>
    <w:rPr>
      <w:i/>
      <w:iCs/>
      <w:color w:val="31439C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86B"/>
    <w:rPr>
      <w:i/>
      <w:iCs/>
      <w:color w:val="31439C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86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86B"/>
    <w:rPr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2486B"/>
    <w:rPr>
      <w:i/>
      <w:iCs/>
      <w:color w:val="31439C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2486B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2486B"/>
    <w:rPr>
      <w:smallCaps/>
      <w:color w:val="3B50BB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A2486B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A2486B"/>
    <w:rPr>
      <w:b/>
      <w:bCs/>
      <w:i/>
      <w:iCs/>
      <w:spacing w:val="5"/>
    </w:rPr>
  </w:style>
  <w:style w:type="table" w:styleId="Prosttabulka1">
    <w:name w:val="Plain Table 1"/>
    <w:basedOn w:val="Normlntabulka"/>
    <w:uiPriority w:val="41"/>
    <w:rsid w:val="005B41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B41AD"/>
    <w:pPr>
      <w:spacing w:after="0" w:line="240" w:lineRule="auto"/>
    </w:pPr>
    <w:tblPr>
      <w:tblStyleRowBandSize w:val="1"/>
      <w:tblStyleColBandSize w:val="1"/>
      <w:tblBorders>
        <w:top w:val="single" w:sz="4" w:space="0" w:color="6475CE" w:themeColor="text1" w:themeTint="80"/>
        <w:bottom w:val="single" w:sz="4" w:space="0" w:color="6475C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475C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475C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475CE" w:themeColor="text1" w:themeTint="80"/>
          <w:right w:val="single" w:sz="4" w:space="0" w:color="6475CE" w:themeColor="text1" w:themeTint="80"/>
        </w:tcBorders>
      </w:tcPr>
    </w:tblStylePr>
    <w:tblStylePr w:type="band2Vert">
      <w:tblPr/>
      <w:tcPr>
        <w:tcBorders>
          <w:left w:val="single" w:sz="4" w:space="0" w:color="6475CE" w:themeColor="text1" w:themeTint="80"/>
          <w:right w:val="single" w:sz="4" w:space="0" w:color="6475CE" w:themeColor="text1" w:themeTint="80"/>
        </w:tcBorders>
      </w:tcPr>
    </w:tblStylePr>
    <w:tblStylePr w:type="band1Horz">
      <w:tblPr/>
      <w:tcPr>
        <w:tcBorders>
          <w:top w:val="single" w:sz="4" w:space="0" w:color="6475CE" w:themeColor="text1" w:themeTint="80"/>
          <w:bottom w:val="single" w:sz="4" w:space="0" w:color="6475CE" w:themeColor="text1" w:themeTint="80"/>
        </w:tcBorders>
      </w:tcPr>
    </w:tblStylePr>
  </w:style>
  <w:style w:type="table" w:styleId="Tabulkaseznamu3zvraznn1">
    <w:name w:val="List Table 3 Accent 1"/>
    <w:basedOn w:val="Normlntabulka"/>
    <w:uiPriority w:val="48"/>
    <w:rsid w:val="00B3719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3719F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3719F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mavtabulkasmkou5zvraznn4">
    <w:name w:val="Grid Table 5 Dark Accent 4"/>
    <w:basedOn w:val="Normlntabulka"/>
    <w:uiPriority w:val="50"/>
    <w:rsid w:val="00B37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O2v05">
    <w:name w:val="O2 v05"/>
    <w:basedOn w:val="Normlntabulka"/>
    <w:uiPriority w:val="99"/>
    <w:rsid w:val="00290189"/>
    <w:pPr>
      <w:spacing w:after="0" w:line="240" w:lineRule="auto"/>
      <w:jc w:val="center"/>
    </w:pPr>
    <w:rPr>
      <w:sz w:val="18"/>
    </w:rPr>
    <w:tblPr>
      <w:tblBorders>
        <w:insideH w:val="single" w:sz="4" w:space="0" w:color="222550"/>
        <w:insideV w:val="single" w:sz="4" w:space="0" w:color="222550"/>
      </w:tblBorders>
    </w:tblPr>
    <w:tcPr>
      <w:vAlign w:val="center"/>
    </w:tcPr>
    <w:tblStylePr w:type="firstRow">
      <w:pPr>
        <w:keepNext/>
        <w:keepLines/>
        <w:wordWrap/>
        <w:jc w:val="center"/>
      </w:pPr>
      <w:rPr>
        <w:rFonts w:ascii="Arial" w:hAnsi="Arial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222550"/>
      </w:tcPr>
    </w:tblStylePr>
    <w:tblStylePr w:type="lastRow">
      <w:rPr>
        <w:b/>
        <w:color w:val="953698"/>
      </w:rPr>
    </w:tblStylePr>
    <w:tblStylePr w:type="firstCol">
      <w:rPr>
        <w:b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222550"/>
      </w:tcPr>
    </w:tblStylePr>
  </w:style>
  <w:style w:type="paragraph" w:customStyle="1" w:styleId="RDX">
    <w:name w:val="RD X"/>
    <w:basedOn w:val="Odstavecseseznamem"/>
    <w:link w:val="RDXChar"/>
    <w:qFormat/>
    <w:rsid w:val="00CC072C"/>
    <w:pPr>
      <w:numPr>
        <w:numId w:val="4"/>
      </w:numPr>
      <w:spacing w:after="120" w:line="240" w:lineRule="auto"/>
      <w:jc w:val="center"/>
    </w:pPr>
    <w:rPr>
      <w:b/>
    </w:rPr>
  </w:style>
  <w:style w:type="paragraph" w:customStyle="1" w:styleId="RD1">
    <w:name w:val="RD1"/>
    <w:basedOn w:val="Odstavecseseznamem"/>
    <w:link w:val="RD1Char"/>
    <w:qFormat/>
    <w:rsid w:val="00F12679"/>
    <w:pPr>
      <w:numPr>
        <w:numId w:val="5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12679"/>
  </w:style>
  <w:style w:type="character" w:customStyle="1" w:styleId="RDXChar">
    <w:name w:val="RD X Char"/>
    <w:basedOn w:val="OdstavecseseznamemChar"/>
    <w:link w:val="RDX"/>
    <w:rsid w:val="00CC072C"/>
    <w:rPr>
      <w:b/>
    </w:rPr>
  </w:style>
  <w:style w:type="paragraph" w:customStyle="1" w:styleId="RD2">
    <w:name w:val="RD2"/>
    <w:basedOn w:val="RD1"/>
    <w:link w:val="RD2Char"/>
    <w:qFormat/>
    <w:rsid w:val="00F12679"/>
    <w:pPr>
      <w:numPr>
        <w:numId w:val="7"/>
      </w:numPr>
    </w:pPr>
  </w:style>
  <w:style w:type="character" w:customStyle="1" w:styleId="RD1Char">
    <w:name w:val="RD1 Char"/>
    <w:basedOn w:val="OdstavecseseznamemChar"/>
    <w:link w:val="RD1"/>
    <w:rsid w:val="00F12679"/>
  </w:style>
  <w:style w:type="paragraph" w:customStyle="1" w:styleId="RD3">
    <w:name w:val="RD3"/>
    <w:basedOn w:val="RD2"/>
    <w:link w:val="RD3Char"/>
    <w:qFormat/>
    <w:rsid w:val="0022101D"/>
    <w:pPr>
      <w:numPr>
        <w:numId w:val="8"/>
      </w:numPr>
    </w:pPr>
  </w:style>
  <w:style w:type="character" w:customStyle="1" w:styleId="RD2Char">
    <w:name w:val="RD2 Char"/>
    <w:basedOn w:val="RD1Char"/>
    <w:link w:val="RD2"/>
    <w:rsid w:val="00F12679"/>
  </w:style>
  <w:style w:type="paragraph" w:customStyle="1" w:styleId="RD4">
    <w:name w:val="RD4"/>
    <w:basedOn w:val="RD2"/>
    <w:link w:val="RD4Char"/>
    <w:qFormat/>
    <w:rsid w:val="00660951"/>
    <w:pPr>
      <w:numPr>
        <w:numId w:val="9"/>
      </w:numPr>
    </w:pPr>
  </w:style>
  <w:style w:type="character" w:customStyle="1" w:styleId="RD3Char">
    <w:name w:val="RD3 Char"/>
    <w:basedOn w:val="RD2Char"/>
    <w:link w:val="RD3"/>
    <w:rsid w:val="0022101D"/>
  </w:style>
  <w:style w:type="paragraph" w:customStyle="1" w:styleId="RD5">
    <w:name w:val="RD5"/>
    <w:basedOn w:val="RD4"/>
    <w:link w:val="RD5Char"/>
    <w:qFormat/>
    <w:rsid w:val="00DA1FB8"/>
    <w:pPr>
      <w:numPr>
        <w:numId w:val="10"/>
      </w:numPr>
    </w:pPr>
  </w:style>
  <w:style w:type="character" w:customStyle="1" w:styleId="RD4Char">
    <w:name w:val="RD4 Char"/>
    <w:basedOn w:val="RD2Char"/>
    <w:link w:val="RD4"/>
    <w:rsid w:val="00660951"/>
  </w:style>
  <w:style w:type="paragraph" w:customStyle="1" w:styleId="RD6">
    <w:name w:val="RD6"/>
    <w:basedOn w:val="RD3"/>
    <w:link w:val="RD6Char"/>
    <w:qFormat/>
    <w:rsid w:val="00DD4989"/>
    <w:pPr>
      <w:numPr>
        <w:numId w:val="12"/>
      </w:numPr>
    </w:pPr>
  </w:style>
  <w:style w:type="character" w:customStyle="1" w:styleId="RD5Char">
    <w:name w:val="RD5 Char"/>
    <w:basedOn w:val="RD4Char"/>
    <w:link w:val="RD5"/>
    <w:rsid w:val="00DA1FB8"/>
  </w:style>
  <w:style w:type="character" w:customStyle="1" w:styleId="RD6Char">
    <w:name w:val="RD6 Char"/>
    <w:basedOn w:val="RD3Char"/>
    <w:link w:val="RD6"/>
    <w:rsid w:val="00DD4989"/>
  </w:style>
  <w:style w:type="table" w:customStyle="1" w:styleId="O2v052">
    <w:name w:val="O2 v052"/>
    <w:basedOn w:val="Normlntabulka"/>
    <w:uiPriority w:val="99"/>
    <w:rsid w:val="00B31B2D"/>
    <w:pPr>
      <w:spacing w:after="0" w:line="240" w:lineRule="auto"/>
      <w:jc w:val="center"/>
    </w:pPr>
    <w:rPr>
      <w:sz w:val="18"/>
    </w:rPr>
    <w:tblPr>
      <w:tblBorders>
        <w:insideH w:val="single" w:sz="4" w:space="0" w:color="222550"/>
        <w:insideV w:val="single" w:sz="4" w:space="0" w:color="222550"/>
      </w:tblBorders>
    </w:tblPr>
    <w:tcPr>
      <w:vAlign w:val="center"/>
    </w:tcPr>
    <w:tblStylePr w:type="firstRow">
      <w:pPr>
        <w:keepNext/>
        <w:keepLines/>
        <w:wordWrap/>
        <w:jc w:val="center"/>
      </w:pPr>
      <w:rPr>
        <w:rFonts w:ascii="Arial" w:hAnsi="Arial"/>
        <w:b/>
        <w:color w:val="FFFFFF" w:themeColor="background1"/>
        <w:sz w:val="18"/>
      </w:rPr>
      <w:tblPr/>
      <w:tcPr>
        <w:tcBorders>
          <w:insideV w:val="single" w:sz="4" w:space="0" w:color="FFFFFF" w:themeColor="background1"/>
        </w:tcBorders>
        <w:shd w:val="clear" w:color="auto" w:fill="222550"/>
      </w:tcPr>
    </w:tblStylePr>
    <w:tblStylePr w:type="lastRow">
      <w:rPr>
        <w:b/>
        <w:color w:val="953698"/>
      </w:rPr>
    </w:tblStylePr>
    <w:tblStylePr w:type="firstCol">
      <w:rPr>
        <w:b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222550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128"/>
    <w:pPr>
      <w:spacing w:before="0"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0128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70128"/>
    <w:rPr>
      <w:vertAlign w:val="superscript"/>
    </w:rPr>
  </w:style>
  <w:style w:type="table" w:customStyle="1" w:styleId="O2v07">
    <w:name w:val="O2_v07"/>
    <w:basedOn w:val="Normlntabulka"/>
    <w:uiPriority w:val="99"/>
    <w:rsid w:val="00A92660"/>
    <w:pPr>
      <w:spacing w:before="40" w:after="40" w:line="240" w:lineRule="auto"/>
      <w:jc w:val="center"/>
    </w:pPr>
    <w:rPr>
      <w:sz w:val="18"/>
    </w:rPr>
    <w:tblPr>
      <w:tblBorders>
        <w:top w:val="single" w:sz="4" w:space="0" w:color="0050FF"/>
        <w:left w:val="single" w:sz="4" w:space="0" w:color="0050FF"/>
        <w:bottom w:val="single" w:sz="4" w:space="0" w:color="0050FF"/>
        <w:right w:val="single" w:sz="4" w:space="0" w:color="0050FF"/>
        <w:insideH w:val="single" w:sz="4" w:space="0" w:color="0050FF"/>
        <w:insideV w:val="single" w:sz="4" w:space="0" w:color="0050FF"/>
      </w:tblBorders>
    </w:tblPr>
    <w:trPr>
      <w:cantSplit/>
    </w:trPr>
    <w:tcPr>
      <w:vAlign w:val="center"/>
    </w:tcPr>
    <w:tblStylePr w:type="firstRow">
      <w:pPr>
        <w:keepNext/>
        <w:wordWrap/>
        <w:spacing w:beforeLines="0" w:before="40" w:beforeAutospacing="0" w:afterLines="0" w:after="40" w:afterAutospacing="0" w:line="240" w:lineRule="auto"/>
      </w:pPr>
      <w:rPr>
        <w:rFonts w:ascii="Arial" w:hAnsi="Arial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50FF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rFonts w:ascii="Arial" w:hAnsi="Arial"/>
        <w:b/>
        <w:sz w:val="18"/>
      </w:rPr>
      <w:tblPr/>
      <w:tcPr>
        <w:tcBorders>
          <w:top w:val="nil"/>
          <w:left w:val="single" w:sz="4" w:space="0" w:color="0050FF"/>
          <w:bottom w:val="single" w:sz="4" w:space="0" w:color="0050FF"/>
          <w:right w:val="single" w:sz="4" w:space="0" w:color="0050FF"/>
          <w:insideH w:val="nil"/>
          <w:insideV w:val="single" w:sz="4" w:space="0" w:color="0050FF"/>
          <w:tl2br w:val="nil"/>
          <w:tr2bl w:val="nil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</w:pPr>
      <w:rPr>
        <w:rFonts w:asciiTheme="minorHAnsi" w:hAnsiTheme="minorHAnsi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50FF"/>
      </w:tcPr>
    </w:tblStylePr>
    <w:tblStylePr w:type="lastCol">
      <w:pPr>
        <w:wordWrap/>
        <w:spacing w:beforeLines="0" w:before="40" w:beforeAutospacing="0" w:afterLines="0" w:after="40" w:afterAutospacing="0" w:line="240" w:lineRule="auto"/>
      </w:pPr>
      <w:rPr>
        <w:rFonts w:ascii="Arial" w:hAnsi="Arial"/>
        <w:b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2.cz/podpora/moje-o2-pro-podnikatele-a-firmy/prevod-cisla-od-jineho-operatora-sprav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Šablona O2 v5">
      <a:dk1>
        <a:srgbClr val="19224F"/>
      </a:dk1>
      <a:lt1>
        <a:sysClr val="window" lastClr="FFFFFF"/>
      </a:lt1>
      <a:dk2>
        <a:srgbClr val="22255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Šablona O2 v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D42F-8BB9-4B7B-AEDA-74BE67D8B9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O2 nabídky v05</vt:lpstr>
    </vt:vector>
  </TitlesOfParts>
  <Manager>jakub.louma@o2.cz</Manager>
  <Company>O2 Czech Republic a.s.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O2 nabídky v05</dc:title>
  <dc:subject>Krycí list obálky</dc:subject>
  <dc:creator>Louma Jakub</dc:creator>
  <cp:keywords>049_CZ</cp:keywords>
  <dc:description>v05.01</dc:description>
  <cp:lastModifiedBy>Linhartová Sylva</cp:lastModifiedBy>
  <cp:revision>2</cp:revision>
  <cp:lastPrinted>2019-02-06T14:25:00Z</cp:lastPrinted>
  <dcterms:created xsi:type="dcterms:W3CDTF">2025-10-14T10:12:00Z</dcterms:created>
  <dcterms:modified xsi:type="dcterms:W3CDTF">2025-10-14T10:12:00Z</dcterms:modified>
  <cp:category>Šablona O2 nabídky_049_Krycí list obálky_CZ</cp:category>
</cp:coreProperties>
</file>