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B1B9" w14:textId="77777777" w:rsidR="00094EA2" w:rsidRDefault="000A7E6F">
      <w:pPr>
        <w:spacing w:before="120" w:after="60"/>
        <w:jc w:val="center"/>
        <w:rPr>
          <w:rFonts w:ascii="Times New Roman" w:hAnsi="Times New Roman"/>
          <w:i/>
          <w:sz w:val="24"/>
          <w:szCs w:val="24"/>
        </w:rPr>
      </w:pPr>
      <w:r>
        <w:rPr>
          <w:rFonts w:ascii="Open Sans" w:eastAsia="Open Sans" w:hAnsi="Open Sans" w:cs="Open Sans"/>
          <w:color w:val="00000A"/>
          <w:sz w:val="40"/>
          <w:szCs w:val="40"/>
        </w:rPr>
        <w:t>Smlouva o zajištění ozvučení hlavní scény, pódia pro scénu a přenosu na obrazovku </w:t>
      </w:r>
    </w:p>
    <w:p w14:paraId="7765EBE2" w14:textId="78304E2F" w:rsidR="00094EA2" w:rsidRDefault="00BE678E">
      <w:pPr>
        <w:spacing w:before="120" w:after="60"/>
        <w:jc w:val="center"/>
        <w:rPr>
          <w:rFonts w:ascii="Times New Roman" w:hAnsi="Times New Roman"/>
          <w:i/>
        </w:rPr>
      </w:pPr>
      <w:r>
        <w:rPr>
          <w:rFonts w:ascii="Open Sans" w:eastAsia="Open Sans" w:hAnsi="Open Sans" w:cs="Open Sans"/>
          <w:color w:val="00000A"/>
          <w:sz w:val="32"/>
          <w:szCs w:val="32"/>
        </w:rPr>
        <w:t xml:space="preserve">č.  </w:t>
      </w:r>
      <w:r w:rsidR="00D37FB7">
        <w:rPr>
          <w:rFonts w:ascii="Open Sans" w:eastAsia="Open Sans" w:hAnsi="Open Sans" w:cs="Open Sans"/>
          <w:color w:val="00000A"/>
          <w:sz w:val="32"/>
          <w:szCs w:val="32"/>
        </w:rPr>
        <w:t>829</w:t>
      </w:r>
      <w:r>
        <w:rPr>
          <w:rFonts w:ascii="Open Sans" w:eastAsia="Open Sans" w:hAnsi="Open Sans" w:cs="Open Sans"/>
          <w:color w:val="00000A"/>
          <w:sz w:val="32"/>
          <w:szCs w:val="32"/>
        </w:rPr>
        <w:t>/2025</w:t>
      </w:r>
    </w:p>
    <w:p w14:paraId="1C17299A" w14:textId="77777777" w:rsidR="00094EA2" w:rsidRDefault="00094EA2">
      <w:pPr>
        <w:rPr>
          <w:rFonts w:ascii="Times New Roman" w:hAnsi="Times New Roman"/>
          <w:i/>
          <w:sz w:val="24"/>
          <w:szCs w:val="24"/>
        </w:rPr>
      </w:pPr>
    </w:p>
    <w:p w14:paraId="3FA3AD05" w14:textId="77777777" w:rsidR="00094EA2" w:rsidRDefault="000A7E6F">
      <w:pPr>
        <w:spacing w:before="60" w:after="60"/>
        <w:jc w:val="center"/>
        <w:rPr>
          <w:rFonts w:ascii="Times New Roman" w:hAnsi="Times New Roman"/>
          <w:i/>
          <w:sz w:val="24"/>
          <w:szCs w:val="24"/>
        </w:rPr>
      </w:pPr>
      <w:r>
        <w:rPr>
          <w:rFonts w:ascii="Open Sans" w:eastAsia="Open Sans" w:hAnsi="Open Sans" w:cs="Open Sans"/>
          <w:color w:val="00000A"/>
        </w:rPr>
        <w:t>uzavřená dále uvedeného dne, měsíce a roku dle § 2586 a n. zákona č. 89/2012 Sb., občanský zákoník, v platném znění, takto:</w:t>
      </w:r>
    </w:p>
    <w:p w14:paraId="05317BE0" w14:textId="77777777" w:rsidR="00094EA2" w:rsidRDefault="000A7E6F">
      <w:pPr>
        <w:numPr>
          <w:ilvl w:val="0"/>
          <w:numId w:val="2"/>
        </w:numPr>
        <w:spacing w:before="480" w:after="60"/>
        <w:ind w:left="360"/>
        <w:rPr>
          <w:rFonts w:ascii="Open Sans" w:eastAsia="Open Sans" w:hAnsi="Open Sans" w:cs="Open Sans"/>
          <w:b/>
          <w:i/>
          <w:color w:val="00000A"/>
          <w:sz w:val="28"/>
          <w:szCs w:val="28"/>
        </w:rPr>
      </w:pPr>
      <w:r>
        <w:rPr>
          <w:rFonts w:ascii="Open Sans" w:eastAsia="Open Sans" w:hAnsi="Open Sans" w:cs="Open Sans"/>
          <w:color w:val="00000A"/>
          <w:sz w:val="28"/>
          <w:szCs w:val="28"/>
        </w:rPr>
        <w:t>Účastníci</w:t>
      </w:r>
      <w:bookmarkStart w:id="0" w:name="_GoBack"/>
      <w:bookmarkEnd w:id="0"/>
    </w:p>
    <w:p w14:paraId="5669F8CC" w14:textId="5AC46FC2" w:rsidR="00094EA2" w:rsidRDefault="000A7E6F">
      <w:pPr>
        <w:numPr>
          <w:ilvl w:val="1"/>
          <w:numId w:val="2"/>
        </w:numPr>
        <w:spacing w:before="120"/>
        <w:ind w:left="426" w:hanging="426"/>
        <w:rPr>
          <w:rFonts w:ascii="Open Sans" w:eastAsia="Open Sans" w:hAnsi="Open Sans" w:cs="Open Sans"/>
          <w:b/>
          <w:i/>
          <w:color w:val="00000A"/>
        </w:rPr>
      </w:pPr>
      <w:r>
        <w:rPr>
          <w:rFonts w:ascii="Open Sans" w:eastAsia="Open Sans" w:hAnsi="Open Sans" w:cs="Open Sans"/>
          <w:color w:val="00000A"/>
        </w:rPr>
        <w:t xml:space="preserve">Město Mělník, se sídlem Městského úřadu náměstí Míru 1, 276 01 Mělník, </w:t>
      </w:r>
      <w:r>
        <w:rPr>
          <w:rFonts w:ascii="Open Sans" w:eastAsia="Open Sans" w:hAnsi="Open Sans" w:cs="Open Sans"/>
          <w:color w:val="00000A"/>
        </w:rPr>
        <w:br/>
        <w:t>ID datové schránka: hqjb2kg</w:t>
      </w:r>
      <w:r>
        <w:rPr>
          <w:rFonts w:ascii="Open Sans" w:eastAsia="Open Sans" w:hAnsi="Open Sans" w:cs="Open Sans"/>
          <w:color w:val="00000A"/>
        </w:rPr>
        <w:br/>
        <w:t>identifikační číslo osoby 00237051, daňové IČ CZ00237051,</w:t>
      </w:r>
      <w:r>
        <w:rPr>
          <w:rFonts w:ascii="Open Sans" w:eastAsia="Open Sans" w:hAnsi="Open Sans" w:cs="Open Sans"/>
          <w:color w:val="00000A"/>
        </w:rPr>
        <w:br/>
        <w:t>bankovní spojení: Česká spořitelna a.s., pobočka Mělník, číslo účtu: 467394349/0800,</w:t>
      </w:r>
      <w:r>
        <w:rPr>
          <w:rFonts w:ascii="Open Sans" w:eastAsia="Open Sans" w:hAnsi="Open Sans" w:cs="Open Sans"/>
          <w:color w:val="00000A"/>
        </w:rPr>
        <w:br/>
        <w:t>zastoupené Ing. Tomášem Martincem, Ph.D., starostou,</w:t>
      </w:r>
      <w:r>
        <w:rPr>
          <w:rFonts w:ascii="Open Sans" w:eastAsia="Open Sans" w:hAnsi="Open Sans" w:cs="Open Sans"/>
          <w:color w:val="00000A"/>
        </w:rPr>
        <w:br/>
        <w:t>kon</w:t>
      </w:r>
      <w:r w:rsidR="00681567">
        <w:rPr>
          <w:rFonts w:ascii="Open Sans" w:eastAsia="Open Sans" w:hAnsi="Open Sans" w:cs="Open Sans"/>
          <w:color w:val="00000A"/>
        </w:rPr>
        <w:t>taktní osoba: Ing. Zuzana Beníšková</w:t>
      </w:r>
      <w:r>
        <w:rPr>
          <w:rFonts w:ascii="Open Sans" w:eastAsia="Open Sans" w:hAnsi="Open Sans" w:cs="Open Sans"/>
          <w:color w:val="00000A"/>
        </w:rPr>
        <w:t xml:space="preserve">, vedoucí </w:t>
      </w:r>
      <w:r w:rsidR="0026793A">
        <w:rPr>
          <w:rFonts w:ascii="Open Sans" w:eastAsia="Open Sans" w:hAnsi="Open Sans" w:cs="Open Sans"/>
          <w:color w:val="00000A"/>
        </w:rPr>
        <w:t xml:space="preserve">oddělení školství, kultury a sportu </w:t>
      </w:r>
      <w:r w:rsidR="00681567">
        <w:rPr>
          <w:rFonts w:ascii="Open Sans" w:eastAsia="Open Sans" w:hAnsi="Open Sans" w:cs="Open Sans"/>
          <w:color w:val="00000A"/>
        </w:rPr>
        <w:t>z.beniskova</w:t>
      </w:r>
      <w:r>
        <w:rPr>
          <w:rFonts w:ascii="Open Sans" w:eastAsia="Open Sans" w:hAnsi="Open Sans" w:cs="Open Sans"/>
          <w:color w:val="00000A"/>
        </w:rPr>
        <w:t>@melnik.cz,</w:t>
      </w:r>
      <w:r>
        <w:rPr>
          <w:rFonts w:ascii="Open Sans" w:eastAsia="Open Sans" w:hAnsi="Open Sans" w:cs="Open Sans"/>
          <w:color w:val="00000A"/>
        </w:rPr>
        <w:br/>
        <w:t>dále jen „objednatel“</w:t>
      </w:r>
    </w:p>
    <w:p w14:paraId="3A7A7B55" w14:textId="77777777" w:rsidR="00094EA2" w:rsidRDefault="00094EA2">
      <w:pPr>
        <w:spacing w:before="120"/>
        <w:ind w:left="426"/>
        <w:rPr>
          <w:rFonts w:ascii="Open Sans" w:eastAsia="Open Sans" w:hAnsi="Open Sans" w:cs="Open Sans"/>
          <w:b/>
          <w:i/>
          <w:color w:val="00000A"/>
          <w:sz w:val="10"/>
          <w:szCs w:val="10"/>
        </w:rPr>
      </w:pPr>
    </w:p>
    <w:p w14:paraId="07DA41D3" w14:textId="798B8E65" w:rsidR="00094EA2" w:rsidRDefault="009051E4">
      <w:pPr>
        <w:numPr>
          <w:ilvl w:val="1"/>
          <w:numId w:val="2"/>
        </w:numPr>
        <w:ind w:left="425" w:hanging="426"/>
        <w:rPr>
          <w:rFonts w:ascii="Open Sans" w:eastAsia="Open Sans" w:hAnsi="Open Sans" w:cs="Open Sans"/>
          <w:b/>
          <w:i/>
          <w:color w:val="00000A"/>
        </w:rPr>
      </w:pPr>
      <w:bookmarkStart w:id="1" w:name="_Hlk197720603"/>
      <w:r>
        <w:rPr>
          <w:rFonts w:ascii="Open Sans" w:eastAsia="Open Sans" w:hAnsi="Open Sans" w:cs="Open Sans"/>
          <w:color w:val="00000A"/>
        </w:rPr>
        <w:t>ZL Pro</w:t>
      </w:r>
      <w:r w:rsidR="000A7E6F">
        <w:rPr>
          <w:rFonts w:ascii="Open Sans" w:eastAsia="Open Sans" w:hAnsi="Open Sans" w:cs="Open Sans"/>
          <w:color w:val="00000A"/>
        </w:rPr>
        <w:t xml:space="preserve"> s.r.o.</w:t>
      </w:r>
      <w:bookmarkEnd w:id="1"/>
      <w:r w:rsidR="000A7E6F">
        <w:rPr>
          <w:rFonts w:ascii="Open Sans" w:eastAsia="Open Sans" w:hAnsi="Open Sans" w:cs="Open Sans"/>
          <w:color w:val="00000A"/>
        </w:rPr>
        <w:t xml:space="preserve">, se sídlem </w:t>
      </w:r>
      <w:bookmarkStart w:id="2" w:name="_Hlk197720625"/>
      <w:r>
        <w:rPr>
          <w:rFonts w:ascii="Open Sans" w:eastAsia="Open Sans" w:hAnsi="Open Sans" w:cs="Open Sans"/>
        </w:rPr>
        <w:t>Polní 668</w:t>
      </w:r>
      <w:r w:rsidR="000A7E6F">
        <w:rPr>
          <w:rFonts w:ascii="Open Sans" w:eastAsia="Open Sans" w:hAnsi="Open Sans" w:cs="Open Sans"/>
        </w:rPr>
        <w:t xml:space="preserve">, </w:t>
      </w:r>
      <w:bookmarkEnd w:id="2"/>
      <w:r>
        <w:rPr>
          <w:rFonts w:ascii="Open Sans" w:eastAsia="Open Sans" w:hAnsi="Open Sans" w:cs="Open Sans"/>
        </w:rPr>
        <w:t>332 03 Šťáhlavy</w:t>
      </w:r>
      <w:r w:rsidR="000A7E6F">
        <w:rPr>
          <w:rFonts w:ascii="Open Sans" w:eastAsia="Open Sans" w:hAnsi="Open Sans" w:cs="Open Sans"/>
        </w:rPr>
        <w:t>,</w:t>
      </w:r>
    </w:p>
    <w:p w14:paraId="5B1BFC3D" w14:textId="3692D48A" w:rsidR="00094EA2" w:rsidRDefault="000A7E6F">
      <w:pPr>
        <w:ind w:left="425"/>
        <w:rPr>
          <w:rFonts w:ascii="Open Sans" w:eastAsia="Open Sans" w:hAnsi="Open Sans" w:cs="Open Sans"/>
          <w:b/>
          <w:i/>
        </w:rPr>
      </w:pPr>
      <w:bookmarkStart w:id="3" w:name="_heading=h.gjdgxs" w:colFirst="0" w:colLast="0"/>
      <w:bookmarkEnd w:id="3"/>
      <w:r>
        <w:rPr>
          <w:rFonts w:ascii="Open Sans" w:eastAsia="Open Sans" w:hAnsi="Open Sans" w:cs="Open Sans"/>
        </w:rPr>
        <w:t xml:space="preserve">identifikační číslo </w:t>
      </w:r>
      <w:r w:rsidR="009051E4">
        <w:rPr>
          <w:rFonts w:ascii="Open Sans" w:eastAsia="Open Sans" w:hAnsi="Open Sans" w:cs="Open Sans"/>
        </w:rPr>
        <w:t>05503302</w:t>
      </w:r>
      <w:r>
        <w:rPr>
          <w:rFonts w:ascii="Open Sans" w:eastAsia="Open Sans" w:hAnsi="Open Sans" w:cs="Open Sans"/>
        </w:rPr>
        <w:t>,</w:t>
      </w:r>
    </w:p>
    <w:p w14:paraId="5BA8A007" w14:textId="77777777" w:rsidR="00094EA2" w:rsidRDefault="000A7E6F">
      <w:pPr>
        <w:ind w:left="425"/>
        <w:rPr>
          <w:rFonts w:ascii="Open Sans" w:eastAsia="Open Sans" w:hAnsi="Open Sans" w:cs="Open Sans"/>
          <w:b/>
          <w:i/>
        </w:rPr>
      </w:pPr>
      <w:bookmarkStart w:id="4" w:name="_heading=h.sw81n1bguo6i" w:colFirst="0" w:colLast="0"/>
      <w:bookmarkEnd w:id="4"/>
      <w:r>
        <w:rPr>
          <w:rFonts w:ascii="Open Sans" w:eastAsia="Open Sans" w:hAnsi="Open Sans" w:cs="Open Sans"/>
        </w:rPr>
        <w:t xml:space="preserve">zastoupené </w:t>
      </w:r>
      <w:bookmarkStart w:id="5" w:name="_Hlk197720678"/>
      <w:r>
        <w:rPr>
          <w:rFonts w:ascii="Open Sans" w:eastAsia="Open Sans" w:hAnsi="Open Sans" w:cs="Open Sans"/>
        </w:rPr>
        <w:t>Janem Lippertem, jednatelem</w:t>
      </w:r>
      <w:bookmarkEnd w:id="5"/>
      <w:r>
        <w:rPr>
          <w:rFonts w:ascii="Open Sans" w:eastAsia="Open Sans" w:hAnsi="Open Sans" w:cs="Open Sans"/>
        </w:rPr>
        <w:t xml:space="preserve">, </w:t>
      </w:r>
      <w:r>
        <w:rPr>
          <w:rFonts w:ascii="Open Sans" w:eastAsia="Open Sans" w:hAnsi="Open Sans" w:cs="Open Sans"/>
        </w:rPr>
        <w:br/>
        <w:t>dále jen „dodavatel“</w:t>
      </w:r>
    </w:p>
    <w:p w14:paraId="6F100DA6" w14:textId="77777777" w:rsidR="00094EA2" w:rsidRDefault="000A7E6F">
      <w:pPr>
        <w:numPr>
          <w:ilvl w:val="0"/>
          <w:numId w:val="2"/>
        </w:numPr>
        <w:spacing w:before="480" w:after="60"/>
        <w:ind w:left="360"/>
        <w:rPr>
          <w:rFonts w:ascii="Open Sans" w:eastAsia="Open Sans" w:hAnsi="Open Sans" w:cs="Open Sans"/>
          <w:b/>
          <w:i/>
          <w:color w:val="00000A"/>
          <w:sz w:val="28"/>
          <w:szCs w:val="28"/>
        </w:rPr>
      </w:pPr>
      <w:r>
        <w:rPr>
          <w:rFonts w:ascii="Open Sans" w:eastAsia="Open Sans" w:hAnsi="Open Sans" w:cs="Open Sans"/>
          <w:color w:val="00000A"/>
          <w:sz w:val="28"/>
          <w:szCs w:val="28"/>
        </w:rPr>
        <w:t>Předmět smlouvy</w:t>
      </w:r>
    </w:p>
    <w:p w14:paraId="55E882BA" w14:textId="345726F7" w:rsidR="00094EA2" w:rsidRDefault="001B0902">
      <w:pPr>
        <w:numPr>
          <w:ilvl w:val="1"/>
          <w:numId w:val="2"/>
        </w:numPr>
        <w:spacing w:before="120"/>
        <w:ind w:left="360" w:hanging="218"/>
        <w:jc w:val="both"/>
        <w:rPr>
          <w:rFonts w:ascii="Open Sans" w:eastAsia="Open Sans" w:hAnsi="Open Sans" w:cs="Open Sans"/>
          <w:b/>
          <w:i/>
          <w:color w:val="00000A"/>
        </w:rPr>
      </w:pPr>
      <w:r w:rsidRPr="001B0902">
        <w:rPr>
          <w:rFonts w:ascii="Open Sans" w:eastAsia="Open Sans" w:hAnsi="Open Sans" w:cs="Open Sans"/>
          <w:color w:val="00000A"/>
        </w:rPr>
        <w:t>Dodavatel se zavazuje provést na svůj náklad a nebezpečí pro objednatele dílo a poskytnout s tím související služby, které spočívají v kompletním technickém zajištění pódia hlavní scény Mělnického vinobraní 2025 konaného ve dnech 19. - 21. 9. 2025, které se uskuteční na nám. Míru v Mělníku (dále jen „</w:t>
      </w:r>
      <w:r w:rsidRPr="001B0902">
        <w:rPr>
          <w:rFonts w:ascii="Open Sans" w:eastAsia="Open Sans" w:hAnsi="Open Sans" w:cs="Open Sans"/>
          <w:b/>
          <w:bCs/>
          <w:color w:val="00000A"/>
        </w:rPr>
        <w:t>akce</w:t>
      </w:r>
      <w:r w:rsidRPr="001B0902">
        <w:rPr>
          <w:rFonts w:ascii="Open Sans" w:eastAsia="Open Sans" w:hAnsi="Open Sans" w:cs="Open Sans"/>
          <w:color w:val="00000A"/>
        </w:rPr>
        <w:t xml:space="preserve">") dle požadavků objednatele a na základě závazné nabídky dodavatele ze dne </w:t>
      </w:r>
      <w:r w:rsidR="00096856">
        <w:rPr>
          <w:rFonts w:ascii="Open Sans" w:eastAsia="Open Sans" w:hAnsi="Open Sans" w:cs="Open Sans"/>
          <w:color w:val="00000A"/>
        </w:rPr>
        <w:t>12.5.2025</w:t>
      </w:r>
      <w:r w:rsidRPr="001B0902">
        <w:rPr>
          <w:rFonts w:ascii="Open Sans" w:eastAsia="Open Sans" w:hAnsi="Open Sans" w:cs="Open Sans"/>
          <w:color w:val="00000A"/>
        </w:rPr>
        <w:t>, která je nedílnou součástí této smlouvy jako příloha č. 1 a objednatel se zavazuje zaplatit níže sjednanou cenu díla. Součástí plnění dodavatele je zajištění Stage manažera, hospitality interpretů, zajištění agregátů včetně pohonných hmot pro zajištění hlavní scény a obsluhy agregátů. Dodavatel je si vědom toho, že daná akce je pro objednatele zcela zásadní, a veškeré jím dodané plnění budou poskytnuty na vysoké profesionální úrovni. Dodavatel též prohlašuje, že disponuje veškerými potřebnými oprávněními pro výkon své činnosti dle této smlouvy.</w:t>
      </w:r>
      <w:r w:rsidR="00B12402">
        <w:rPr>
          <w:rFonts w:ascii="Open Sans" w:eastAsia="Open Sans" w:hAnsi="Open Sans" w:cs="Open Sans"/>
          <w:color w:val="00000A"/>
        </w:rPr>
        <w:t xml:space="preserve"> </w:t>
      </w:r>
    </w:p>
    <w:p w14:paraId="53EC094A" w14:textId="3D0D9B33" w:rsidR="00094EA2" w:rsidRPr="00920109" w:rsidRDefault="000A7E6F">
      <w:pPr>
        <w:numPr>
          <w:ilvl w:val="1"/>
          <w:numId w:val="2"/>
        </w:numPr>
        <w:spacing w:before="120"/>
        <w:ind w:left="360" w:hanging="218"/>
        <w:jc w:val="both"/>
        <w:rPr>
          <w:rFonts w:ascii="Open Sans" w:eastAsia="Open Sans" w:hAnsi="Open Sans" w:cs="Open Sans"/>
          <w:b/>
          <w:i/>
          <w:color w:val="00000A"/>
        </w:rPr>
      </w:pPr>
      <w:r>
        <w:rPr>
          <w:rFonts w:ascii="Open Sans" w:eastAsia="Open Sans" w:hAnsi="Open Sans" w:cs="Open Sans"/>
          <w:color w:val="00000A"/>
        </w:rPr>
        <w:t>Technické zajištění akce zahrnuje zejména odbornou instalaci a deinstalaci zastřešeného pódia, zajištění zvukařské techniky a ozvučení pódia, ozvučení diváckého prostoru, ozvučení vystupujících interpretů akce dle jejich vlastních technických požadavků a dále potřebný počet pódiových pracovníků, kteří budou v průběhu celé akci k dispozici za účelem manipulace a obsluhy s veškerým technickým a jiným dodaným zařízením hlavní scény. Technické zajištění akce zahrnuje dále instalaci velkoplošných obrazovek vedle pódia hlavní scény a natáčení a přenos všech vystoupení na hlavní scéně na obrazovky. </w:t>
      </w:r>
    </w:p>
    <w:p w14:paraId="01F5D71C" w14:textId="56755C2B" w:rsidR="00611772" w:rsidRPr="00534E07" w:rsidRDefault="000A7E6F" w:rsidP="00611772">
      <w:pPr>
        <w:numPr>
          <w:ilvl w:val="1"/>
          <w:numId w:val="2"/>
        </w:numPr>
        <w:spacing w:before="120"/>
        <w:ind w:left="360" w:hanging="218"/>
        <w:jc w:val="both"/>
        <w:rPr>
          <w:rFonts w:ascii="Open Sans" w:eastAsia="Open Sans" w:hAnsi="Open Sans" w:cs="Open Sans"/>
          <w:b/>
          <w:i/>
          <w:color w:val="00000A"/>
        </w:rPr>
      </w:pPr>
      <w:r>
        <w:rPr>
          <w:rFonts w:ascii="Open Sans" w:eastAsia="Open Sans" w:hAnsi="Open Sans" w:cs="Open Sans"/>
          <w:color w:val="00000A"/>
        </w:rPr>
        <w:t xml:space="preserve">Přesná specifikace požadovaných služeb je uvedena v nabídce služeb, která je pro účastníky této smlouvy závazná a která tvoří  přílohu č. 1 této smlouvy. V průběhu přípravy akce bude dodavatel </w:t>
      </w:r>
      <w:r>
        <w:rPr>
          <w:rFonts w:ascii="Open Sans" w:eastAsia="Open Sans" w:hAnsi="Open Sans" w:cs="Open Sans"/>
          <w:color w:val="00000A"/>
        </w:rPr>
        <w:lastRenderedPageBreak/>
        <w:t>seznámen s programem hlavní scény a s požadavky jednotlivých interpretů. Dodavatel tímto garantuje, že veškeré technické zajištění akce bude po celou dobu její</w:t>
      </w:r>
      <w:r w:rsidR="00611772">
        <w:rPr>
          <w:rFonts w:ascii="Open Sans" w:eastAsia="Open Sans" w:hAnsi="Open Sans" w:cs="Open Sans"/>
          <w:color w:val="00000A"/>
        </w:rPr>
        <w:t>ho</w:t>
      </w:r>
      <w:r>
        <w:rPr>
          <w:rFonts w:ascii="Open Sans" w:eastAsia="Open Sans" w:hAnsi="Open Sans" w:cs="Open Sans"/>
          <w:color w:val="00000A"/>
        </w:rPr>
        <w:t xml:space="preserve"> trvání plně provozuschopné a veškerá zařízení plně funkční</w:t>
      </w:r>
      <w:r w:rsidR="00611772">
        <w:rPr>
          <w:rFonts w:ascii="Open Sans" w:eastAsia="Open Sans" w:hAnsi="Open Sans" w:cs="Open Sans"/>
          <w:color w:val="00000A"/>
        </w:rPr>
        <w:t xml:space="preserve"> a jejich provoz zajištěn dle zadání objednatele</w:t>
      </w:r>
      <w:r>
        <w:rPr>
          <w:rFonts w:ascii="Open Sans" w:eastAsia="Open Sans" w:hAnsi="Open Sans" w:cs="Open Sans"/>
          <w:color w:val="00000A"/>
        </w:rPr>
        <w:t>, tak aby smysl a účel této akce mohl být řádně naplněn.</w:t>
      </w:r>
      <w:r w:rsidR="00611772">
        <w:rPr>
          <w:rFonts w:ascii="Open Sans" w:eastAsia="Open Sans" w:hAnsi="Open Sans" w:cs="Open Sans"/>
          <w:color w:val="00000A"/>
        </w:rPr>
        <w:t xml:space="preserve"> Dodavatel se zavazuje, že provede dílo a poskytne související služby pro objednatele tak, aby splnil veškeré technické požadavky jednotlivých vystupujících interpretů, přičemž se zavazuje, že si kompletní výčet požadavků vystupujících interpretů obstará od objednatele v dostatečném časovém předstihu. V případě, kdyby požadavky daného interpreta vyžadovaly úpravu sjednaných technických podmínek, je dodavatel povinen na tuto skutečnost objednatele ihned upozornit.</w:t>
      </w:r>
    </w:p>
    <w:p w14:paraId="212D2F0E" w14:textId="4F49FB2D" w:rsidR="00094EA2" w:rsidRDefault="00094EA2" w:rsidP="00920109">
      <w:pPr>
        <w:spacing w:before="120"/>
        <w:ind w:left="360"/>
        <w:jc w:val="both"/>
        <w:rPr>
          <w:rFonts w:ascii="Open Sans" w:eastAsia="Open Sans" w:hAnsi="Open Sans" w:cs="Open Sans"/>
          <w:b/>
          <w:i/>
          <w:color w:val="00000A"/>
        </w:rPr>
      </w:pPr>
    </w:p>
    <w:p w14:paraId="5D72F763" w14:textId="77777777" w:rsidR="00094EA2" w:rsidRDefault="000A7E6F">
      <w:pPr>
        <w:numPr>
          <w:ilvl w:val="1"/>
          <w:numId w:val="2"/>
        </w:numPr>
        <w:spacing w:before="120"/>
        <w:ind w:left="360" w:hanging="218"/>
        <w:jc w:val="both"/>
        <w:rPr>
          <w:rFonts w:ascii="Open Sans" w:eastAsia="Open Sans" w:hAnsi="Open Sans" w:cs="Open Sans"/>
          <w:b/>
          <w:i/>
          <w:color w:val="00000A"/>
        </w:rPr>
      </w:pPr>
      <w:r>
        <w:rPr>
          <w:rFonts w:ascii="Open Sans" w:eastAsia="Open Sans" w:hAnsi="Open Sans" w:cs="Open Sans"/>
          <w:color w:val="00000A"/>
        </w:rPr>
        <w:t>Dodavatel prohlašuje, že se před podpisem této smlouvy podrobně seznámil s místem plnění a jeho podmínkami a všechny podstatné okolnosti a případná omezení pro výkon jeho činnosti jsou mu tudíž známy.</w:t>
      </w:r>
    </w:p>
    <w:p w14:paraId="1E897FDC" w14:textId="77777777" w:rsidR="00094EA2" w:rsidRDefault="000A7E6F">
      <w:pPr>
        <w:numPr>
          <w:ilvl w:val="0"/>
          <w:numId w:val="2"/>
        </w:numPr>
        <w:spacing w:before="480" w:after="60"/>
        <w:ind w:left="360"/>
        <w:rPr>
          <w:rFonts w:ascii="Open Sans" w:eastAsia="Open Sans" w:hAnsi="Open Sans" w:cs="Open Sans"/>
          <w:b/>
          <w:i/>
          <w:color w:val="00000A"/>
          <w:sz w:val="28"/>
          <w:szCs w:val="28"/>
        </w:rPr>
      </w:pPr>
      <w:r>
        <w:rPr>
          <w:rFonts w:ascii="Open Sans" w:eastAsia="Open Sans" w:hAnsi="Open Sans" w:cs="Open Sans"/>
          <w:color w:val="00000A"/>
          <w:sz w:val="28"/>
          <w:szCs w:val="28"/>
        </w:rPr>
        <w:t>Čas a místo plnění</w:t>
      </w:r>
    </w:p>
    <w:p w14:paraId="1BFAEE2B" w14:textId="3EC51375" w:rsidR="00094EA2" w:rsidRDefault="000A7E6F">
      <w:pPr>
        <w:numPr>
          <w:ilvl w:val="1"/>
          <w:numId w:val="2"/>
        </w:numPr>
        <w:spacing w:before="120"/>
        <w:ind w:left="360"/>
        <w:jc w:val="both"/>
        <w:rPr>
          <w:rFonts w:ascii="Open Sans" w:eastAsia="Open Sans" w:hAnsi="Open Sans" w:cs="Open Sans"/>
          <w:b/>
          <w:i/>
          <w:color w:val="00000A"/>
        </w:rPr>
      </w:pPr>
      <w:r>
        <w:rPr>
          <w:rFonts w:ascii="Open Sans" w:eastAsia="Open Sans" w:hAnsi="Open Sans" w:cs="Open Sans"/>
          <w:color w:val="00000A"/>
        </w:rPr>
        <w:t>Dílo bude prov</w:t>
      </w:r>
      <w:r w:rsidR="0026793A">
        <w:rPr>
          <w:rFonts w:ascii="Open Sans" w:eastAsia="Open Sans" w:hAnsi="Open Sans" w:cs="Open Sans"/>
          <w:color w:val="00000A"/>
        </w:rPr>
        <w:t>edeno v termínu září 2024, od 19</w:t>
      </w:r>
      <w:r>
        <w:rPr>
          <w:rFonts w:ascii="Open Sans" w:eastAsia="Open Sans" w:hAnsi="Open Sans" w:cs="Open Sans"/>
          <w:color w:val="00000A"/>
        </w:rPr>
        <w:t>.</w:t>
      </w:r>
      <w:r w:rsidR="00D955C2">
        <w:rPr>
          <w:rFonts w:ascii="Open Sans" w:eastAsia="Open Sans" w:hAnsi="Open Sans" w:cs="Open Sans"/>
          <w:color w:val="00000A"/>
        </w:rPr>
        <w:t>9,</w:t>
      </w:r>
      <w:r w:rsidR="0026793A">
        <w:rPr>
          <w:rFonts w:ascii="Open Sans" w:eastAsia="Open Sans" w:hAnsi="Open Sans" w:cs="Open Sans"/>
          <w:color w:val="00000A"/>
        </w:rPr>
        <w:t xml:space="preserve"> do 21</w:t>
      </w:r>
      <w:r>
        <w:rPr>
          <w:rFonts w:ascii="Open Sans" w:eastAsia="Open Sans" w:hAnsi="Open Sans" w:cs="Open Sans"/>
          <w:color w:val="00000A"/>
        </w:rPr>
        <w:t>.</w:t>
      </w:r>
      <w:r w:rsidR="00D955C2">
        <w:rPr>
          <w:rFonts w:ascii="Open Sans" w:eastAsia="Open Sans" w:hAnsi="Open Sans" w:cs="Open Sans"/>
          <w:color w:val="00000A"/>
        </w:rPr>
        <w:t>9,,</w:t>
      </w:r>
      <w:r>
        <w:rPr>
          <w:rFonts w:ascii="Open Sans" w:eastAsia="Open Sans" w:hAnsi="Open Sans" w:cs="Open Sans"/>
          <w:color w:val="00000A"/>
        </w:rPr>
        <w:t xml:space="preserve"> s nástupem k zahájení prací podle podmíne</w:t>
      </w:r>
      <w:r w:rsidR="0026793A">
        <w:rPr>
          <w:rFonts w:ascii="Open Sans" w:eastAsia="Open Sans" w:hAnsi="Open Sans" w:cs="Open Sans"/>
          <w:color w:val="00000A"/>
        </w:rPr>
        <w:t>k této smlouvy dne 18. září 2025</w:t>
      </w:r>
      <w:r>
        <w:rPr>
          <w:rFonts w:ascii="Open Sans" w:eastAsia="Open Sans" w:hAnsi="Open Sans" w:cs="Open Sans"/>
          <w:color w:val="00000A"/>
        </w:rPr>
        <w:t xml:space="preserve"> v 6:00 hodin v místě umístění hlavní scény – na náměstí Míru za kašnou, před budovou Městského úřadu. Dodavatel se zavazuje dodržovat program vinobraní, který bude zaslán objednatelem a jehož finální verze bude dodána nejpozději 6. září 2024</w:t>
      </w:r>
      <w:r w:rsidR="00B12402">
        <w:rPr>
          <w:rFonts w:ascii="Open Sans" w:eastAsia="Open Sans" w:hAnsi="Open Sans" w:cs="Open Sans"/>
          <w:color w:val="00000A"/>
        </w:rPr>
        <w:t>, přičemž níže jsou uvedeny rámcové body</w:t>
      </w:r>
      <w:r>
        <w:rPr>
          <w:rFonts w:ascii="Open Sans" w:eastAsia="Open Sans" w:hAnsi="Open Sans" w:cs="Open Sans"/>
          <w:color w:val="00000A"/>
        </w:rPr>
        <w:t>:</w:t>
      </w:r>
    </w:p>
    <w:p w14:paraId="048FB9E5" w14:textId="612C57A6" w:rsidR="00094EA2" w:rsidRDefault="0026793A">
      <w:pPr>
        <w:numPr>
          <w:ilvl w:val="0"/>
          <w:numId w:val="3"/>
        </w:numPr>
        <w:pBdr>
          <w:top w:val="nil"/>
          <w:left w:val="nil"/>
          <w:bottom w:val="nil"/>
          <w:right w:val="nil"/>
          <w:between w:val="nil"/>
        </w:pBdr>
        <w:spacing w:before="120"/>
        <w:jc w:val="both"/>
        <w:rPr>
          <w:rFonts w:ascii="Open Sans" w:eastAsia="Open Sans" w:hAnsi="Open Sans" w:cs="Open Sans"/>
          <w:b/>
          <w:i/>
          <w:color w:val="00000A"/>
        </w:rPr>
      </w:pPr>
      <w:r>
        <w:rPr>
          <w:rFonts w:ascii="Open Sans" w:eastAsia="Open Sans" w:hAnsi="Open Sans" w:cs="Open Sans"/>
          <w:color w:val="00000A"/>
        </w:rPr>
        <w:t>19</w:t>
      </w:r>
      <w:r w:rsidR="000A7E6F">
        <w:rPr>
          <w:rFonts w:ascii="Open Sans" w:eastAsia="Open Sans" w:hAnsi="Open Sans" w:cs="Open Sans"/>
          <w:color w:val="00000A"/>
        </w:rPr>
        <w:t>. září v 6:00 hodin  – zahájení stavby pódia,</w:t>
      </w:r>
    </w:p>
    <w:p w14:paraId="18DB4A9B" w14:textId="4F319188"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19</w:t>
      </w:r>
      <w:r w:rsidR="000A7E6F">
        <w:rPr>
          <w:rFonts w:ascii="Open Sans" w:eastAsia="Open Sans" w:hAnsi="Open Sans" w:cs="Open Sans"/>
          <w:color w:val="00000A"/>
        </w:rPr>
        <w:t>. září od 12:00 hodin – první zvukové zkoušky,</w:t>
      </w:r>
    </w:p>
    <w:p w14:paraId="2FC9C991" w14:textId="42C0D29D"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19</w:t>
      </w:r>
      <w:r w:rsidR="000A7E6F">
        <w:rPr>
          <w:rFonts w:ascii="Open Sans" w:eastAsia="Open Sans" w:hAnsi="Open Sans" w:cs="Open Sans"/>
          <w:color w:val="00000A"/>
        </w:rPr>
        <w:t>. září – hlavní program,</w:t>
      </w:r>
    </w:p>
    <w:p w14:paraId="6B468E6C" w14:textId="26E6AA6D"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20</w:t>
      </w:r>
      <w:r w:rsidR="000A7E6F">
        <w:rPr>
          <w:rFonts w:ascii="Open Sans" w:eastAsia="Open Sans" w:hAnsi="Open Sans" w:cs="Open Sans"/>
          <w:color w:val="00000A"/>
        </w:rPr>
        <w:t>. září od 9:00 hodin  – první zvuková zkouška</w:t>
      </w:r>
      <w:r w:rsidR="000A7E6F">
        <w:rPr>
          <w:rFonts w:ascii="Open Sans" w:eastAsia="Open Sans" w:hAnsi="Open Sans" w:cs="Open Sans"/>
          <w:color w:val="000000"/>
        </w:rPr>
        <w:t>,</w:t>
      </w:r>
    </w:p>
    <w:p w14:paraId="0CD2C1C5" w14:textId="24FADF64"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20</w:t>
      </w:r>
      <w:r w:rsidR="000A7E6F">
        <w:rPr>
          <w:rFonts w:ascii="Open Sans" w:eastAsia="Open Sans" w:hAnsi="Open Sans" w:cs="Open Sans"/>
          <w:color w:val="00000A"/>
        </w:rPr>
        <w:t>. září  – hlavní program,</w:t>
      </w:r>
    </w:p>
    <w:p w14:paraId="0C6051DA" w14:textId="31E8F078"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21</w:t>
      </w:r>
      <w:r w:rsidR="000A7E6F">
        <w:rPr>
          <w:rFonts w:ascii="Open Sans" w:eastAsia="Open Sans" w:hAnsi="Open Sans" w:cs="Open Sans"/>
          <w:color w:val="00000A"/>
        </w:rPr>
        <w:t xml:space="preserve">. září od 9:00 hodin  – první zvuková zkouška </w:t>
      </w:r>
      <w:r w:rsidR="00B12402">
        <w:rPr>
          <w:rFonts w:ascii="Open Sans" w:eastAsia="Open Sans" w:hAnsi="Open Sans" w:cs="Open Sans"/>
          <w:color w:val="00000A"/>
        </w:rPr>
        <w:t>a hlavní program</w:t>
      </w:r>
    </w:p>
    <w:p w14:paraId="6630BCE8" w14:textId="14E2ADB8" w:rsidR="00094EA2" w:rsidRDefault="0026793A">
      <w:pPr>
        <w:numPr>
          <w:ilvl w:val="0"/>
          <w:numId w:val="3"/>
        </w:numPr>
        <w:pBdr>
          <w:top w:val="nil"/>
          <w:left w:val="nil"/>
          <w:bottom w:val="nil"/>
          <w:right w:val="nil"/>
          <w:between w:val="nil"/>
        </w:pBdr>
        <w:jc w:val="both"/>
        <w:rPr>
          <w:rFonts w:ascii="Open Sans" w:eastAsia="Open Sans" w:hAnsi="Open Sans" w:cs="Open Sans"/>
          <w:b/>
          <w:i/>
          <w:color w:val="00000A"/>
        </w:rPr>
      </w:pPr>
      <w:r>
        <w:rPr>
          <w:rFonts w:ascii="Open Sans" w:eastAsia="Open Sans" w:hAnsi="Open Sans" w:cs="Open Sans"/>
          <w:color w:val="00000A"/>
        </w:rPr>
        <w:t>21. září do 22</w:t>
      </w:r>
      <w:r w:rsidR="000A7E6F">
        <w:rPr>
          <w:rFonts w:ascii="Open Sans" w:eastAsia="Open Sans" w:hAnsi="Open Sans" w:cs="Open Sans"/>
          <w:color w:val="00000A"/>
        </w:rPr>
        <w:t xml:space="preserve">:00 hodin - deinstalace pódia, technického zařízení, vyklizení a odstranění veškerého použitého materiálu, včetně odpadu vzniklého v průběhu trvání akce činností dodavatele a jím pověřených osob, a předání místa plnění zpět osobě odpovědné jednat za objednatele. </w:t>
      </w:r>
    </w:p>
    <w:p w14:paraId="76CC10A1" w14:textId="77777777" w:rsidR="00094EA2" w:rsidRDefault="000A7E6F" w:rsidP="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Povinnosti a práva objednatele</w:t>
      </w:r>
    </w:p>
    <w:p w14:paraId="480B56F4" w14:textId="00CE9574" w:rsidR="00534E07" w:rsidRPr="00920109" w:rsidRDefault="000A7E6F">
      <w:pPr>
        <w:numPr>
          <w:ilvl w:val="1"/>
          <w:numId w:val="1"/>
        </w:numPr>
        <w:spacing w:before="120"/>
        <w:jc w:val="both"/>
        <w:rPr>
          <w:rFonts w:ascii="Open Sans" w:eastAsia="Open Sans" w:hAnsi="Open Sans" w:cs="Open Sans"/>
          <w:b/>
          <w:i/>
          <w:color w:val="00000A"/>
        </w:rPr>
      </w:pPr>
      <w:bookmarkStart w:id="6" w:name="_Ref168906334"/>
      <w:r>
        <w:rPr>
          <w:rFonts w:ascii="Open Sans" w:eastAsia="Open Sans" w:hAnsi="Open Sans" w:cs="Open Sans"/>
          <w:color w:val="00000A"/>
        </w:rPr>
        <w:t>Objednatel se zavazuje předat dodavateli</w:t>
      </w:r>
      <w:r w:rsidR="00534E07">
        <w:rPr>
          <w:rFonts w:ascii="Open Sans" w:eastAsia="Open Sans" w:hAnsi="Open Sans" w:cs="Open Sans"/>
          <w:color w:val="00000A"/>
        </w:rPr>
        <w:t xml:space="preserve"> </w:t>
      </w:r>
      <w:r>
        <w:rPr>
          <w:rFonts w:ascii="Open Sans" w:eastAsia="Open Sans" w:hAnsi="Open Sans" w:cs="Open Sans"/>
          <w:color w:val="00000A"/>
        </w:rPr>
        <w:t xml:space="preserve">nejpozději </w:t>
      </w:r>
      <w:r w:rsidR="00534E07" w:rsidRPr="0017159D">
        <w:rPr>
          <w:rFonts w:ascii="Open Sans" w:eastAsia="Open Sans" w:hAnsi="Open Sans" w:cs="Open Sans"/>
          <w:color w:val="00000A"/>
        </w:rPr>
        <w:t xml:space="preserve">dva týdny </w:t>
      </w:r>
      <w:r>
        <w:rPr>
          <w:rFonts w:ascii="Open Sans" w:eastAsia="Open Sans" w:hAnsi="Open Sans" w:cs="Open Sans"/>
          <w:color w:val="00000A"/>
        </w:rPr>
        <w:t>před začátkem zahájení akce veškeré technické požadavky vystupujících interpretů hlavní scény</w:t>
      </w:r>
      <w:r w:rsidR="00534E07">
        <w:rPr>
          <w:rFonts w:ascii="Open Sans" w:eastAsia="Open Sans" w:hAnsi="Open Sans" w:cs="Open Sans"/>
          <w:color w:val="00000A"/>
        </w:rPr>
        <w:t>. Dodavatel prohlašuje, že doba dvou týdnů je dostatečný časový úsek k realizaci díla a služeb, tak aby dodavatel splnil požadavky vystupujících interpretů.</w:t>
      </w:r>
      <w:bookmarkEnd w:id="6"/>
      <w:r w:rsidR="00D955C2">
        <w:rPr>
          <w:rFonts w:ascii="Open Sans" w:eastAsia="Open Sans" w:hAnsi="Open Sans" w:cs="Open Sans"/>
          <w:color w:val="00000A"/>
        </w:rPr>
        <w:t xml:space="preserve"> Dodavatel objednatele ihned po předložení daných požadavků interpretů upozorní na případné nesrovnalosti, nedostatky či technické parametry, které by vyžadovaly úpravu parametrů dodávky činností dodavatele dle této smlouvy. </w:t>
      </w:r>
    </w:p>
    <w:p w14:paraId="0DA6F677" w14:textId="6D225599" w:rsidR="00094EA2" w:rsidRPr="006059CE" w:rsidRDefault="00534E07">
      <w:pPr>
        <w:numPr>
          <w:ilvl w:val="1"/>
          <w:numId w:val="1"/>
        </w:numPr>
        <w:spacing w:before="120"/>
        <w:jc w:val="both"/>
        <w:rPr>
          <w:rFonts w:ascii="Open Sans" w:eastAsia="Open Sans" w:hAnsi="Open Sans" w:cs="Open Sans"/>
          <w:b/>
          <w:i/>
          <w:color w:val="00000A"/>
        </w:rPr>
      </w:pPr>
      <w:r w:rsidRPr="006059CE">
        <w:rPr>
          <w:rFonts w:ascii="Open Sans" w:eastAsia="Open Sans" w:hAnsi="Open Sans" w:cs="Open Sans"/>
          <w:color w:val="00000A"/>
        </w:rPr>
        <w:t xml:space="preserve">Objednatel se zavazuje </w:t>
      </w:r>
      <w:r w:rsidR="000A7E6F" w:rsidRPr="006059CE">
        <w:rPr>
          <w:rFonts w:ascii="Open Sans" w:eastAsia="Open Sans" w:hAnsi="Open Sans" w:cs="Open Sans"/>
          <w:color w:val="00000A"/>
        </w:rPr>
        <w:t xml:space="preserve">poskytovat dodavateli </w:t>
      </w:r>
      <w:r w:rsidR="006059CE">
        <w:rPr>
          <w:rFonts w:ascii="Open Sans" w:eastAsia="Open Sans" w:hAnsi="Open Sans" w:cs="Open Sans"/>
          <w:color w:val="00000A"/>
        </w:rPr>
        <w:t>potřebnou</w:t>
      </w:r>
      <w:r w:rsidR="006059CE" w:rsidRPr="006059CE">
        <w:rPr>
          <w:rFonts w:ascii="Open Sans" w:eastAsia="Open Sans" w:hAnsi="Open Sans" w:cs="Open Sans"/>
          <w:color w:val="00000A"/>
        </w:rPr>
        <w:t xml:space="preserve"> </w:t>
      </w:r>
      <w:r w:rsidR="000A7E6F" w:rsidRPr="006059CE">
        <w:rPr>
          <w:rFonts w:ascii="Open Sans" w:eastAsia="Open Sans" w:hAnsi="Open Sans" w:cs="Open Sans"/>
          <w:color w:val="00000A"/>
        </w:rPr>
        <w:t>součinnost při výběru konkrétního místa instalace a deinstalace pódia v místě plnění této smlouvy, včetně technického zařízení</w:t>
      </w:r>
      <w:r w:rsidR="00D955C2">
        <w:rPr>
          <w:rFonts w:ascii="Open Sans" w:eastAsia="Open Sans" w:hAnsi="Open Sans" w:cs="Open Sans"/>
          <w:color w:val="00000A"/>
        </w:rPr>
        <w:t>, které dle dohody smluvních stran má dodat objednatel,</w:t>
      </w:r>
      <w:r w:rsidR="000A7E6F" w:rsidRPr="006059CE">
        <w:rPr>
          <w:rFonts w:ascii="Open Sans" w:eastAsia="Open Sans" w:hAnsi="Open Sans" w:cs="Open Sans"/>
          <w:color w:val="00000A"/>
        </w:rPr>
        <w:t xml:space="preserve"> a dále zajistit nerušený výkon činnosti dodavatele.</w:t>
      </w:r>
    </w:p>
    <w:p w14:paraId="5949DE03" w14:textId="6210D5A3" w:rsidR="00094EA2" w:rsidRPr="0017159D"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Objednatel se dále zavazuje zajistit dodavateli přístup do místa plnění, včetně povolení k vjezdu a stání v místech dopravního omezení pro vozy s maximální celkovou hmotností 15 tun po dobu nezbytně potřebnou k výkonu činnosti dodavatele, nebude-li mezi účastníky ujednáno jina</w:t>
      </w:r>
      <w:r w:rsidR="0017159D">
        <w:rPr>
          <w:rFonts w:ascii="Open Sans" w:eastAsia="Open Sans" w:hAnsi="Open Sans" w:cs="Open Sans"/>
          <w:color w:val="00000A"/>
        </w:rPr>
        <w:t>k</w:t>
      </w:r>
      <w:r w:rsidR="00B12402">
        <w:rPr>
          <w:rFonts w:ascii="Open Sans" w:eastAsia="Open Sans" w:hAnsi="Open Sans" w:cs="Open Sans"/>
          <w:color w:val="00000A"/>
        </w:rPr>
        <w:t xml:space="preserve"> (po </w:t>
      </w:r>
      <w:r w:rsidR="00B12402" w:rsidRPr="0017159D">
        <w:rPr>
          <w:rFonts w:ascii="Open Sans" w:eastAsia="Open Sans" w:hAnsi="Open Sans" w:cs="Open Sans"/>
          <w:color w:val="00000A"/>
        </w:rPr>
        <w:t>dobu konání akce budou vozy dodavatele parkovat na vyhrazených místech pro tento účel)</w:t>
      </w:r>
      <w:r w:rsidRPr="0017159D">
        <w:rPr>
          <w:rFonts w:ascii="Open Sans" w:eastAsia="Open Sans" w:hAnsi="Open Sans" w:cs="Open Sans"/>
          <w:color w:val="00000A"/>
        </w:rPr>
        <w:t>.</w:t>
      </w:r>
    </w:p>
    <w:p w14:paraId="01D70E6F" w14:textId="6605F585" w:rsidR="00094EA2" w:rsidRPr="0017159D" w:rsidRDefault="000A7E6F">
      <w:pPr>
        <w:numPr>
          <w:ilvl w:val="1"/>
          <w:numId w:val="1"/>
        </w:numPr>
        <w:spacing w:before="120"/>
        <w:jc w:val="both"/>
        <w:rPr>
          <w:rFonts w:ascii="Open Sans" w:eastAsia="Open Sans" w:hAnsi="Open Sans" w:cs="Open Sans"/>
          <w:b/>
          <w:i/>
          <w:color w:val="00000A"/>
        </w:rPr>
      </w:pPr>
      <w:r w:rsidRPr="0017159D">
        <w:rPr>
          <w:rFonts w:ascii="Open Sans" w:eastAsia="Open Sans" w:hAnsi="Open Sans" w:cs="Open Sans"/>
          <w:color w:val="00000A"/>
        </w:rPr>
        <w:lastRenderedPageBreak/>
        <w:t xml:space="preserve">Objednatel zajistí na svůj náklad bezpečný a ničím nerušený výkon činnosti dodavatele, zejména zamezením přístupu nepovolaných osob do místa zvukové režie, celého prostoru hlavní scény a bezprostředního okolí pódia, a to prostřednictvím bezpečnostní agentury či jiné pověřené osoby. </w:t>
      </w:r>
    </w:p>
    <w:p w14:paraId="325156AC" w14:textId="7773615B" w:rsidR="00094EA2" w:rsidRPr="0017159D" w:rsidRDefault="000A7E6F">
      <w:pPr>
        <w:numPr>
          <w:ilvl w:val="1"/>
          <w:numId w:val="1"/>
        </w:numPr>
        <w:spacing w:before="120"/>
        <w:jc w:val="both"/>
        <w:rPr>
          <w:rFonts w:ascii="Open Sans" w:eastAsia="Open Sans" w:hAnsi="Open Sans" w:cs="Open Sans"/>
          <w:b/>
          <w:i/>
          <w:color w:val="00000A"/>
        </w:rPr>
      </w:pPr>
      <w:r w:rsidRPr="0017159D">
        <w:rPr>
          <w:rFonts w:ascii="Open Sans" w:eastAsia="Open Sans" w:hAnsi="Open Sans" w:cs="Open Sans"/>
          <w:color w:val="00000A"/>
        </w:rPr>
        <w:t>Objednatel dodá s dostatečným předstihem</w:t>
      </w:r>
      <w:r w:rsidR="00D955C2" w:rsidRPr="0017159D">
        <w:rPr>
          <w:rFonts w:ascii="Open Sans" w:eastAsia="Open Sans" w:hAnsi="Open Sans" w:cs="Open Sans"/>
          <w:color w:val="00000A"/>
        </w:rPr>
        <w:t xml:space="preserve">, tedy nejpozději </w:t>
      </w:r>
      <w:r w:rsidR="0017159D" w:rsidRPr="0017159D">
        <w:rPr>
          <w:rFonts w:ascii="Open Sans" w:eastAsia="Open Sans" w:hAnsi="Open Sans" w:cs="Open Sans"/>
          <w:color w:val="00000A"/>
        </w:rPr>
        <w:t>14. 8. 202</w:t>
      </w:r>
      <w:r w:rsidR="001B0902">
        <w:rPr>
          <w:rFonts w:ascii="Open Sans" w:eastAsia="Open Sans" w:hAnsi="Open Sans" w:cs="Open Sans"/>
          <w:color w:val="00000A"/>
        </w:rPr>
        <w:t>5</w:t>
      </w:r>
      <w:r w:rsidRPr="0017159D">
        <w:rPr>
          <w:rFonts w:ascii="Open Sans" w:eastAsia="Open Sans" w:hAnsi="Open Sans" w:cs="Open Sans"/>
          <w:color w:val="00000A"/>
        </w:rPr>
        <w:t xml:space="preserve"> podklady (data v elektronické podobě) pro promítnutí prezentace partnerů na velkoplošné obrazovce. </w:t>
      </w:r>
    </w:p>
    <w:p w14:paraId="69BAFBAA"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Povinnosti a práva dodavatele</w:t>
      </w:r>
    </w:p>
    <w:p w14:paraId="45559DDF" w14:textId="589A4703"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se zavazuje, že provede dohodnuté práce včas, s odbornou péčí a náležitou pečlivostí podle platných technických zásad v souladu se zavedenými technickými postupy dodavatele a s příslušnými technickými normami</w:t>
      </w:r>
      <w:r w:rsidR="00D955C2">
        <w:rPr>
          <w:rFonts w:ascii="Open Sans" w:eastAsia="Open Sans" w:hAnsi="Open Sans" w:cs="Open Sans"/>
          <w:color w:val="00000A"/>
        </w:rPr>
        <w:t xml:space="preserve"> a právními předpisy</w:t>
      </w:r>
      <w:r>
        <w:rPr>
          <w:rFonts w:ascii="Open Sans" w:eastAsia="Open Sans" w:hAnsi="Open Sans" w:cs="Open Sans"/>
          <w:color w:val="00000A"/>
        </w:rPr>
        <w:t xml:space="preserve">. Při provádění </w:t>
      </w:r>
      <w:r w:rsidR="00D955C2">
        <w:rPr>
          <w:rFonts w:ascii="Open Sans" w:eastAsia="Open Sans" w:hAnsi="Open Sans" w:cs="Open Sans"/>
          <w:color w:val="00000A"/>
        </w:rPr>
        <w:t xml:space="preserve">veškerých svých </w:t>
      </w:r>
      <w:r>
        <w:rPr>
          <w:rFonts w:ascii="Open Sans" w:eastAsia="Open Sans" w:hAnsi="Open Sans" w:cs="Open Sans"/>
          <w:color w:val="00000A"/>
        </w:rPr>
        <w:t>prací je dodavatel povinen dbát platných bezpečnostních, hygienických a protipožárních předpisů. Dále se dodavatel zavazuje dodržovat veškeré povinnosti v oblasti bezpečnosti a ochrany zdraví při práci. Při kotvení pódia je dodavatel povinen dbát, aby nepoškodil dlažbu na náměstí Míru ani jiný majetek.</w:t>
      </w:r>
      <w:r w:rsidR="009339CD">
        <w:rPr>
          <w:rFonts w:ascii="Open Sans" w:eastAsia="Open Sans" w:hAnsi="Open Sans" w:cs="Open Sans"/>
          <w:color w:val="00000A"/>
        </w:rPr>
        <w:t xml:space="preserve"> Dodavatel prohlašuje, že veškeré osoby, které pověří činnostmi při realizaci zakázky dle této smlouvy, jsou pro dané činnosti dostatečně kvalifikované a byly řádně proškoleny (včetně bezpečnosti práce).</w:t>
      </w:r>
    </w:p>
    <w:p w14:paraId="00964A2F" w14:textId="4CDE4C41"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 xml:space="preserve">Dodavatel je </w:t>
      </w:r>
      <w:r w:rsidRPr="00B91B41">
        <w:rPr>
          <w:rFonts w:ascii="Open Sans" w:eastAsia="Open Sans" w:hAnsi="Open Sans" w:cs="Open Sans"/>
          <w:color w:val="00000A"/>
        </w:rPr>
        <w:t xml:space="preserve">povinen na </w:t>
      </w:r>
      <w:r w:rsidR="001B0902">
        <w:rPr>
          <w:rFonts w:ascii="Open Sans" w:eastAsia="Open Sans" w:hAnsi="Open Sans" w:cs="Open Sans"/>
          <w:color w:val="00000A"/>
        </w:rPr>
        <w:t xml:space="preserve">svůj </w:t>
      </w:r>
      <w:r w:rsidRPr="00B91B41">
        <w:rPr>
          <w:rFonts w:ascii="Open Sans" w:eastAsia="Open Sans" w:hAnsi="Open Sans" w:cs="Open Sans"/>
          <w:color w:val="00000A"/>
        </w:rPr>
        <w:t>náklad zajistit</w:t>
      </w:r>
      <w:r>
        <w:rPr>
          <w:rFonts w:ascii="Open Sans" w:eastAsia="Open Sans" w:hAnsi="Open Sans" w:cs="Open Sans"/>
          <w:color w:val="00000A"/>
        </w:rPr>
        <w:t xml:space="preserve"> přítomnost </w:t>
      </w:r>
      <w:r w:rsidR="009339CD">
        <w:rPr>
          <w:rFonts w:ascii="Open Sans" w:eastAsia="Open Sans" w:hAnsi="Open Sans" w:cs="Open Sans"/>
          <w:color w:val="00000A"/>
        </w:rPr>
        <w:t>stage</w:t>
      </w:r>
      <w:r w:rsidR="0026793A">
        <w:rPr>
          <w:rFonts w:ascii="Open Sans" w:eastAsia="Open Sans" w:hAnsi="Open Sans" w:cs="Open Sans"/>
          <w:color w:val="00000A"/>
        </w:rPr>
        <w:t xml:space="preserve"> </w:t>
      </w:r>
      <w:r>
        <w:rPr>
          <w:rFonts w:ascii="Open Sans" w:eastAsia="Open Sans" w:hAnsi="Open Sans" w:cs="Open Sans"/>
          <w:color w:val="00000A"/>
        </w:rPr>
        <w:t xml:space="preserve">manažera pro hlavní scénu po celou dobu trvání akce, s odpovídajícím profesními předpoklady pro výkon této činnosti a zajištění účelu této smlouvy, který dále zajistí plnou součinnost, koordinaci a komunikaci mezi technickými a pódiovými pracovníky dodavatele a programovým produkčním, jehož přítomnost na akci zajistí na svůj náklad objednatel. </w:t>
      </w:r>
    </w:p>
    <w:p w14:paraId="20A89C35" w14:textId="5231452A"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prohlašuje, že veškeré použité zařízení a jiné vybavení instalované na této akci je řádně pojištěno, splňuje veškeré bezpečnostní normy a je opatřeno příslušnou technickou certifikací.</w:t>
      </w:r>
      <w:r w:rsidR="00B91B41">
        <w:rPr>
          <w:rFonts w:ascii="Open Sans" w:eastAsia="Open Sans" w:hAnsi="Open Sans" w:cs="Open Sans"/>
          <w:color w:val="00000A"/>
        </w:rPr>
        <w:t xml:space="preserve"> Dodavatel disponuje dostatečným pojištěním odpovědnosti za škodu způsobenou v rámci svého podnikání. </w:t>
      </w:r>
    </w:p>
    <w:p w14:paraId="7F7D5A65" w14:textId="66B88D96"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je plně odpovědný za bezpečnost v souvislosti s užitím pódia, ostatního technického a jiného zařízení</w:t>
      </w:r>
      <w:r w:rsidR="009339CD">
        <w:rPr>
          <w:rFonts w:ascii="Open Sans" w:eastAsia="Open Sans" w:hAnsi="Open Sans" w:cs="Open Sans"/>
          <w:color w:val="00000A"/>
        </w:rPr>
        <w:t>, resp. veškerého jím dodaného vybavení a činností,</w:t>
      </w:r>
      <w:r>
        <w:rPr>
          <w:rFonts w:ascii="Open Sans" w:eastAsia="Open Sans" w:hAnsi="Open Sans" w:cs="Open Sans"/>
          <w:color w:val="00000A"/>
        </w:rPr>
        <w:t xml:space="preserve"> a odpovídá za škody, které vzniknou na majetku a i zdraví</w:t>
      </w:r>
      <w:r w:rsidR="009339CD">
        <w:rPr>
          <w:rFonts w:ascii="Open Sans" w:eastAsia="Open Sans" w:hAnsi="Open Sans" w:cs="Open Sans"/>
          <w:color w:val="00000A"/>
        </w:rPr>
        <w:t xml:space="preserve"> v souvislosti s jeho dodávkami dle této smlouvy, a to zejména</w:t>
      </w:r>
      <w:r>
        <w:rPr>
          <w:rFonts w:ascii="Open Sans" w:eastAsia="Open Sans" w:hAnsi="Open Sans" w:cs="Open Sans"/>
          <w:color w:val="00000A"/>
        </w:rPr>
        <w:t xml:space="preserve"> v důsledku nesprávné manipulace a obsluhy tohoto zařízení nebo jeho nedostatečným zabezpečením.</w:t>
      </w:r>
    </w:p>
    <w:p w14:paraId="0701C26D" w14:textId="77777777" w:rsidR="00094EA2" w:rsidRPr="00920109"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je povinen zajistit promítnutí prezentačních spotů partnerů akce na velkoplošné obrazovce dle harmonogramu a na základě podkladů dodaných objednatelem. </w:t>
      </w:r>
    </w:p>
    <w:p w14:paraId="39E31267" w14:textId="438C870F" w:rsidR="001321E4" w:rsidRDefault="001321E4">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 xml:space="preserve">Dodavatel je povinen objednatele vyzvat k předložení technických požadavků vystupujících interpretů, a to v případě, že by </w:t>
      </w:r>
      <w:r w:rsidR="00B91B41">
        <w:rPr>
          <w:rFonts w:ascii="Open Sans" w:eastAsia="Open Sans" w:hAnsi="Open Sans" w:cs="Open Sans"/>
          <w:color w:val="00000A"/>
        </w:rPr>
        <w:t xml:space="preserve">mu </w:t>
      </w:r>
      <w:r>
        <w:rPr>
          <w:rFonts w:ascii="Open Sans" w:eastAsia="Open Sans" w:hAnsi="Open Sans" w:cs="Open Sans"/>
          <w:color w:val="00000A"/>
        </w:rPr>
        <w:t xml:space="preserve">objednatel nepředal tyto požadavky vystupujících interpretů hlavní scény dle ust. </w:t>
      </w:r>
      <w:r>
        <w:rPr>
          <w:rFonts w:ascii="Open Sans" w:eastAsia="Open Sans" w:hAnsi="Open Sans" w:cs="Open Sans"/>
          <w:color w:val="00000A"/>
        </w:rPr>
        <w:fldChar w:fldCharType="begin"/>
      </w:r>
      <w:r>
        <w:rPr>
          <w:rFonts w:ascii="Open Sans" w:eastAsia="Open Sans" w:hAnsi="Open Sans" w:cs="Open Sans"/>
          <w:color w:val="00000A"/>
        </w:rPr>
        <w:instrText xml:space="preserve"> REF _Ref168906334 \r \h </w:instrText>
      </w:r>
      <w:r>
        <w:rPr>
          <w:rFonts w:ascii="Open Sans" w:eastAsia="Open Sans" w:hAnsi="Open Sans" w:cs="Open Sans"/>
          <w:color w:val="00000A"/>
        </w:rPr>
      </w:r>
      <w:r>
        <w:rPr>
          <w:rFonts w:ascii="Open Sans" w:eastAsia="Open Sans" w:hAnsi="Open Sans" w:cs="Open Sans"/>
          <w:color w:val="00000A"/>
        </w:rPr>
        <w:fldChar w:fldCharType="separate"/>
      </w:r>
      <w:r w:rsidR="006059CE">
        <w:rPr>
          <w:rFonts w:ascii="Open Sans" w:eastAsia="Open Sans" w:hAnsi="Open Sans" w:cs="Open Sans"/>
          <w:color w:val="00000A"/>
        </w:rPr>
        <w:t>4.1</w:t>
      </w:r>
      <w:r>
        <w:rPr>
          <w:rFonts w:ascii="Open Sans" w:eastAsia="Open Sans" w:hAnsi="Open Sans" w:cs="Open Sans"/>
          <w:color w:val="00000A"/>
        </w:rPr>
        <w:fldChar w:fldCharType="end"/>
      </w:r>
      <w:r>
        <w:rPr>
          <w:rFonts w:ascii="Open Sans" w:eastAsia="Open Sans" w:hAnsi="Open Sans" w:cs="Open Sans"/>
          <w:color w:val="00000A"/>
        </w:rPr>
        <w:t>.</w:t>
      </w:r>
    </w:p>
    <w:p w14:paraId="698C96DA"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Cena díla</w:t>
      </w:r>
    </w:p>
    <w:p w14:paraId="5BE217EE" w14:textId="31F9892B" w:rsidR="001B0902" w:rsidRDefault="000A7E6F" w:rsidP="001B0902">
      <w:pPr>
        <w:numPr>
          <w:ilvl w:val="1"/>
          <w:numId w:val="1"/>
        </w:numPr>
        <w:spacing w:before="120"/>
        <w:jc w:val="both"/>
        <w:rPr>
          <w:rFonts w:ascii="Open Sans" w:eastAsia="Open Sans" w:hAnsi="Open Sans" w:cs="Open Sans"/>
          <w:color w:val="00000A"/>
        </w:rPr>
      </w:pPr>
      <w:r>
        <w:rPr>
          <w:rFonts w:ascii="Open Sans" w:eastAsia="Open Sans" w:hAnsi="Open Sans" w:cs="Open Sans"/>
          <w:color w:val="00000A"/>
        </w:rPr>
        <w:t>Objednatel se zavazuje zaplatit dodavateli za provedení díla</w:t>
      </w:r>
      <w:r w:rsidR="001B0902">
        <w:rPr>
          <w:rFonts w:ascii="Open Sans" w:eastAsia="Open Sans" w:hAnsi="Open Sans" w:cs="Open Sans"/>
          <w:color w:val="00000A"/>
        </w:rPr>
        <w:t>, tj. zejména veškerého bezvadného plnění dle čl. 2.1</w:t>
      </w:r>
      <w:r>
        <w:rPr>
          <w:rFonts w:ascii="Open Sans" w:eastAsia="Open Sans" w:hAnsi="Open Sans" w:cs="Open Sans"/>
          <w:color w:val="00000A"/>
        </w:rPr>
        <w:t xml:space="preserve"> dle podmínek této smlouvy</w:t>
      </w:r>
      <w:r w:rsidR="001B0902">
        <w:rPr>
          <w:rFonts w:ascii="Open Sans" w:eastAsia="Open Sans" w:hAnsi="Open Sans" w:cs="Open Sans"/>
          <w:color w:val="00000A"/>
        </w:rPr>
        <w:t>, odměnu</w:t>
      </w:r>
      <w:r w:rsidRPr="001B0902">
        <w:rPr>
          <w:rFonts w:ascii="Open Sans" w:eastAsia="Open Sans" w:hAnsi="Open Sans" w:cs="Open Sans"/>
          <w:color w:val="00000A"/>
        </w:rPr>
        <w:t xml:space="preserve"> v</w:t>
      </w:r>
      <w:r w:rsidR="001B0902">
        <w:rPr>
          <w:rFonts w:ascii="Open Sans" w:eastAsia="Open Sans" w:hAnsi="Open Sans" w:cs="Open Sans"/>
          <w:color w:val="00000A"/>
        </w:rPr>
        <w:t xml:space="preserve"> celkové</w:t>
      </w:r>
      <w:r w:rsidRPr="001B0902">
        <w:rPr>
          <w:rFonts w:ascii="Open Sans" w:eastAsia="Open Sans" w:hAnsi="Open Sans" w:cs="Open Sans"/>
          <w:color w:val="00000A"/>
        </w:rPr>
        <w:t xml:space="preserve"> výši </w:t>
      </w:r>
      <w:r w:rsidR="0026793A" w:rsidRPr="0026793A">
        <w:rPr>
          <w:rFonts w:ascii="Open Sans" w:eastAsia="Open Sans" w:hAnsi="Open Sans" w:cs="Open Sans"/>
          <w:b/>
        </w:rPr>
        <w:t>1 636 200</w:t>
      </w:r>
      <w:r w:rsidRPr="0026793A">
        <w:rPr>
          <w:rFonts w:ascii="Open Sans" w:eastAsia="Open Sans" w:hAnsi="Open Sans" w:cs="Open Sans"/>
          <w:b/>
          <w:i/>
          <w:color w:val="000000"/>
        </w:rPr>
        <w:t xml:space="preserve"> </w:t>
      </w:r>
      <w:r w:rsidRPr="0026793A">
        <w:rPr>
          <w:rFonts w:ascii="Open Sans" w:eastAsia="Open Sans" w:hAnsi="Open Sans" w:cs="Open Sans"/>
          <w:b/>
          <w:color w:val="000000"/>
        </w:rPr>
        <w:t>Kč</w:t>
      </w:r>
      <w:r w:rsidR="001B0902" w:rsidRPr="0026793A">
        <w:rPr>
          <w:rFonts w:ascii="Open Sans" w:eastAsia="Open Sans" w:hAnsi="Open Sans" w:cs="Open Sans"/>
          <w:b/>
          <w:color w:val="00000A"/>
        </w:rPr>
        <w:t xml:space="preserve"> bez DPH.</w:t>
      </w:r>
    </w:p>
    <w:p w14:paraId="37850A5D" w14:textId="6241E162" w:rsidR="009339CD" w:rsidRPr="00920109" w:rsidRDefault="009339CD" w:rsidP="001B0902">
      <w:pPr>
        <w:numPr>
          <w:ilvl w:val="1"/>
          <w:numId w:val="1"/>
        </w:numPr>
        <w:spacing w:before="120"/>
        <w:jc w:val="both"/>
        <w:rPr>
          <w:rFonts w:ascii="Open Sans" w:eastAsia="Open Sans" w:hAnsi="Open Sans" w:cs="Open Sans"/>
          <w:color w:val="00000A"/>
        </w:rPr>
      </w:pPr>
      <w:r w:rsidRPr="00920109">
        <w:rPr>
          <w:rFonts w:ascii="Open Sans" w:eastAsia="Open Sans" w:hAnsi="Open Sans" w:cs="Open Sans"/>
          <w:color w:val="00000A"/>
        </w:rPr>
        <w:t>Výše</w:t>
      </w:r>
      <w:r>
        <w:rPr>
          <w:rFonts w:ascii="Open Sans" w:eastAsia="Open Sans" w:hAnsi="Open Sans" w:cs="Open Sans"/>
          <w:color w:val="00000A"/>
        </w:rPr>
        <w:t xml:space="preserve"> uveden</w:t>
      </w:r>
      <w:r w:rsidR="001B0902">
        <w:rPr>
          <w:rFonts w:ascii="Open Sans" w:eastAsia="Open Sans" w:hAnsi="Open Sans" w:cs="Open Sans"/>
          <w:color w:val="00000A"/>
        </w:rPr>
        <w:t>á</w:t>
      </w:r>
      <w:r>
        <w:rPr>
          <w:rFonts w:ascii="Open Sans" w:eastAsia="Open Sans" w:hAnsi="Open Sans" w:cs="Open Sans"/>
          <w:color w:val="00000A"/>
        </w:rPr>
        <w:t xml:space="preserve"> </w:t>
      </w:r>
      <w:r w:rsidR="001B0902">
        <w:rPr>
          <w:rFonts w:ascii="Open Sans" w:eastAsia="Open Sans" w:hAnsi="Open Sans" w:cs="Open Sans"/>
          <w:color w:val="00000A"/>
        </w:rPr>
        <w:t>odměna</w:t>
      </w:r>
      <w:r>
        <w:rPr>
          <w:rFonts w:ascii="Open Sans" w:eastAsia="Open Sans" w:hAnsi="Open Sans" w:cs="Open Sans"/>
          <w:color w:val="00000A"/>
        </w:rPr>
        <w:t xml:space="preserve"> představuj</w:t>
      </w:r>
      <w:r w:rsidR="001B0902">
        <w:rPr>
          <w:rFonts w:ascii="Open Sans" w:eastAsia="Open Sans" w:hAnsi="Open Sans" w:cs="Open Sans"/>
          <w:color w:val="00000A"/>
        </w:rPr>
        <w:t>e</w:t>
      </w:r>
      <w:r>
        <w:rPr>
          <w:rFonts w:ascii="Open Sans" w:eastAsia="Open Sans" w:hAnsi="Open Sans" w:cs="Open Sans"/>
          <w:color w:val="00000A"/>
        </w:rPr>
        <w:t xml:space="preserve"> kompletní </w:t>
      </w:r>
      <w:r w:rsidR="007D7525">
        <w:rPr>
          <w:rFonts w:ascii="Open Sans" w:eastAsia="Open Sans" w:hAnsi="Open Sans" w:cs="Open Sans"/>
          <w:color w:val="00000A"/>
        </w:rPr>
        <w:t>cenu za řádnou dodávku veškerých činností dodavatele dle této smlouvy. Dodavatel není nad rámec výše uvedených částek požadovat jakoukoliv další platbu, ledaže je ve smlouvě výslovně stanoveno jinak či mezi smluvními stranami dojde k dohodě na úpravě ceny.</w:t>
      </w:r>
      <w:r w:rsidRPr="00920109">
        <w:rPr>
          <w:rFonts w:ascii="Open Sans" w:eastAsia="Open Sans" w:hAnsi="Open Sans" w:cs="Open Sans"/>
          <w:color w:val="00000A"/>
        </w:rPr>
        <w:t xml:space="preserve"> </w:t>
      </w:r>
    </w:p>
    <w:p w14:paraId="581240F8"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K cenám bude připočtena příslušná sazba daně z přidané hodnoty.</w:t>
      </w:r>
    </w:p>
    <w:p w14:paraId="4F534DBF"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lastRenderedPageBreak/>
        <w:t>Platební podmínky</w:t>
      </w:r>
    </w:p>
    <w:p w14:paraId="49DA888E" w14:textId="0D2A8764"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se zavazuje provést závěrečné vyúčtování</w:t>
      </w:r>
      <w:r w:rsidR="007D7525">
        <w:rPr>
          <w:rFonts w:ascii="Open Sans" w:eastAsia="Open Sans" w:hAnsi="Open Sans" w:cs="Open Sans"/>
          <w:color w:val="00000A"/>
        </w:rPr>
        <w:t xml:space="preserve"> řádně</w:t>
      </w:r>
      <w:r>
        <w:rPr>
          <w:rFonts w:ascii="Open Sans" w:eastAsia="Open Sans" w:hAnsi="Open Sans" w:cs="Open Sans"/>
          <w:color w:val="00000A"/>
        </w:rPr>
        <w:t xml:space="preserve"> provedených prací do 14 kalendářních dnů po ukončení akce, a vystavit objednateli daňový doklad (fakturu) se splatností 14 kalendářních dnů. Faktura musí obsahovat všechny náležitosti daňového dokladu dle příslušných zákonných ustanovení. Nebude-li faktura obsahovat všechny náležitosti, je objednatel oprávněn tuto vrátit s konkrétním odůvodněním a zhotovitel je povinen nejpozději do 7 dnů sdělit, zda na vystavené faktuře trvá nebo vystavit fakturu novou.</w:t>
      </w:r>
    </w:p>
    <w:p w14:paraId="5FB58634" w14:textId="252DED28"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 xml:space="preserve">Objednatel je povinen uhradit fakturu </w:t>
      </w:r>
      <w:r w:rsidR="007D7525">
        <w:rPr>
          <w:rFonts w:ascii="Open Sans" w:eastAsia="Open Sans" w:hAnsi="Open Sans" w:cs="Open Sans"/>
          <w:color w:val="00000A"/>
        </w:rPr>
        <w:t xml:space="preserve">za řádně dodané plnění </w:t>
      </w:r>
      <w:r>
        <w:rPr>
          <w:rFonts w:ascii="Open Sans" w:eastAsia="Open Sans" w:hAnsi="Open Sans" w:cs="Open Sans"/>
          <w:color w:val="00000A"/>
        </w:rPr>
        <w:t>ve lhůtě splatnosti, a to bezhotovostním převodem na bankovní účet dodavatele u</w:t>
      </w:r>
      <w:r>
        <w:rPr>
          <w:rFonts w:ascii="Open Sans" w:eastAsia="Open Sans" w:hAnsi="Open Sans" w:cs="Open Sans"/>
          <w:color w:val="000000"/>
        </w:rPr>
        <w:t>vedený v záhlaví smlouvy. Závazek objednatele k úhradě s</w:t>
      </w:r>
      <w:r>
        <w:rPr>
          <w:rFonts w:ascii="Open Sans" w:eastAsia="Open Sans" w:hAnsi="Open Sans" w:cs="Open Sans"/>
          <w:color w:val="00000A"/>
        </w:rPr>
        <w:t>mluvní ceny za plnění poskytnutá podle této smlouvy je splněn okamžikem připsání příslušné částky na účet dodavatele. V případě pochybností se má za to, že k doručení došlo třetího pracovního dne po odeslání.</w:t>
      </w:r>
      <w:r w:rsidR="007D7525">
        <w:rPr>
          <w:rFonts w:ascii="Open Sans" w:eastAsia="Open Sans" w:hAnsi="Open Sans" w:cs="Open Sans"/>
          <w:color w:val="00000A"/>
        </w:rPr>
        <w:t xml:space="preserve"> V případě, že dodavatel nedodal své plnění řádně (s výjimkou případných drobných nedostatků)</w:t>
      </w:r>
      <w:r w:rsidR="001334E4">
        <w:rPr>
          <w:rFonts w:ascii="Open Sans" w:eastAsia="Open Sans" w:hAnsi="Open Sans" w:cs="Open Sans"/>
          <w:color w:val="00000A"/>
        </w:rPr>
        <w:t>, může objednatel pozastavit úhradu části sjednaného plnění do dosažení dohody na případné úpravě ceny plnění, přičemž toto platí obdobně i pro případ odpovědnosti dodavatele za škodu či vzniku povinnosti hradit smluvní pokutu.</w:t>
      </w:r>
    </w:p>
    <w:p w14:paraId="51EA51D4"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Pro případ prodlení objednatele se zaplacením ceny díla sjednávají účastníci smluvní pokutu ve výši 0,025 % denně za prvých 30 dnů prodlení, dále pak 0,05 % za každý další den prodlení.</w:t>
      </w:r>
    </w:p>
    <w:p w14:paraId="25522329" w14:textId="77777777" w:rsidR="00094EA2" w:rsidRDefault="00094EA2">
      <w:pPr>
        <w:spacing w:before="120"/>
        <w:ind w:left="360"/>
        <w:jc w:val="both"/>
        <w:rPr>
          <w:rFonts w:ascii="Open Sans" w:eastAsia="Open Sans" w:hAnsi="Open Sans" w:cs="Open Sans"/>
          <w:b/>
          <w:i/>
          <w:color w:val="00000A"/>
        </w:rPr>
      </w:pPr>
    </w:p>
    <w:p w14:paraId="5B1B9A02"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Smluvní sankce</w:t>
      </w:r>
    </w:p>
    <w:p w14:paraId="4CF02ED2" w14:textId="7CAF4072"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Pro případ porušení povinnosti dodavatele stanovené v článku 2.1,</w:t>
      </w:r>
      <w:r w:rsidR="004D705C">
        <w:rPr>
          <w:rFonts w:ascii="Open Sans" w:eastAsia="Open Sans" w:hAnsi="Open Sans" w:cs="Open Sans"/>
          <w:color w:val="00000A"/>
        </w:rPr>
        <w:t xml:space="preserve"> </w:t>
      </w:r>
      <w:r w:rsidR="004D705C">
        <w:rPr>
          <w:rFonts w:ascii="Open Sans" w:eastAsia="Open Sans" w:hAnsi="Open Sans" w:cs="Open Sans"/>
          <w:color w:val="00000A"/>
        </w:rPr>
        <w:fldChar w:fldCharType="begin"/>
      </w:r>
      <w:r w:rsidR="004D705C">
        <w:rPr>
          <w:rFonts w:ascii="Open Sans" w:eastAsia="Open Sans" w:hAnsi="Open Sans" w:cs="Open Sans"/>
          <w:color w:val="00000A"/>
        </w:rPr>
        <w:instrText xml:space="preserve"> REF _Ref168906683 \r \h </w:instrText>
      </w:r>
      <w:r w:rsidR="004D705C">
        <w:rPr>
          <w:rFonts w:ascii="Open Sans" w:eastAsia="Open Sans" w:hAnsi="Open Sans" w:cs="Open Sans"/>
          <w:color w:val="00000A"/>
        </w:rPr>
      </w:r>
      <w:r w:rsidR="004D705C">
        <w:rPr>
          <w:rFonts w:ascii="Open Sans" w:eastAsia="Open Sans" w:hAnsi="Open Sans" w:cs="Open Sans"/>
          <w:color w:val="00000A"/>
        </w:rPr>
        <w:fldChar w:fldCharType="separate"/>
      </w:r>
      <w:r w:rsidR="006059CE">
        <w:rPr>
          <w:rFonts w:ascii="Open Sans" w:eastAsia="Open Sans" w:hAnsi="Open Sans" w:cs="Open Sans"/>
          <w:color w:val="00000A"/>
        </w:rPr>
        <w:t>2.3</w:t>
      </w:r>
      <w:r w:rsidR="004D705C">
        <w:rPr>
          <w:rFonts w:ascii="Open Sans" w:eastAsia="Open Sans" w:hAnsi="Open Sans" w:cs="Open Sans"/>
          <w:color w:val="00000A"/>
        </w:rPr>
        <w:fldChar w:fldCharType="end"/>
      </w:r>
      <w:r w:rsidR="004D705C">
        <w:rPr>
          <w:rFonts w:ascii="Open Sans" w:eastAsia="Open Sans" w:hAnsi="Open Sans" w:cs="Open Sans"/>
          <w:color w:val="00000A"/>
        </w:rPr>
        <w:t>,</w:t>
      </w:r>
      <w:r>
        <w:rPr>
          <w:rFonts w:ascii="Open Sans" w:eastAsia="Open Sans" w:hAnsi="Open Sans" w:cs="Open Sans"/>
          <w:color w:val="00000A"/>
        </w:rPr>
        <w:t xml:space="preserve"> 3.1, 5.1, 5.2 a 5.6 vyplývající z této smlouvy, je objednatel oprávněn vyúčtovat dodavateli smluvní pokutu ve výši Kč 15 000 za každé takové porušení povinnosti</w:t>
      </w:r>
      <w:r w:rsidR="004D705C">
        <w:rPr>
          <w:rFonts w:ascii="Open Sans" w:eastAsia="Open Sans" w:hAnsi="Open Sans" w:cs="Open Sans"/>
          <w:color w:val="00000A"/>
        </w:rPr>
        <w:t>.</w:t>
      </w:r>
    </w:p>
    <w:p w14:paraId="3540FDF0"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Pro případ porušení povinnosti objednatele stanovené v článku 4.1, 4.2 a 4.3 je dodavatel oprávněn vyúčtovat objednateli smluvní pokutu ve výši Kč 15 000 za každé takové porušení povinnosti.</w:t>
      </w:r>
    </w:p>
    <w:p w14:paraId="195ABD40" w14:textId="77777777" w:rsidR="00094EA2" w:rsidRPr="00920109"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Vedle sjednané smluvní pokuty a úroku z prodlení mají účastníci této smlouvy nárok na náhradu škody způsobené uvedením nepravdivých, neúplných či nepřesných údajů v této smlouvě, či porušením povinností či závazků smlouvy, na které se vztahuje smluvní pokuta. Účastníci se můžou náhrady škody domáhat i v případě, že výše způsobené škody přesahuje výši smluvní pokuty, nárok na náhradu škody mají účastníci i do výše kryté úrokem z prodlení.</w:t>
      </w:r>
    </w:p>
    <w:p w14:paraId="7C14738D" w14:textId="54A0D86A" w:rsidR="001334E4" w:rsidRDefault="001334E4">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 xml:space="preserve">Smluvní strany jsou oprávněny jednostranně započíst případné nároky vyplývající z této smlouvy, včetně práva na úhradu smluvní pokuty či náhradu škody.  </w:t>
      </w:r>
    </w:p>
    <w:p w14:paraId="491B0AA7"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Veřejnoprávní povinnosti účastníků</w:t>
      </w:r>
    </w:p>
    <w:p w14:paraId="2D7490AB" w14:textId="47D09A6B" w:rsidR="00094EA2" w:rsidRPr="000A7E6F" w:rsidRDefault="000A7E6F">
      <w:pPr>
        <w:numPr>
          <w:ilvl w:val="1"/>
          <w:numId w:val="1"/>
        </w:numPr>
        <w:spacing w:before="120"/>
        <w:jc w:val="both"/>
        <w:rPr>
          <w:rFonts w:ascii="Open Sans" w:eastAsia="Open Sans" w:hAnsi="Open Sans" w:cs="Open Sans"/>
          <w:color w:val="00000A"/>
        </w:rPr>
      </w:pPr>
      <w:r>
        <w:rPr>
          <w:rFonts w:ascii="Open Sans" w:eastAsia="Open Sans" w:hAnsi="Open Sans" w:cs="Open Sans"/>
          <w:color w:val="00000A"/>
        </w:rPr>
        <w:t xml:space="preserve">Uzavření této smlouvy bylo schváleno usnesením Rady města Mělníka č. </w:t>
      </w:r>
      <w:r w:rsidR="00CF2E4D">
        <w:rPr>
          <w:rFonts w:ascii="Open Sans" w:eastAsia="Open Sans" w:hAnsi="Open Sans" w:cs="Open Sans"/>
          <w:color w:val="00000A"/>
        </w:rPr>
        <w:t>225/2025</w:t>
      </w:r>
      <w:r w:rsidRPr="000A7E6F">
        <w:rPr>
          <w:rFonts w:ascii="Open Sans" w:eastAsia="Open Sans" w:hAnsi="Open Sans" w:cs="Open Sans"/>
          <w:color w:val="00000A"/>
        </w:rPr>
        <w:t>/R ze dne 3</w:t>
      </w:r>
      <w:r w:rsidR="00CF2E4D">
        <w:rPr>
          <w:rFonts w:ascii="Open Sans" w:eastAsia="Open Sans" w:hAnsi="Open Sans" w:cs="Open Sans"/>
          <w:color w:val="00000A"/>
        </w:rPr>
        <w:t>1. 3. 2025</w:t>
      </w:r>
      <w:r w:rsidRPr="000A7E6F">
        <w:rPr>
          <w:rFonts w:ascii="Open Sans" w:eastAsia="Open Sans" w:hAnsi="Open Sans" w:cs="Open Sans"/>
          <w:color w:val="00000A"/>
        </w:rPr>
        <w:t>.</w:t>
      </w:r>
    </w:p>
    <w:p w14:paraId="6BDECE74"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bere výslovně na vědomí, že kupující má podle ustanovení § 2 odst. 1 písm. b) zákona č. 340/2019 Sb., o zvláštních podmínkách účinnosti některých smluv, uveřejňování těchto smluv a o registru smluv (zákon o registru smluv), v platném znění (dále jen „zákon o registru smluv“), charakter subjektu, s nímž uzavřené soukromoprávní smlouvy, jakož i smlouvy o poskytnutí dotace nebo návratné finanční pomoci podléhají povinnému uveřejnění postupem a za podmínek podle tohoto zákona.</w:t>
      </w:r>
    </w:p>
    <w:p w14:paraId="5DA32C47"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lastRenderedPageBreak/>
        <w:t xml:space="preserve">Dodavatel je srozuměn a výslovně a bezvýhradně souhlasí s tím, že úplné znění této smlouvy včetně všech příloh bude uveřejněno v registru smluv, postupem a za podmínek podle zákona o registru smluv. Dodavatel bere rovněž na vědomí, že registr smluv je veřejně přístupný informační systém veřejné správy, jehož správcem je </w:t>
      </w:r>
      <w:r w:rsidRPr="000A7E6F">
        <w:rPr>
          <w:rFonts w:ascii="Open Sans" w:eastAsia="Open Sans" w:hAnsi="Open Sans" w:cs="Open Sans"/>
          <w:color w:val="00000A"/>
        </w:rPr>
        <w:t>Digitální a informační agentura</w:t>
      </w:r>
      <w:r>
        <w:rPr>
          <w:rFonts w:ascii="Open Sans" w:eastAsia="Open Sans" w:hAnsi="Open Sans" w:cs="Open Sans"/>
          <w:color w:val="00000A"/>
        </w:rPr>
        <w:t>, který slouží k uveřejňování smluv podle zákona o registru smluv a umožňuje bezplatný dálkový přístup.</w:t>
      </w:r>
    </w:p>
    <w:p w14:paraId="57E68E9C"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42F9E950"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Objednatel se zavazuje uveřejnit tuto smlouvu prostřednictvím registru smluv ve smyslu zákona o registru smluv bez zbytečného odkladu po jejím podpisu oběma účastníky, nejpozději však do 15 dnů od uzavření této smlouvy.</w:t>
      </w:r>
    </w:p>
    <w:p w14:paraId="08787875"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Dodavatel se zavazuje ověřit, zda byla povinnost objednatele dle článku 9.2. této smlouvy řádně splněna. Není-li povinnost objednatele dle článku 9.2. této smlouvy řádně a včas splněna, zavazuje se dodavatel uveřejnit tuto smlouvu prostřednictvím registru smluv ve smyslu zákona o registru smluv sám, a to bez zbytečného odkladu poté, co se o nesplnění povinnosti objednatele dle článku 9.2. dodavatel dozvěděl, nejpozději však do 30 dnů ode dne, kdy byla tato smlouva uzavřena.</w:t>
      </w:r>
    </w:p>
    <w:p w14:paraId="10B1E48B" w14:textId="77777777" w:rsidR="00094EA2" w:rsidRDefault="00094EA2">
      <w:pPr>
        <w:spacing w:before="120"/>
        <w:ind w:left="360"/>
        <w:jc w:val="both"/>
        <w:rPr>
          <w:rFonts w:ascii="Open Sans" w:eastAsia="Open Sans" w:hAnsi="Open Sans" w:cs="Open Sans"/>
          <w:b/>
          <w:i/>
          <w:color w:val="00000A"/>
        </w:rPr>
      </w:pPr>
    </w:p>
    <w:p w14:paraId="13995947"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Další ujednání</w:t>
      </w:r>
    </w:p>
    <w:p w14:paraId="7D02B5C8" w14:textId="77777777" w:rsidR="00094EA2" w:rsidRDefault="000A7E6F">
      <w:pPr>
        <w:numPr>
          <w:ilvl w:val="1"/>
          <w:numId w:val="1"/>
        </w:numPr>
        <w:spacing w:before="120"/>
        <w:jc w:val="both"/>
        <w:rPr>
          <w:rFonts w:ascii="Open Sans" w:eastAsia="Open Sans" w:hAnsi="Open Sans" w:cs="Open Sans"/>
          <w:b/>
          <w:i/>
          <w:color w:val="00000A"/>
        </w:rPr>
      </w:pPr>
      <w:r>
        <w:rPr>
          <w:rFonts w:ascii="Open Sans" w:eastAsia="Open Sans" w:hAnsi="Open Sans" w:cs="Open Sans"/>
          <w:color w:val="00000A"/>
        </w:rPr>
        <w:t>Pokud pro účastníky přestane být (přes obecnou závaznost smlouvy) poskytnutí sjednaného plnění objektivně možné, smlouva zanikne a účastníci nejsou povinni si navzájem nadále plnit.</w:t>
      </w:r>
    </w:p>
    <w:p w14:paraId="6C04B450"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Za okolnosti vylučující odpovědnost ve smyslu této smlouvy se považují mimořádné okolnosti bránící dočasně nebo trvale splnění v ní stanovených povinností, pokud nastaly po jejím uzavření nezávisle na vůli povinného účastníka.</w:t>
      </w:r>
    </w:p>
    <w:p w14:paraId="0B86483E"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Za okolnost vylučující odpovědnost se nepovažuje okolnost, kterou mohl a měl povinný účastník při uzavírání smlouvy předvídat.</w:t>
      </w:r>
    </w:p>
    <w:p w14:paraId="398E2AA5"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Za okolnost vylučující plnění se považují omezení vyhlášená v rámci nouzového nebo jemu podobnému stavu, nebo omezení vyhlášená podle zákona o ochraně veřejného zdraví, nebo jemu podobného předpisu (speciální pandemický zákon).</w:t>
      </w:r>
    </w:p>
    <w:p w14:paraId="1E06D7A8" w14:textId="77777777" w:rsidR="00094EA2" w:rsidRDefault="000A7E6F">
      <w:pPr>
        <w:numPr>
          <w:ilvl w:val="0"/>
          <w:numId w:val="1"/>
        </w:numPr>
        <w:spacing w:before="480" w:after="60"/>
        <w:rPr>
          <w:rFonts w:ascii="Open Sans" w:eastAsia="Open Sans" w:hAnsi="Open Sans" w:cs="Open Sans"/>
          <w:b/>
          <w:i/>
          <w:color w:val="00000A"/>
          <w:sz w:val="28"/>
          <w:szCs w:val="28"/>
        </w:rPr>
      </w:pPr>
      <w:r>
        <w:rPr>
          <w:rFonts w:ascii="Open Sans" w:eastAsia="Open Sans" w:hAnsi="Open Sans" w:cs="Open Sans"/>
          <w:color w:val="00000A"/>
          <w:sz w:val="28"/>
          <w:szCs w:val="28"/>
        </w:rPr>
        <w:t>Závěrečná ustanovení</w:t>
      </w:r>
    </w:p>
    <w:p w14:paraId="078C0819"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Tato smlouva nabývá platnosti dnem jejího podpisu oběma účastníky, účinnosti nabývá dnem jejího uveřejnění prostřednictvím registru smluv ve smyslu zákona o registru smluv.</w:t>
      </w:r>
    </w:p>
    <w:p w14:paraId="221F662C"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Práva a povinnosti touto smlouvou výslovně neupravené se řídí příslušnými ustanoveními občanského zákoníku. V ostatním se tato smlouva řídí obecně závaznými právními předpisy. </w:t>
      </w:r>
    </w:p>
    <w:p w14:paraId="299F7D94"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66A15734" w14:textId="77777777" w:rsidR="00094EA2" w:rsidRDefault="000A7E6F">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lastRenderedPageBreak/>
        <w:t>Tuto smlouvu je možné měnit pouze písemnou dohodou účastníků ve formě číslovaných dodatků.</w:t>
      </w:r>
    </w:p>
    <w:p w14:paraId="569B47D2" w14:textId="77777777" w:rsidR="005E7E73" w:rsidRPr="005E7E73" w:rsidRDefault="000A7E6F" w:rsidP="005E7E73">
      <w:pPr>
        <w:numPr>
          <w:ilvl w:val="1"/>
          <w:numId w:val="1"/>
        </w:numPr>
        <w:spacing w:before="120"/>
        <w:ind w:left="426" w:hanging="426"/>
        <w:jc w:val="both"/>
        <w:rPr>
          <w:rFonts w:ascii="Open Sans" w:eastAsia="Open Sans" w:hAnsi="Open Sans" w:cs="Open Sans"/>
          <w:b/>
          <w:i/>
          <w:color w:val="00000A"/>
        </w:rPr>
      </w:pPr>
      <w:r>
        <w:rPr>
          <w:rFonts w:ascii="Open Sans" w:eastAsia="Open Sans" w:hAnsi="Open Sans" w:cs="Open Sans"/>
          <w:color w:val="00000A"/>
        </w:rPr>
        <w:t>Tato smlouva je uzavřena ve dvou vyhotoveních, z nichž každý z účastníků obdrží po jednom vyhotovení.</w:t>
      </w:r>
    </w:p>
    <w:p w14:paraId="1E1F2CA4" w14:textId="77777777" w:rsidR="005E7E73" w:rsidRPr="005E7E73" w:rsidRDefault="005E7E73" w:rsidP="005E7E73">
      <w:pPr>
        <w:numPr>
          <w:ilvl w:val="1"/>
          <w:numId w:val="1"/>
        </w:numPr>
        <w:spacing w:before="120"/>
        <w:ind w:left="426" w:hanging="426"/>
        <w:jc w:val="both"/>
        <w:rPr>
          <w:rFonts w:ascii="Open Sans" w:eastAsia="Open Sans" w:hAnsi="Open Sans" w:cs="Open Sans"/>
          <w:b/>
          <w:i/>
          <w:color w:val="00000A"/>
        </w:rPr>
      </w:pPr>
      <w:r w:rsidRPr="005E7E73">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2D0051E4" w14:textId="77777777" w:rsidR="00094EA2" w:rsidRDefault="00094EA2">
      <w:pPr>
        <w:rPr>
          <w:rFonts w:ascii="Open Sans" w:eastAsia="Open Sans" w:hAnsi="Open Sans" w:cs="Open Sans"/>
          <w:i/>
          <w:color w:val="00000A"/>
        </w:rPr>
      </w:pPr>
    </w:p>
    <w:p w14:paraId="00526828" w14:textId="77777777" w:rsidR="00094EA2" w:rsidRDefault="000A7E6F">
      <w:pPr>
        <w:pBdr>
          <w:top w:val="nil"/>
          <w:left w:val="nil"/>
          <w:bottom w:val="nil"/>
          <w:right w:val="nil"/>
          <w:between w:val="nil"/>
        </w:pBdr>
        <w:spacing w:before="240" w:after="600"/>
        <w:ind w:left="709"/>
        <w:rPr>
          <w:rFonts w:ascii="Open Sans" w:eastAsia="Open Sans" w:hAnsi="Open Sans" w:cs="Open Sans"/>
          <w:b/>
          <w:i/>
          <w:color w:val="000000"/>
        </w:rPr>
      </w:pPr>
      <w:r>
        <w:rPr>
          <w:rFonts w:ascii="Open Sans" w:eastAsia="Open Sans" w:hAnsi="Open Sans" w:cs="Open Sans"/>
          <w:color w:val="000000"/>
        </w:rPr>
        <w:t xml:space="preserve">V Mělníku dne … </w:t>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r>
      <w:r w:rsidRPr="000A7E6F">
        <w:rPr>
          <w:rFonts w:ascii="Open Sans" w:eastAsia="Open Sans" w:hAnsi="Open Sans" w:cs="Open Sans"/>
          <w:color w:val="000000"/>
        </w:rPr>
        <w:t>V Plzni dne …</w:t>
      </w:r>
    </w:p>
    <w:p w14:paraId="74726F37" w14:textId="77777777" w:rsidR="00094EA2" w:rsidRDefault="00094EA2">
      <w:pPr>
        <w:pBdr>
          <w:top w:val="nil"/>
          <w:left w:val="nil"/>
          <w:bottom w:val="nil"/>
          <w:right w:val="nil"/>
          <w:between w:val="nil"/>
        </w:pBdr>
        <w:spacing w:before="240" w:after="600"/>
        <w:ind w:left="709"/>
        <w:rPr>
          <w:rFonts w:ascii="Open Sans" w:eastAsia="Open Sans" w:hAnsi="Open Sans" w:cs="Open Sans"/>
          <w:b/>
          <w:i/>
          <w:color w:val="000000"/>
        </w:rPr>
      </w:pPr>
    </w:p>
    <w:p w14:paraId="65218305" w14:textId="77777777" w:rsidR="00094EA2" w:rsidRDefault="000A7E6F">
      <w:pPr>
        <w:pBdr>
          <w:top w:val="nil"/>
          <w:left w:val="nil"/>
          <w:bottom w:val="nil"/>
          <w:right w:val="nil"/>
          <w:between w:val="nil"/>
        </w:pBdr>
        <w:spacing w:before="240" w:after="480"/>
        <w:ind w:left="709"/>
        <w:rPr>
          <w:rFonts w:ascii="Open Sans" w:eastAsia="Open Sans" w:hAnsi="Open Sans" w:cs="Open Sans"/>
          <w:b/>
          <w:i/>
          <w:color w:val="000000"/>
        </w:rPr>
      </w:pPr>
      <w:r>
        <w:rPr>
          <w:rFonts w:ascii="Open Sans" w:eastAsia="Open Sans" w:hAnsi="Open Sans" w:cs="Open Sans"/>
          <w:color w:val="000000"/>
        </w:rPr>
        <w:t>Ing. Tomáš Martinec, Ph.D.</w:t>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t>Jan Lippert</w:t>
      </w:r>
      <w:r>
        <w:rPr>
          <w:rFonts w:ascii="Open Sans" w:eastAsia="Open Sans" w:hAnsi="Open Sans" w:cs="Open Sans"/>
          <w:color w:val="000000"/>
        </w:rPr>
        <w:br/>
        <w:t xml:space="preserve">starosta města Mělník </w:t>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ab/>
        <w:t>jednatel</w:t>
      </w:r>
    </w:p>
    <w:p w14:paraId="51AC5093" w14:textId="77777777" w:rsidR="00094EA2" w:rsidRDefault="00094EA2">
      <w:pPr>
        <w:rPr>
          <w:rFonts w:ascii="Open Sans" w:eastAsia="Open Sans" w:hAnsi="Open Sans" w:cs="Open Sans"/>
          <w:i/>
          <w:color w:val="000000"/>
        </w:rPr>
      </w:pPr>
    </w:p>
    <w:p w14:paraId="5A9BF79C" w14:textId="77777777" w:rsidR="000A7E6F" w:rsidRDefault="000A7E6F">
      <w:pPr>
        <w:rPr>
          <w:rFonts w:ascii="Open Sans" w:eastAsia="Open Sans" w:hAnsi="Open Sans" w:cs="Open Sans"/>
          <w:i/>
          <w:color w:val="000000"/>
        </w:rPr>
      </w:pPr>
      <w:r>
        <w:rPr>
          <w:rFonts w:ascii="Open Sans" w:eastAsia="Open Sans" w:hAnsi="Open Sans" w:cs="Open Sans"/>
          <w:i/>
          <w:color w:val="000000"/>
        </w:rPr>
        <w:br w:type="page"/>
      </w:r>
    </w:p>
    <w:p w14:paraId="2C76FE34" w14:textId="7CD5022C" w:rsidR="00094EA2" w:rsidRPr="000A7E6F" w:rsidRDefault="000A7E6F">
      <w:pPr>
        <w:rPr>
          <w:rFonts w:ascii="Open Sans" w:eastAsia="Open Sans" w:hAnsi="Open Sans" w:cs="Open Sans"/>
          <w:b/>
          <w:color w:val="000000"/>
        </w:rPr>
      </w:pPr>
      <w:r w:rsidRPr="000A7E6F">
        <w:rPr>
          <w:rFonts w:ascii="Open Sans" w:eastAsia="Open Sans" w:hAnsi="Open Sans" w:cs="Open Sans"/>
          <w:b/>
          <w:color w:val="000000"/>
        </w:rPr>
        <w:lastRenderedPageBreak/>
        <w:t>Příloha č. 1 – Cenová nabídka na technické zabez</w:t>
      </w:r>
      <w:r w:rsidR="00096856">
        <w:rPr>
          <w:rFonts w:ascii="Open Sans" w:eastAsia="Open Sans" w:hAnsi="Open Sans" w:cs="Open Sans"/>
          <w:b/>
          <w:color w:val="000000"/>
        </w:rPr>
        <w:t>pečení Mělnického vinobraní 2025</w:t>
      </w:r>
    </w:p>
    <w:p w14:paraId="6C02E542" w14:textId="77777777" w:rsidR="000A7E6F" w:rsidRDefault="000A7E6F">
      <w:pPr>
        <w:rPr>
          <w:rFonts w:ascii="Open Sans" w:eastAsia="Open Sans" w:hAnsi="Open Sans" w:cs="Open Sans"/>
          <w:color w:val="000000"/>
        </w:rPr>
      </w:pPr>
    </w:p>
    <w:p w14:paraId="4622030C" w14:textId="6F69CE10" w:rsidR="000A7E6F" w:rsidRPr="000A7E6F" w:rsidRDefault="000A7E6F" w:rsidP="000A7E6F">
      <w:pPr>
        <w:rPr>
          <w:rFonts w:ascii="Open Sans" w:hAnsi="Open Sans" w:cs="Open Sans"/>
        </w:rPr>
      </w:pPr>
      <w:r w:rsidRPr="000A7E6F">
        <w:rPr>
          <w:rFonts w:ascii="Open Sans" w:hAnsi="Open Sans" w:cs="Open Sans"/>
        </w:rPr>
        <w:t>Technická spe</w:t>
      </w:r>
      <w:r w:rsidR="00096856">
        <w:rPr>
          <w:rFonts w:ascii="Open Sans" w:hAnsi="Open Sans" w:cs="Open Sans"/>
        </w:rPr>
        <w:t>cifikace Mělnické vinobraní 2025</w:t>
      </w:r>
    </w:p>
    <w:p w14:paraId="21DBB6C2" w14:textId="77777777" w:rsidR="000A7E6F" w:rsidRPr="000A7E6F" w:rsidRDefault="000A7E6F" w:rsidP="000A7E6F">
      <w:pPr>
        <w:rPr>
          <w:rFonts w:ascii="Open Sans" w:hAnsi="Open Sans" w:cs="Open Sans"/>
        </w:rPr>
      </w:pPr>
    </w:p>
    <w:p w14:paraId="04FEEA53" w14:textId="77777777" w:rsidR="000A7E6F" w:rsidRPr="000A7E6F" w:rsidRDefault="000A7E6F" w:rsidP="000A7E6F">
      <w:pPr>
        <w:rPr>
          <w:rFonts w:ascii="Open Sans" w:hAnsi="Open Sans" w:cs="Open Sans"/>
        </w:rPr>
      </w:pPr>
    </w:p>
    <w:p w14:paraId="42702E52" w14:textId="77777777" w:rsidR="000A7E6F" w:rsidRPr="000A7E6F" w:rsidRDefault="000A7E6F" w:rsidP="000A7E6F">
      <w:pPr>
        <w:rPr>
          <w:rFonts w:ascii="Open Sans" w:hAnsi="Open Sans" w:cs="Open Sans"/>
        </w:rPr>
      </w:pPr>
      <w:r w:rsidRPr="000A7E6F">
        <w:rPr>
          <w:rFonts w:ascii="Open Sans" w:hAnsi="Open Sans" w:cs="Open Sans"/>
        </w:rPr>
        <w:t>LIGHTS:</w:t>
      </w:r>
    </w:p>
    <w:p w14:paraId="64ADD428" w14:textId="77777777" w:rsidR="000A7E6F" w:rsidRPr="000A7E6F" w:rsidRDefault="000A7E6F" w:rsidP="000A7E6F">
      <w:pPr>
        <w:rPr>
          <w:rFonts w:ascii="Open Sans" w:hAnsi="Open Sans" w:cs="Open Sans"/>
        </w:rPr>
      </w:pPr>
      <w:r w:rsidRPr="000A7E6F">
        <w:rPr>
          <w:rFonts w:ascii="Open Sans" w:hAnsi="Open Sans" w:cs="Open Sans"/>
        </w:rPr>
        <w:t xml:space="preserve"> 12x Robe MegaPointe</w:t>
      </w:r>
    </w:p>
    <w:p w14:paraId="7BB0F099" w14:textId="77777777" w:rsidR="000A7E6F" w:rsidRPr="000A7E6F" w:rsidRDefault="000A7E6F" w:rsidP="000A7E6F">
      <w:pPr>
        <w:rPr>
          <w:rFonts w:ascii="Open Sans" w:hAnsi="Open Sans" w:cs="Open Sans"/>
        </w:rPr>
      </w:pPr>
      <w:r w:rsidRPr="000A7E6F">
        <w:rPr>
          <w:rFonts w:ascii="Open Sans" w:hAnsi="Open Sans" w:cs="Open Sans"/>
        </w:rPr>
        <w:t>12x Robe Pointe</w:t>
      </w:r>
    </w:p>
    <w:p w14:paraId="4E0B1744" w14:textId="77777777" w:rsidR="000A7E6F" w:rsidRPr="000A7E6F" w:rsidRDefault="000A7E6F" w:rsidP="000A7E6F">
      <w:pPr>
        <w:rPr>
          <w:rFonts w:ascii="Open Sans" w:hAnsi="Open Sans" w:cs="Open Sans"/>
        </w:rPr>
      </w:pPr>
      <w:r w:rsidRPr="000A7E6F">
        <w:rPr>
          <w:rFonts w:ascii="Open Sans" w:hAnsi="Open Sans" w:cs="Open Sans"/>
        </w:rPr>
        <w:t>40x Robe Spiider</w:t>
      </w:r>
    </w:p>
    <w:p w14:paraId="1A8864F2" w14:textId="77777777" w:rsidR="000A7E6F" w:rsidRPr="000A7E6F" w:rsidRDefault="000A7E6F" w:rsidP="000A7E6F">
      <w:pPr>
        <w:rPr>
          <w:rFonts w:ascii="Open Sans" w:hAnsi="Open Sans" w:cs="Open Sans"/>
        </w:rPr>
      </w:pPr>
      <w:r w:rsidRPr="000A7E6F">
        <w:rPr>
          <w:rFonts w:ascii="Open Sans" w:hAnsi="Open Sans" w:cs="Open Sans"/>
        </w:rPr>
        <w:t>8x led strobe effect</w:t>
      </w:r>
    </w:p>
    <w:p w14:paraId="7D955833" w14:textId="77777777" w:rsidR="000A7E6F" w:rsidRPr="000A7E6F" w:rsidRDefault="000A7E6F" w:rsidP="000A7E6F">
      <w:pPr>
        <w:rPr>
          <w:rFonts w:ascii="Open Sans" w:hAnsi="Open Sans" w:cs="Open Sans"/>
        </w:rPr>
      </w:pPr>
      <w:r w:rsidRPr="000A7E6F">
        <w:rPr>
          <w:rFonts w:ascii="Open Sans" w:hAnsi="Open Sans" w:cs="Open Sans"/>
        </w:rPr>
        <w:t>14x Blinders 4-lite</w:t>
      </w:r>
    </w:p>
    <w:p w14:paraId="656596E2" w14:textId="77777777" w:rsidR="000A7E6F" w:rsidRPr="000A7E6F" w:rsidRDefault="000A7E6F" w:rsidP="000A7E6F">
      <w:pPr>
        <w:rPr>
          <w:rFonts w:ascii="Open Sans" w:hAnsi="Open Sans" w:cs="Open Sans"/>
        </w:rPr>
      </w:pPr>
      <w:r w:rsidRPr="000A7E6F">
        <w:rPr>
          <w:rFonts w:ascii="Open Sans" w:hAnsi="Open Sans" w:cs="Open Sans"/>
        </w:rPr>
        <w:t xml:space="preserve">  6x Arri T1000</w:t>
      </w:r>
    </w:p>
    <w:p w14:paraId="055A4DC6" w14:textId="77777777" w:rsidR="000A7E6F" w:rsidRPr="000A7E6F" w:rsidRDefault="000A7E6F" w:rsidP="000A7E6F">
      <w:pPr>
        <w:rPr>
          <w:rFonts w:ascii="Open Sans" w:hAnsi="Open Sans" w:cs="Open Sans"/>
        </w:rPr>
      </w:pPr>
      <w:r w:rsidRPr="000A7E6F">
        <w:rPr>
          <w:rFonts w:ascii="Open Sans" w:hAnsi="Open Sans" w:cs="Open Sans"/>
        </w:rPr>
        <w:t xml:space="preserve">  2x Look Viper NT </w:t>
      </w:r>
    </w:p>
    <w:p w14:paraId="74664718" w14:textId="77777777" w:rsidR="000A7E6F" w:rsidRPr="000A7E6F" w:rsidRDefault="000A7E6F" w:rsidP="000A7E6F">
      <w:pPr>
        <w:rPr>
          <w:rFonts w:ascii="Open Sans" w:hAnsi="Open Sans" w:cs="Open Sans"/>
        </w:rPr>
      </w:pPr>
      <w:r w:rsidRPr="000A7E6F">
        <w:rPr>
          <w:rFonts w:ascii="Open Sans" w:hAnsi="Open Sans" w:cs="Open Sans"/>
        </w:rPr>
        <w:t xml:space="preserve">  1x Chamsys MQ500</w:t>
      </w:r>
    </w:p>
    <w:p w14:paraId="12C25D55" w14:textId="77777777" w:rsidR="000A7E6F" w:rsidRPr="000A7E6F" w:rsidRDefault="000A7E6F" w:rsidP="000A7E6F">
      <w:pPr>
        <w:rPr>
          <w:rFonts w:ascii="Open Sans" w:hAnsi="Open Sans" w:cs="Open Sans"/>
        </w:rPr>
      </w:pPr>
      <w:r w:rsidRPr="000A7E6F">
        <w:rPr>
          <w:rFonts w:ascii="Open Sans" w:hAnsi="Open Sans" w:cs="Open Sans"/>
        </w:rPr>
        <w:t xml:space="preserve"> </w:t>
      </w:r>
    </w:p>
    <w:p w14:paraId="458331DD" w14:textId="77777777" w:rsidR="000A7E6F" w:rsidRPr="000A7E6F" w:rsidRDefault="000A7E6F" w:rsidP="000A7E6F">
      <w:pPr>
        <w:rPr>
          <w:rFonts w:ascii="Open Sans" w:hAnsi="Open Sans" w:cs="Open Sans"/>
        </w:rPr>
      </w:pPr>
    </w:p>
    <w:p w14:paraId="551CB6A9" w14:textId="77777777" w:rsidR="000A7E6F" w:rsidRPr="000A7E6F" w:rsidRDefault="000A7E6F" w:rsidP="000A7E6F">
      <w:pPr>
        <w:rPr>
          <w:rFonts w:ascii="Open Sans" w:hAnsi="Open Sans" w:cs="Open Sans"/>
        </w:rPr>
      </w:pPr>
      <w:r w:rsidRPr="000A7E6F">
        <w:rPr>
          <w:rFonts w:ascii="Open Sans" w:hAnsi="Open Sans" w:cs="Open Sans"/>
        </w:rPr>
        <w:t xml:space="preserve">STAGE: </w:t>
      </w:r>
    </w:p>
    <w:p w14:paraId="49986742" w14:textId="77777777" w:rsidR="000A7E6F" w:rsidRPr="000A7E6F" w:rsidRDefault="000A7E6F" w:rsidP="000A7E6F">
      <w:pPr>
        <w:rPr>
          <w:rFonts w:ascii="Open Sans" w:hAnsi="Open Sans" w:cs="Open Sans"/>
        </w:rPr>
      </w:pPr>
      <w:r w:rsidRPr="000A7E6F">
        <w:rPr>
          <w:rFonts w:ascii="Open Sans" w:hAnsi="Open Sans" w:cs="Open Sans"/>
        </w:rPr>
        <w:t>Ground  support HEAVY DUTY TAF ROOF 13m x 12m x 10m</w:t>
      </w:r>
    </w:p>
    <w:p w14:paraId="76BE1E19" w14:textId="77777777" w:rsidR="000A7E6F" w:rsidRPr="000A7E6F" w:rsidRDefault="000A7E6F" w:rsidP="000A7E6F">
      <w:pPr>
        <w:rPr>
          <w:rFonts w:ascii="Open Sans" w:hAnsi="Open Sans" w:cs="Open Sans"/>
        </w:rPr>
      </w:pPr>
      <w:r w:rsidRPr="000A7E6F">
        <w:rPr>
          <w:rFonts w:ascii="Open Sans" w:hAnsi="Open Sans" w:cs="Open Sans"/>
        </w:rPr>
        <w:t>Stage 12x10 + 2x přípravna 6x4m</w:t>
      </w:r>
    </w:p>
    <w:p w14:paraId="76959E17" w14:textId="77777777" w:rsidR="000A7E6F" w:rsidRPr="000A7E6F" w:rsidRDefault="000A7E6F" w:rsidP="000A7E6F">
      <w:pPr>
        <w:rPr>
          <w:rFonts w:ascii="Open Sans" w:hAnsi="Open Sans" w:cs="Open Sans"/>
        </w:rPr>
      </w:pPr>
      <w:r w:rsidRPr="000A7E6F">
        <w:rPr>
          <w:rFonts w:ascii="Open Sans" w:hAnsi="Open Sans" w:cs="Open Sans"/>
        </w:rPr>
        <w:t>Stabilní dle statického posudku v provozu do 18+ m/s, bez nutnosti zavětrovacích lan</w:t>
      </w:r>
    </w:p>
    <w:p w14:paraId="64DEBFAE" w14:textId="77777777" w:rsidR="000A7E6F" w:rsidRPr="000A7E6F" w:rsidRDefault="000A7E6F" w:rsidP="000A7E6F">
      <w:pPr>
        <w:rPr>
          <w:rFonts w:ascii="Open Sans" w:hAnsi="Open Sans" w:cs="Open Sans"/>
        </w:rPr>
      </w:pPr>
      <w:r w:rsidRPr="000A7E6F">
        <w:rPr>
          <w:rFonts w:ascii="Open Sans" w:hAnsi="Open Sans" w:cs="Open Sans"/>
        </w:rPr>
        <w:t>Molo 6x2</w:t>
      </w:r>
    </w:p>
    <w:p w14:paraId="506C62A2" w14:textId="77777777" w:rsidR="000A7E6F" w:rsidRPr="000A7E6F" w:rsidRDefault="000A7E6F" w:rsidP="000A7E6F">
      <w:pPr>
        <w:rPr>
          <w:rFonts w:ascii="Open Sans" w:hAnsi="Open Sans" w:cs="Open Sans"/>
        </w:rPr>
      </w:pPr>
      <w:r w:rsidRPr="000A7E6F">
        <w:rPr>
          <w:rFonts w:ascii="Open Sans" w:hAnsi="Open Sans" w:cs="Open Sans"/>
        </w:rPr>
        <w:t xml:space="preserve">2x Pa wings  2m </w:t>
      </w:r>
    </w:p>
    <w:p w14:paraId="6910B452" w14:textId="77777777" w:rsidR="000A7E6F" w:rsidRPr="000A7E6F" w:rsidRDefault="000A7E6F" w:rsidP="000A7E6F">
      <w:pPr>
        <w:rPr>
          <w:rFonts w:ascii="Open Sans" w:hAnsi="Open Sans" w:cs="Open Sans"/>
        </w:rPr>
      </w:pPr>
      <w:r w:rsidRPr="000A7E6F">
        <w:rPr>
          <w:rFonts w:ascii="Open Sans" w:hAnsi="Open Sans" w:cs="Open Sans"/>
        </w:rPr>
        <w:t>2x Led wings 2m</w:t>
      </w:r>
    </w:p>
    <w:p w14:paraId="40E294F7" w14:textId="77777777" w:rsidR="000A7E6F" w:rsidRPr="000A7E6F" w:rsidRDefault="000A7E6F" w:rsidP="000A7E6F">
      <w:pPr>
        <w:rPr>
          <w:rFonts w:ascii="Open Sans" w:hAnsi="Open Sans" w:cs="Open Sans"/>
        </w:rPr>
      </w:pPr>
      <w:r w:rsidRPr="000A7E6F">
        <w:rPr>
          <w:rFonts w:ascii="Open Sans" w:hAnsi="Open Sans" w:cs="Open Sans"/>
        </w:rPr>
        <w:t>Potřebný počet motorů 1t/D8 a kompletní rigging</w:t>
      </w:r>
    </w:p>
    <w:p w14:paraId="4F79A624" w14:textId="77777777" w:rsidR="000A7E6F" w:rsidRPr="000A7E6F" w:rsidRDefault="000A7E6F" w:rsidP="000A7E6F">
      <w:pPr>
        <w:rPr>
          <w:rFonts w:ascii="Open Sans" w:hAnsi="Open Sans" w:cs="Open Sans"/>
        </w:rPr>
      </w:pPr>
      <w:r w:rsidRPr="000A7E6F">
        <w:rPr>
          <w:rFonts w:ascii="Open Sans" w:hAnsi="Open Sans" w:cs="Open Sans"/>
        </w:rPr>
        <w:t>Nájezdová plošina, schody</w:t>
      </w:r>
    </w:p>
    <w:p w14:paraId="08E787D3" w14:textId="77777777" w:rsidR="000A7E6F" w:rsidRPr="000A7E6F" w:rsidRDefault="000A7E6F" w:rsidP="000A7E6F">
      <w:pPr>
        <w:rPr>
          <w:rFonts w:ascii="Open Sans" w:hAnsi="Open Sans" w:cs="Open Sans"/>
        </w:rPr>
      </w:pPr>
    </w:p>
    <w:p w14:paraId="35526DD7" w14:textId="77777777" w:rsidR="000A7E6F" w:rsidRPr="000A7E6F" w:rsidRDefault="000A7E6F" w:rsidP="000A7E6F">
      <w:pPr>
        <w:rPr>
          <w:rFonts w:ascii="Open Sans" w:hAnsi="Open Sans" w:cs="Open Sans"/>
        </w:rPr>
      </w:pPr>
      <w:r w:rsidRPr="000A7E6F">
        <w:rPr>
          <w:rFonts w:ascii="Open Sans" w:hAnsi="Open Sans" w:cs="Open Sans"/>
        </w:rPr>
        <w:t>LED:</w:t>
      </w:r>
    </w:p>
    <w:p w14:paraId="364C8FD2" w14:textId="77777777" w:rsidR="000A7E6F" w:rsidRPr="000A7E6F" w:rsidRDefault="000A7E6F" w:rsidP="000A7E6F">
      <w:pPr>
        <w:rPr>
          <w:rFonts w:ascii="Open Sans" w:hAnsi="Open Sans" w:cs="Open Sans"/>
        </w:rPr>
      </w:pPr>
      <w:r w:rsidRPr="000A7E6F">
        <w:rPr>
          <w:rFonts w:ascii="Open Sans" w:hAnsi="Open Sans" w:cs="Open Sans"/>
        </w:rPr>
        <w:t xml:space="preserve">1x led brána 12x8m </w:t>
      </w:r>
    </w:p>
    <w:p w14:paraId="32364667" w14:textId="77777777" w:rsidR="000A7E6F" w:rsidRPr="000A7E6F" w:rsidRDefault="000A7E6F" w:rsidP="000A7E6F">
      <w:pPr>
        <w:rPr>
          <w:rFonts w:ascii="Open Sans" w:hAnsi="Open Sans" w:cs="Open Sans"/>
        </w:rPr>
      </w:pPr>
      <w:r w:rsidRPr="000A7E6F">
        <w:rPr>
          <w:rFonts w:ascii="Open Sans" w:hAnsi="Open Sans" w:cs="Open Sans"/>
        </w:rPr>
        <w:t xml:space="preserve">2x led wings – 5x3m </w:t>
      </w:r>
    </w:p>
    <w:p w14:paraId="6737B276" w14:textId="77777777" w:rsidR="000A7E6F" w:rsidRPr="000A7E6F" w:rsidRDefault="000A7E6F" w:rsidP="000A7E6F">
      <w:pPr>
        <w:rPr>
          <w:rFonts w:ascii="Open Sans" w:hAnsi="Open Sans" w:cs="Open Sans"/>
        </w:rPr>
      </w:pPr>
      <w:r w:rsidRPr="000A7E6F">
        <w:rPr>
          <w:rFonts w:ascii="Open Sans" w:hAnsi="Open Sans" w:cs="Open Sans"/>
        </w:rPr>
        <w:t>Processing &amp; distro</w:t>
      </w:r>
    </w:p>
    <w:p w14:paraId="5EC638EC" w14:textId="77777777" w:rsidR="000A7E6F" w:rsidRPr="000A7E6F" w:rsidRDefault="000A7E6F" w:rsidP="000A7E6F">
      <w:pPr>
        <w:rPr>
          <w:rFonts w:ascii="Open Sans" w:hAnsi="Open Sans" w:cs="Open Sans"/>
        </w:rPr>
      </w:pPr>
      <w:r w:rsidRPr="000A7E6F">
        <w:rPr>
          <w:rFonts w:ascii="Open Sans" w:hAnsi="Open Sans" w:cs="Open Sans"/>
        </w:rPr>
        <w:t>Odbavení + režie</w:t>
      </w:r>
    </w:p>
    <w:p w14:paraId="7582B0B0" w14:textId="77777777" w:rsidR="000A7E6F" w:rsidRPr="000A7E6F" w:rsidRDefault="000A7E6F" w:rsidP="000A7E6F">
      <w:pPr>
        <w:rPr>
          <w:rFonts w:ascii="Open Sans" w:hAnsi="Open Sans" w:cs="Open Sans"/>
        </w:rPr>
      </w:pPr>
      <w:r w:rsidRPr="000A7E6F">
        <w:rPr>
          <w:rFonts w:ascii="Open Sans" w:hAnsi="Open Sans" w:cs="Open Sans"/>
        </w:rPr>
        <w:t>2x kameraman</w:t>
      </w:r>
    </w:p>
    <w:p w14:paraId="31C152EA" w14:textId="77777777" w:rsidR="000A7E6F" w:rsidRPr="000A7E6F" w:rsidRDefault="000A7E6F" w:rsidP="000A7E6F">
      <w:pPr>
        <w:rPr>
          <w:rFonts w:ascii="Open Sans" w:hAnsi="Open Sans" w:cs="Open Sans"/>
        </w:rPr>
      </w:pPr>
      <w:r w:rsidRPr="000A7E6F">
        <w:rPr>
          <w:rFonts w:ascii="Open Sans" w:hAnsi="Open Sans" w:cs="Open Sans"/>
        </w:rPr>
        <w:t xml:space="preserve">3x statická </w:t>
      </w:r>
    </w:p>
    <w:p w14:paraId="6096A1F7" w14:textId="77777777" w:rsidR="000A7E6F" w:rsidRPr="000A7E6F" w:rsidRDefault="000A7E6F" w:rsidP="000A7E6F">
      <w:pPr>
        <w:rPr>
          <w:rFonts w:ascii="Open Sans" w:hAnsi="Open Sans" w:cs="Open Sans"/>
        </w:rPr>
      </w:pPr>
    </w:p>
    <w:p w14:paraId="0DD05B19" w14:textId="77777777" w:rsidR="000A7E6F" w:rsidRPr="000A7E6F" w:rsidRDefault="000A7E6F" w:rsidP="000A7E6F">
      <w:pPr>
        <w:rPr>
          <w:rFonts w:ascii="Open Sans" w:hAnsi="Open Sans" w:cs="Open Sans"/>
        </w:rPr>
      </w:pPr>
      <w:r w:rsidRPr="000A7E6F">
        <w:rPr>
          <w:rFonts w:ascii="Open Sans" w:hAnsi="Open Sans" w:cs="Open Sans"/>
        </w:rPr>
        <w:t>SOUND:</w:t>
      </w:r>
    </w:p>
    <w:p w14:paraId="0D4383CF" w14:textId="77777777" w:rsidR="000A7E6F" w:rsidRPr="000A7E6F" w:rsidRDefault="000A7E6F" w:rsidP="000A7E6F">
      <w:pPr>
        <w:rPr>
          <w:rFonts w:ascii="Open Sans" w:hAnsi="Open Sans" w:cs="Open Sans"/>
        </w:rPr>
      </w:pPr>
      <w:r w:rsidRPr="000A7E6F">
        <w:rPr>
          <w:rFonts w:ascii="Open Sans" w:hAnsi="Open Sans" w:cs="Open Sans"/>
        </w:rPr>
        <w:t>Adamson Energia Sound System P&amp;P</w:t>
      </w:r>
    </w:p>
    <w:p w14:paraId="722458BD" w14:textId="77777777" w:rsidR="000A7E6F" w:rsidRPr="000A7E6F" w:rsidRDefault="000A7E6F" w:rsidP="000A7E6F">
      <w:pPr>
        <w:rPr>
          <w:rFonts w:ascii="Open Sans" w:hAnsi="Open Sans" w:cs="Open Sans"/>
        </w:rPr>
      </w:pPr>
      <w:r w:rsidRPr="000A7E6F">
        <w:rPr>
          <w:rFonts w:ascii="Open Sans" w:hAnsi="Open Sans" w:cs="Open Sans"/>
        </w:rPr>
        <w:t>(E15 / E12 / S10 + E219 dle prostorového sound designu min12 boxů na stranu)</w:t>
      </w:r>
    </w:p>
    <w:p w14:paraId="776D41DE" w14:textId="77777777" w:rsidR="000A7E6F" w:rsidRPr="000A7E6F" w:rsidRDefault="000A7E6F" w:rsidP="000A7E6F">
      <w:pPr>
        <w:rPr>
          <w:rFonts w:ascii="Open Sans" w:hAnsi="Open Sans" w:cs="Open Sans"/>
        </w:rPr>
      </w:pPr>
      <w:r w:rsidRPr="000A7E6F">
        <w:rPr>
          <w:rFonts w:ascii="Open Sans" w:hAnsi="Open Sans" w:cs="Open Sans"/>
        </w:rPr>
        <w:t>Kompletní processing LAKE / DANTE / LAB.GRUPPEN</w:t>
      </w:r>
    </w:p>
    <w:p w14:paraId="3584E18D" w14:textId="77777777" w:rsidR="000A7E6F" w:rsidRPr="000A7E6F" w:rsidRDefault="000A7E6F" w:rsidP="000A7E6F">
      <w:pPr>
        <w:rPr>
          <w:rFonts w:ascii="Open Sans" w:hAnsi="Open Sans" w:cs="Open Sans"/>
        </w:rPr>
      </w:pPr>
      <w:r w:rsidRPr="000A7E6F">
        <w:rPr>
          <w:rFonts w:ascii="Open Sans" w:hAnsi="Open Sans" w:cs="Open Sans"/>
        </w:rPr>
        <w:t>FOH Yamaha CL5, monitoring, smaart measurement</w:t>
      </w:r>
    </w:p>
    <w:p w14:paraId="45CDBA76" w14:textId="77777777" w:rsidR="000A7E6F" w:rsidRPr="000A7E6F" w:rsidRDefault="000A7E6F" w:rsidP="000A7E6F">
      <w:pPr>
        <w:rPr>
          <w:rFonts w:ascii="Open Sans" w:hAnsi="Open Sans" w:cs="Open Sans"/>
        </w:rPr>
      </w:pPr>
    </w:p>
    <w:p w14:paraId="00770B5A" w14:textId="77777777" w:rsidR="000A7E6F" w:rsidRPr="000A7E6F" w:rsidRDefault="000A7E6F" w:rsidP="000A7E6F">
      <w:pPr>
        <w:rPr>
          <w:rFonts w:ascii="Open Sans" w:hAnsi="Open Sans" w:cs="Open Sans"/>
        </w:rPr>
      </w:pPr>
      <w:r w:rsidRPr="000A7E6F">
        <w:rPr>
          <w:rFonts w:ascii="Open Sans" w:hAnsi="Open Sans" w:cs="Open Sans"/>
        </w:rPr>
        <w:t>MONITOR:</w:t>
      </w:r>
    </w:p>
    <w:p w14:paraId="71FB1DEF" w14:textId="77777777" w:rsidR="000A7E6F" w:rsidRPr="000A7E6F" w:rsidRDefault="000A7E6F" w:rsidP="000A7E6F">
      <w:pPr>
        <w:rPr>
          <w:rFonts w:ascii="Open Sans" w:hAnsi="Open Sans" w:cs="Open Sans"/>
        </w:rPr>
      </w:pPr>
      <w:r w:rsidRPr="000A7E6F">
        <w:rPr>
          <w:rFonts w:ascii="Open Sans" w:hAnsi="Open Sans" w:cs="Open Sans"/>
        </w:rPr>
        <w:t xml:space="preserve">12x Adamson M15 </w:t>
      </w:r>
    </w:p>
    <w:p w14:paraId="49B85A67" w14:textId="77777777" w:rsidR="000A7E6F" w:rsidRPr="000A7E6F" w:rsidRDefault="000A7E6F" w:rsidP="000A7E6F">
      <w:pPr>
        <w:rPr>
          <w:rFonts w:ascii="Open Sans" w:hAnsi="Open Sans" w:cs="Open Sans"/>
        </w:rPr>
      </w:pPr>
      <w:r w:rsidRPr="000A7E6F">
        <w:rPr>
          <w:rFonts w:ascii="Open Sans" w:hAnsi="Open Sans" w:cs="Open Sans"/>
        </w:rPr>
        <w:t>Drumfill Adamson SPX SUB + M15</w:t>
      </w:r>
    </w:p>
    <w:p w14:paraId="3BBAB9EA" w14:textId="62FB37B2" w:rsidR="00094EA2" w:rsidRDefault="000A7E6F">
      <w:pPr>
        <w:rPr>
          <w:rFonts w:ascii="Open Sans" w:hAnsi="Open Sans" w:cs="Open Sans"/>
        </w:rPr>
      </w:pPr>
      <w:r w:rsidRPr="000A7E6F">
        <w:rPr>
          <w:rFonts w:ascii="Open Sans" w:hAnsi="Open Sans" w:cs="Open Sans"/>
        </w:rPr>
        <w:t>Monitor mixing console Yamaha M7CL + Splitter</w:t>
      </w:r>
    </w:p>
    <w:p w14:paraId="11D699E5" w14:textId="77777777" w:rsidR="001B0902" w:rsidRDefault="001B0902">
      <w:pPr>
        <w:rPr>
          <w:rFonts w:ascii="Open Sans" w:hAnsi="Open Sans" w:cs="Open Sans"/>
        </w:rPr>
      </w:pPr>
    </w:p>
    <w:p w14:paraId="0F906C6A" w14:textId="7084886A" w:rsidR="001B0902" w:rsidRDefault="00096856">
      <w:pPr>
        <w:rPr>
          <w:rFonts w:ascii="Open Sans" w:hAnsi="Open Sans" w:cs="Open Sans"/>
        </w:rPr>
      </w:pPr>
      <w:r>
        <w:rPr>
          <w:rFonts w:ascii="Open Sans" w:hAnsi="Open Sans" w:cs="Open Sans"/>
        </w:rPr>
        <w:t>AGREGÁT:</w:t>
      </w:r>
    </w:p>
    <w:p w14:paraId="5832F554" w14:textId="7510DA9E" w:rsidR="00096856" w:rsidRPr="001B0902" w:rsidRDefault="00096856">
      <w:pPr>
        <w:rPr>
          <w:rFonts w:ascii="Open Sans" w:hAnsi="Open Sans" w:cs="Open Sans"/>
        </w:rPr>
      </w:pPr>
      <w:r w:rsidRPr="0017159D">
        <w:rPr>
          <w:rFonts w:ascii="Open Sans" w:eastAsia="Open Sans" w:hAnsi="Open Sans" w:cs="Open Sans"/>
          <w:color w:val="00000A"/>
        </w:rPr>
        <w:t>ULTRA SILENT</w:t>
      </w:r>
    </w:p>
    <w:sectPr w:rsidR="00096856" w:rsidRPr="001B0902">
      <w:headerReference w:type="default" r:id="rId9"/>
      <w:footerReference w:type="default" r:id="rId10"/>
      <w:pgSz w:w="11906" w:h="16838"/>
      <w:pgMar w:top="1417" w:right="1133"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37BE6" w16cex:dateUtc="2025-05-07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6F4A8" w16cid:durableId="13837B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58DF" w14:textId="77777777" w:rsidR="004D344A" w:rsidRDefault="004D344A">
      <w:r>
        <w:separator/>
      </w:r>
    </w:p>
  </w:endnote>
  <w:endnote w:type="continuationSeparator" w:id="0">
    <w:p w14:paraId="5C42428C" w14:textId="77777777" w:rsidR="004D344A" w:rsidRDefault="004D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Droid Sans Mono">
    <w:altName w:val="Times New Roman"/>
    <w:charset w:val="00"/>
    <w:family w:val="auto"/>
    <w:pitch w:val="default"/>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60CC2" w14:textId="09A3D5FE" w:rsidR="00094EA2" w:rsidRDefault="000A7E6F">
    <w:pPr>
      <w:pBdr>
        <w:top w:val="nil"/>
        <w:left w:val="nil"/>
        <w:bottom w:val="nil"/>
        <w:right w:val="nil"/>
        <w:between w:val="nil"/>
      </w:pBdr>
      <w:tabs>
        <w:tab w:val="center" w:pos="4536"/>
        <w:tab w:val="right" w:pos="9072"/>
      </w:tabs>
      <w:rPr>
        <w:rFonts w:ascii="Droid Sans Mono" w:eastAsia="Droid Sans Mono" w:hAnsi="Droid Sans Mono" w:cs="Droid Sans Mono"/>
        <w:color w:val="000000"/>
      </w:rPr>
    </w:pPr>
    <w:r>
      <w:rPr>
        <w:rFonts w:ascii="Droid Sans Mono" w:eastAsia="Droid Sans Mono" w:hAnsi="Droid Sans Mono" w:cs="Droid Sans Mono"/>
        <w:b/>
        <w:i/>
        <w:color w:val="000000"/>
      </w:rPr>
      <w:tab/>
      <w:t xml:space="preserve">- </w:t>
    </w:r>
    <w:r>
      <w:rPr>
        <w:rFonts w:ascii="Droid Sans Mono" w:eastAsia="Droid Sans Mono" w:hAnsi="Droid Sans Mono" w:cs="Droid Sans Mono"/>
        <w:color w:val="000000"/>
      </w:rPr>
      <w:fldChar w:fldCharType="begin"/>
    </w:r>
    <w:r>
      <w:rPr>
        <w:rFonts w:ascii="Droid Sans Mono" w:eastAsia="Droid Sans Mono" w:hAnsi="Droid Sans Mono" w:cs="Droid Sans Mono"/>
        <w:b/>
        <w:i/>
        <w:color w:val="000000"/>
      </w:rPr>
      <w:instrText>PAGE</w:instrText>
    </w:r>
    <w:r>
      <w:rPr>
        <w:rFonts w:ascii="Droid Sans Mono" w:eastAsia="Droid Sans Mono" w:hAnsi="Droid Sans Mono" w:cs="Droid Sans Mono"/>
        <w:color w:val="000000"/>
      </w:rPr>
      <w:fldChar w:fldCharType="separate"/>
    </w:r>
    <w:r w:rsidR="00B134DD">
      <w:rPr>
        <w:rFonts w:ascii="Droid Sans Mono" w:eastAsia="Droid Sans Mono" w:hAnsi="Droid Sans Mono" w:cs="Droid Sans Mono"/>
        <w:b/>
        <w:i/>
        <w:noProof/>
        <w:color w:val="000000"/>
      </w:rPr>
      <w:t>1</w:t>
    </w:r>
    <w:r>
      <w:rPr>
        <w:rFonts w:ascii="Droid Sans Mono" w:eastAsia="Droid Sans Mono" w:hAnsi="Droid Sans Mono" w:cs="Droid Sans Mono"/>
        <w:color w:val="000000"/>
      </w:rPr>
      <w:fldChar w:fldCharType="end"/>
    </w:r>
    <w:r>
      <w:rPr>
        <w:rFonts w:ascii="Droid Sans Mono" w:eastAsia="Droid Sans Mono" w:hAnsi="Droid Sans Mono" w:cs="Droid Sans Mono"/>
        <w:b/>
        <w:i/>
        <w:color w:val="000000"/>
      </w:rPr>
      <w:t xml:space="preserve"> -</w:t>
    </w:r>
  </w:p>
  <w:p w14:paraId="0A4462EB" w14:textId="77777777" w:rsidR="00B345A8" w:rsidRDefault="00B345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2012" w14:textId="77777777" w:rsidR="004D344A" w:rsidRDefault="004D344A">
      <w:r>
        <w:separator/>
      </w:r>
    </w:p>
  </w:footnote>
  <w:footnote w:type="continuationSeparator" w:id="0">
    <w:p w14:paraId="5601B220" w14:textId="77777777" w:rsidR="004D344A" w:rsidRDefault="004D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DD40" w14:textId="77777777" w:rsidR="00094EA2" w:rsidRDefault="000A7E6F">
    <w:pPr>
      <w:pBdr>
        <w:top w:val="nil"/>
        <w:left w:val="nil"/>
        <w:bottom w:val="nil"/>
        <w:right w:val="nil"/>
        <w:between w:val="nil"/>
      </w:pBdr>
      <w:tabs>
        <w:tab w:val="center" w:pos="4536"/>
        <w:tab w:val="right" w:pos="9072"/>
      </w:tabs>
      <w:rPr>
        <w:rFonts w:ascii="Open Sans" w:eastAsia="Open Sans" w:hAnsi="Open Sans" w:cs="Open Sans"/>
        <w:b/>
        <w:i/>
        <w:color w:val="000000"/>
      </w:rPr>
    </w:pPr>
    <w:r>
      <w:rPr>
        <w:rFonts w:ascii="Open Sans" w:eastAsia="Open Sans" w:hAnsi="Open Sans" w:cs="Open Sans"/>
        <w:color w:val="000000"/>
      </w:rPr>
      <w:tab/>
    </w:r>
    <w:r>
      <w:rPr>
        <w:noProof/>
      </w:rPr>
      <w:drawing>
        <wp:anchor distT="0" distB="0" distL="114300" distR="114300" simplePos="0" relativeHeight="251658240" behindDoc="0" locked="0" layoutInCell="1" hidden="0" allowOverlap="1" wp14:anchorId="3824F919" wp14:editId="7D74F7F7">
          <wp:simplePos x="0" y="0"/>
          <wp:positionH relativeFrom="column">
            <wp:posOffset>1310640</wp:posOffset>
          </wp:positionH>
          <wp:positionV relativeFrom="paragraph">
            <wp:posOffset>-122553</wp:posOffset>
          </wp:positionV>
          <wp:extent cx="3171825" cy="5334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71825" cy="533400"/>
                  </a:xfrm>
                  <a:prstGeom prst="rect">
                    <a:avLst/>
                  </a:prstGeom>
                  <a:ln/>
                </pic:spPr>
              </pic:pic>
            </a:graphicData>
          </a:graphic>
        </wp:anchor>
      </w:drawing>
    </w:r>
  </w:p>
  <w:p w14:paraId="09319B5F" w14:textId="77777777" w:rsidR="00B345A8" w:rsidRDefault="00B345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3C1C"/>
    <w:multiLevelType w:val="multilevel"/>
    <w:tmpl w:val="657E09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D182D6B"/>
    <w:multiLevelType w:val="multilevel"/>
    <w:tmpl w:val="517A20EA"/>
    <w:lvl w:ilvl="0">
      <w:start w:val="4"/>
      <w:numFmt w:val="decimal"/>
      <w:lvlText w:val="%1."/>
      <w:lvlJc w:val="left"/>
      <w:pPr>
        <w:ind w:left="0" w:firstLine="0"/>
      </w:pPr>
      <w:rPr>
        <w:rFonts w:hint="default"/>
        <w:i w:val="0"/>
      </w:rPr>
    </w:lvl>
    <w:lvl w:ilvl="1">
      <w:start w:val="1"/>
      <w:numFmt w:val="decimal"/>
      <w:lvlText w:val="%2."/>
      <w:lvlJc w:val="left"/>
      <w:pPr>
        <w:ind w:left="360" w:hanging="360"/>
      </w:pPr>
      <w:rPr>
        <w:rFonts w:hint="default"/>
        <w:b/>
        <w:i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 w15:restartNumberingAfterBreak="0">
    <w:nsid w:val="30D5287E"/>
    <w:multiLevelType w:val="multilevel"/>
    <w:tmpl w:val="467EC06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6D5498"/>
    <w:multiLevelType w:val="multilevel"/>
    <w:tmpl w:val="297CF9DE"/>
    <w:lvl w:ilvl="0">
      <w:start w:val="4"/>
      <w:numFmt w:val="decimal"/>
      <w:lvlText w:val="%1."/>
      <w:lvlJc w:val="left"/>
      <w:pPr>
        <w:ind w:left="0" w:firstLine="0"/>
      </w:pPr>
      <w:rPr>
        <w:rFonts w:hint="default"/>
        <w:i w:val="0"/>
      </w:rPr>
    </w:lvl>
    <w:lvl w:ilvl="1">
      <w:start w:val="1"/>
      <w:numFmt w:val="decimal"/>
      <w:lvlText w:val="%2."/>
      <w:lvlJc w:val="left"/>
      <w:pPr>
        <w:ind w:left="1440" w:hanging="360"/>
      </w:pPr>
      <w:rPr>
        <w:rFonts w:hint="default"/>
        <w:i w:val="0"/>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 w15:restartNumberingAfterBreak="0">
    <w:nsid w:val="673651BC"/>
    <w:multiLevelType w:val="multilevel"/>
    <w:tmpl w:val="D550F168"/>
    <w:lvl w:ilvl="0">
      <w:start w:val="1"/>
      <w:numFmt w:val="decimal"/>
      <w:lvlText w:val="%1."/>
      <w:lvlJc w:val="left"/>
      <w:pPr>
        <w:tabs>
          <w:tab w:val="num" w:pos="709"/>
        </w:tabs>
        <w:ind w:left="709" w:hanging="709"/>
      </w:pPr>
    </w:lvl>
    <w:lvl w:ilvl="1">
      <w:start w:val="1"/>
      <w:numFmt w:val="decimal"/>
      <w:lvlText w:val="%1.%2."/>
      <w:lvlJc w:val="left"/>
      <w:pPr>
        <w:tabs>
          <w:tab w:val="num" w:pos="8080"/>
        </w:tabs>
        <w:ind w:left="8080" w:hanging="709"/>
      </w:pPr>
      <w:rPr>
        <w:i w:val="0"/>
      </w:rPr>
    </w:lvl>
    <w:lvl w:ilvl="2">
      <w:start w:val="1"/>
      <w:numFmt w:val="decimal"/>
      <w:lvlText w:val="%1.%2.%3."/>
      <w:lvlJc w:val="left"/>
      <w:pPr>
        <w:tabs>
          <w:tab w:val="num" w:pos="1277"/>
        </w:tabs>
        <w:ind w:left="1277" w:hanging="709"/>
      </w:pPr>
    </w:lvl>
    <w:lvl w:ilvl="3">
      <w:start w:val="1"/>
      <w:numFmt w:val="decimal"/>
      <w:lvlText w:val="%1.%2.%3.%4."/>
      <w:lvlJc w:val="left"/>
      <w:pPr>
        <w:tabs>
          <w:tab w:val="num" w:pos="2498"/>
        </w:tabs>
        <w:ind w:left="2268" w:hanging="850"/>
      </w:pPr>
    </w:lvl>
    <w:lvl w:ilvl="4">
      <w:start w:val="1"/>
      <w:numFmt w:val="decimal"/>
      <w:lvlText w:val="%1.%2.%3.%4.%5."/>
      <w:lvlJc w:val="left"/>
      <w:pPr>
        <w:tabs>
          <w:tab w:val="num" w:pos="3708"/>
        </w:tabs>
        <w:ind w:left="3119" w:hanging="851"/>
      </w:pPr>
    </w:lvl>
    <w:lvl w:ilvl="5">
      <w:start w:val="1"/>
      <w:numFmt w:val="decimal"/>
      <w:lvlText w:val="%1.%2.%3.%4.%5.%6."/>
      <w:lvlJc w:val="left"/>
      <w:pPr>
        <w:tabs>
          <w:tab w:val="num" w:pos="4559"/>
        </w:tabs>
        <w:ind w:left="3969" w:hanging="850"/>
      </w:pPr>
    </w:lvl>
    <w:lvl w:ilvl="6">
      <w:start w:val="1"/>
      <w:numFmt w:val="decimal"/>
      <w:lvlText w:val="%1.%2.%3.%4.%5.%6.%7."/>
      <w:lvlJc w:val="left"/>
      <w:pPr>
        <w:tabs>
          <w:tab w:val="num" w:pos="5769"/>
        </w:tabs>
        <w:ind w:left="4820" w:hanging="851"/>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A2"/>
    <w:rsid w:val="0005557E"/>
    <w:rsid w:val="00094EA2"/>
    <w:rsid w:val="00096856"/>
    <w:rsid w:val="000A7E6F"/>
    <w:rsid w:val="001321E4"/>
    <w:rsid w:val="001334E4"/>
    <w:rsid w:val="0017159D"/>
    <w:rsid w:val="001B0902"/>
    <w:rsid w:val="002003F7"/>
    <w:rsid w:val="0026793A"/>
    <w:rsid w:val="002C47E8"/>
    <w:rsid w:val="003E08E8"/>
    <w:rsid w:val="004B4EBD"/>
    <w:rsid w:val="004D344A"/>
    <w:rsid w:val="004D705C"/>
    <w:rsid w:val="004F2ADA"/>
    <w:rsid w:val="00534E07"/>
    <w:rsid w:val="00542DFC"/>
    <w:rsid w:val="005E7E73"/>
    <w:rsid w:val="006059CE"/>
    <w:rsid w:val="00611772"/>
    <w:rsid w:val="006250CA"/>
    <w:rsid w:val="00681567"/>
    <w:rsid w:val="00687922"/>
    <w:rsid w:val="006A373A"/>
    <w:rsid w:val="006E64A1"/>
    <w:rsid w:val="007D2A52"/>
    <w:rsid w:val="007D7525"/>
    <w:rsid w:val="008D1FAF"/>
    <w:rsid w:val="008F5CA3"/>
    <w:rsid w:val="008F7E23"/>
    <w:rsid w:val="009051E4"/>
    <w:rsid w:val="00920109"/>
    <w:rsid w:val="009339CD"/>
    <w:rsid w:val="00A90714"/>
    <w:rsid w:val="00A93F43"/>
    <w:rsid w:val="00AE5F39"/>
    <w:rsid w:val="00B12402"/>
    <w:rsid w:val="00B134DD"/>
    <w:rsid w:val="00B345A8"/>
    <w:rsid w:val="00B91B41"/>
    <w:rsid w:val="00BE678E"/>
    <w:rsid w:val="00CA17DD"/>
    <w:rsid w:val="00CF2E4D"/>
    <w:rsid w:val="00D37FB7"/>
    <w:rsid w:val="00D734FA"/>
    <w:rsid w:val="00D955C2"/>
    <w:rsid w:val="00F44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8549"/>
  <w15:docId w15:val="{A16F98D5-C45C-420E-9266-91763636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roid Sans Mono" w:eastAsia="Droid Sans Mono" w:hAnsi="Droid Sans Mono" w:cs="Droid Sans Mono"/>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4F8D"/>
    <w:rPr>
      <w:rFonts w:ascii="Lucida Console" w:eastAsia="Times New Roman" w:hAnsi="Lucida Console" w:cs="Times New Roman"/>
    </w:rPr>
  </w:style>
  <w:style w:type="paragraph" w:styleId="Nadpis1">
    <w:name w:val="heading 1"/>
    <w:basedOn w:val="Normln"/>
    <w:next w:val="Normln"/>
    <w:uiPriority w:val="9"/>
    <w:qFormat/>
    <w:pPr>
      <w:keepNext/>
      <w:keepLines/>
      <w:spacing w:before="480" w:after="120"/>
      <w:outlineLvl w:val="0"/>
    </w:pPr>
    <w:rPr>
      <w:sz w:val="48"/>
      <w:szCs w:val="48"/>
    </w:rPr>
  </w:style>
  <w:style w:type="paragraph" w:styleId="Nadpis2">
    <w:name w:val="heading 2"/>
    <w:basedOn w:val="Normln"/>
    <w:next w:val="Normln"/>
    <w:pPr>
      <w:keepNext/>
      <w:keepLines/>
      <w:spacing w:before="360" w:after="80"/>
      <w:outlineLvl w:val="1"/>
    </w:pPr>
    <w:rPr>
      <w:sz w:val="36"/>
      <w:szCs w:val="36"/>
    </w:rPr>
  </w:style>
  <w:style w:type="paragraph" w:styleId="Nadpis3">
    <w:name w:val="heading 3"/>
    <w:basedOn w:val="Normln"/>
    <w:next w:val="Normln"/>
    <w:pPr>
      <w:keepNext/>
      <w:keepLines/>
      <w:spacing w:before="280" w:after="80"/>
      <w:outlineLvl w:val="2"/>
    </w:pPr>
    <w:rPr>
      <w:sz w:val="28"/>
      <w:szCs w:val="28"/>
    </w:rPr>
  </w:style>
  <w:style w:type="paragraph" w:styleId="Nadpis4">
    <w:name w:val="heading 4"/>
    <w:basedOn w:val="Normln"/>
    <w:next w:val="Normln"/>
    <w:pPr>
      <w:keepNext/>
      <w:keepLines/>
      <w:spacing w:before="240" w:after="40"/>
      <w:outlineLvl w:val="3"/>
    </w:pPr>
    <w:rPr>
      <w:sz w:val="24"/>
      <w:szCs w:val="24"/>
    </w:rPr>
  </w:style>
  <w:style w:type="paragraph" w:styleId="Nadpis5">
    <w:name w:val="heading 5"/>
    <w:basedOn w:val="Normln"/>
    <w:next w:val="Normln"/>
    <w:pPr>
      <w:keepNext/>
      <w:keepLines/>
      <w:spacing w:before="220" w:after="40"/>
      <w:outlineLvl w:val="4"/>
    </w:pPr>
    <w:rPr>
      <w:sz w:val="22"/>
      <w:szCs w:val="22"/>
    </w:rPr>
  </w:style>
  <w:style w:type="paragraph" w:styleId="Nadpis6">
    <w:name w:val="heading 6"/>
    <w:basedOn w:val="Normln"/>
    <w:next w:val="Normln"/>
    <w:pPr>
      <w:keepNext/>
      <w:keepLines/>
      <w:spacing w:before="200" w:after="4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qFormat/>
    <w:rsid w:val="00CC4F8D"/>
    <w:pPr>
      <w:jc w:val="center"/>
    </w:pPr>
    <w:rPr>
      <w:rFonts w:ascii="Times New Roman" w:hAnsi="Times New Roman"/>
      <w:sz w:val="72"/>
    </w:rPr>
  </w:style>
  <w:style w:type="character" w:customStyle="1" w:styleId="NzevChar">
    <w:name w:val="Název Char"/>
    <w:basedOn w:val="Standardnpsmoodstavce"/>
    <w:link w:val="Nzev"/>
    <w:rsid w:val="00CC4F8D"/>
    <w:rPr>
      <w:rFonts w:ascii="Times New Roman" w:eastAsia="Times New Roman" w:hAnsi="Times New Roman" w:cs="Times New Roman"/>
      <w:b w:val="0"/>
      <w:i w:val="0"/>
      <w:sz w:val="72"/>
      <w:szCs w:val="20"/>
      <w:lang w:eastAsia="cs-CZ"/>
    </w:rPr>
  </w:style>
  <w:style w:type="paragraph" w:styleId="Zhlav">
    <w:name w:val="header"/>
    <w:basedOn w:val="Normln"/>
    <w:link w:val="ZhlavChar"/>
    <w:rsid w:val="00CC4F8D"/>
    <w:pPr>
      <w:tabs>
        <w:tab w:val="center" w:pos="4536"/>
        <w:tab w:val="right" w:pos="9072"/>
      </w:tabs>
    </w:pPr>
    <w:rPr>
      <w:rFonts w:ascii="Times New Roman" w:hAnsi="Times New Roman"/>
      <w:b/>
      <w:i/>
    </w:rPr>
  </w:style>
  <w:style w:type="character" w:customStyle="1" w:styleId="ZhlavChar">
    <w:name w:val="Záhlaví Char"/>
    <w:basedOn w:val="Standardnpsmoodstavce"/>
    <w:link w:val="Zhlav"/>
    <w:rsid w:val="00CC4F8D"/>
    <w:rPr>
      <w:rFonts w:ascii="Times New Roman" w:eastAsia="Times New Roman" w:hAnsi="Times New Roman" w:cs="Times New Roman"/>
      <w:sz w:val="20"/>
      <w:szCs w:val="20"/>
      <w:lang w:eastAsia="cs-CZ"/>
    </w:rPr>
  </w:style>
  <w:style w:type="paragraph" w:styleId="Zpat">
    <w:name w:val="footer"/>
    <w:basedOn w:val="Normln"/>
    <w:link w:val="ZpatChar"/>
    <w:rsid w:val="00CC4F8D"/>
    <w:pPr>
      <w:tabs>
        <w:tab w:val="center" w:pos="4536"/>
        <w:tab w:val="right" w:pos="9072"/>
      </w:tabs>
    </w:pPr>
  </w:style>
  <w:style w:type="character" w:customStyle="1" w:styleId="ZpatChar">
    <w:name w:val="Zápatí Char"/>
    <w:basedOn w:val="Standardnpsmoodstavce"/>
    <w:link w:val="Zpat"/>
    <w:rsid w:val="00CC4F8D"/>
    <w:rPr>
      <w:rFonts w:ascii="Lucida Console" w:eastAsia="Times New Roman" w:hAnsi="Lucida Console" w:cs="Times New Roman"/>
      <w:b w:val="0"/>
      <w:i w:val="0"/>
      <w:sz w:val="20"/>
      <w:szCs w:val="20"/>
      <w:lang w:eastAsia="cs-CZ"/>
    </w:rPr>
  </w:style>
  <w:style w:type="paragraph" w:styleId="Odstavecseseznamem">
    <w:name w:val="List Paragraph"/>
    <w:basedOn w:val="Normln"/>
    <w:uiPriority w:val="34"/>
    <w:qFormat/>
    <w:rsid w:val="00CC4F8D"/>
    <w:pPr>
      <w:ind w:left="720" w:firstLine="567"/>
      <w:contextualSpacing/>
      <w:jc w:val="both"/>
    </w:pPr>
    <w:rPr>
      <w:rFonts w:ascii="Arial" w:hAnsi="Arial"/>
      <w:b/>
      <w:i/>
    </w:rPr>
  </w:style>
  <w:style w:type="paragraph" w:styleId="Textbubliny">
    <w:name w:val="Balloon Text"/>
    <w:basedOn w:val="Normln"/>
    <w:link w:val="TextbublinyChar"/>
    <w:uiPriority w:val="99"/>
    <w:semiHidden/>
    <w:unhideWhenUsed/>
    <w:rsid w:val="00B050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50D1"/>
    <w:rPr>
      <w:rFonts w:ascii="Segoe UI" w:eastAsia="Times New Roman" w:hAnsi="Segoe UI" w:cs="Segoe UI"/>
      <w:b w:val="0"/>
      <w:i w:val="0"/>
      <w:sz w:val="18"/>
      <w:szCs w:val="18"/>
      <w:lang w:eastAsia="cs-CZ"/>
    </w:rPr>
  </w:style>
  <w:style w:type="paragraph" w:styleId="Datum">
    <w:name w:val="Date"/>
    <w:basedOn w:val="Normln"/>
    <w:link w:val="DatumChar"/>
    <w:rsid w:val="008F521A"/>
    <w:pPr>
      <w:spacing w:before="240" w:after="600"/>
      <w:ind w:left="709"/>
    </w:pPr>
    <w:rPr>
      <w:rFonts w:ascii="Calibri" w:hAnsi="Calibri"/>
      <w:b/>
      <w:i/>
      <w:sz w:val="22"/>
    </w:rPr>
  </w:style>
  <w:style w:type="character" w:customStyle="1" w:styleId="DatumChar">
    <w:name w:val="Datum Char"/>
    <w:basedOn w:val="Standardnpsmoodstavce"/>
    <w:link w:val="Datum"/>
    <w:rsid w:val="008F521A"/>
    <w:rPr>
      <w:rFonts w:ascii="Calibri" w:eastAsia="Times New Roman" w:hAnsi="Calibri" w:cs="Times New Roman"/>
      <w:szCs w:val="20"/>
      <w:lang w:eastAsia="cs-CZ"/>
    </w:rPr>
  </w:style>
  <w:style w:type="paragraph" w:styleId="Podnadpis">
    <w:name w:val="Subtitle"/>
    <w:basedOn w:val="Normln"/>
    <w:next w:val="Normln"/>
    <w:pPr>
      <w:keepNext/>
      <w:keepLines/>
      <w:spacing w:before="360" w:after="80"/>
    </w:pPr>
    <w:rPr>
      <w:rFonts w:ascii="Georgia" w:eastAsia="Georgia" w:hAnsi="Georgia" w:cs="Georgia"/>
      <w:color w:val="666666"/>
      <w:sz w:val="48"/>
      <w:szCs w:val="48"/>
    </w:rPr>
  </w:style>
  <w:style w:type="paragraph" w:styleId="slovanseznam">
    <w:name w:val="List Number"/>
    <w:basedOn w:val="Normln"/>
    <w:uiPriority w:val="99"/>
    <w:unhideWhenUsed/>
    <w:rsid w:val="005E7E73"/>
    <w:pPr>
      <w:tabs>
        <w:tab w:val="num" w:pos="8080"/>
      </w:tabs>
      <w:spacing w:before="120"/>
      <w:ind w:left="709" w:hanging="283"/>
      <w:jc w:val="both"/>
    </w:pPr>
    <w:rPr>
      <w:rFonts w:ascii="Calibri" w:eastAsiaTheme="minorHAnsi" w:hAnsi="Calibri" w:cs="Calibri"/>
      <w:sz w:val="22"/>
      <w:szCs w:val="22"/>
    </w:rPr>
  </w:style>
  <w:style w:type="paragraph" w:styleId="slovanseznam2">
    <w:name w:val="List Number 2"/>
    <w:basedOn w:val="Normln"/>
    <w:uiPriority w:val="99"/>
    <w:semiHidden/>
    <w:unhideWhenUsed/>
    <w:rsid w:val="005E7E73"/>
    <w:pPr>
      <w:tabs>
        <w:tab w:val="num" w:pos="1277"/>
      </w:tabs>
      <w:spacing w:before="120"/>
      <w:ind w:left="1418" w:hanging="283"/>
      <w:jc w:val="both"/>
    </w:pPr>
    <w:rPr>
      <w:rFonts w:ascii="Calibri" w:eastAsiaTheme="minorHAnsi" w:hAnsi="Calibri" w:cs="Calibri"/>
      <w:sz w:val="22"/>
      <w:szCs w:val="22"/>
    </w:rPr>
  </w:style>
  <w:style w:type="paragraph" w:styleId="slovanseznam3">
    <w:name w:val="List Number 3"/>
    <w:basedOn w:val="Normln"/>
    <w:uiPriority w:val="99"/>
    <w:semiHidden/>
    <w:unhideWhenUsed/>
    <w:rsid w:val="005E7E73"/>
    <w:pPr>
      <w:tabs>
        <w:tab w:val="num" w:pos="2498"/>
      </w:tabs>
      <w:spacing w:before="120"/>
      <w:ind w:left="849" w:hanging="283"/>
      <w:jc w:val="both"/>
    </w:pPr>
    <w:rPr>
      <w:rFonts w:ascii="Calibri" w:eastAsiaTheme="minorHAnsi" w:hAnsi="Calibri" w:cs="Calibri"/>
      <w:sz w:val="22"/>
      <w:szCs w:val="22"/>
    </w:rPr>
  </w:style>
  <w:style w:type="paragraph" w:styleId="slovanseznam4">
    <w:name w:val="List Number 4"/>
    <w:basedOn w:val="Normln"/>
    <w:uiPriority w:val="99"/>
    <w:semiHidden/>
    <w:unhideWhenUsed/>
    <w:rsid w:val="005E7E73"/>
    <w:pPr>
      <w:tabs>
        <w:tab w:val="num" w:pos="3708"/>
      </w:tabs>
      <w:spacing w:before="120"/>
      <w:ind w:left="3261" w:hanging="993"/>
      <w:jc w:val="both"/>
    </w:pPr>
    <w:rPr>
      <w:rFonts w:ascii="Calibri" w:eastAsiaTheme="minorHAnsi" w:hAnsi="Calibri" w:cs="Calibri"/>
      <w:sz w:val="22"/>
      <w:szCs w:val="22"/>
    </w:rPr>
  </w:style>
  <w:style w:type="paragraph" w:styleId="slovanseznam5">
    <w:name w:val="List Number 5"/>
    <w:basedOn w:val="Normln"/>
    <w:uiPriority w:val="99"/>
    <w:semiHidden/>
    <w:unhideWhenUsed/>
    <w:rsid w:val="005E7E73"/>
    <w:pPr>
      <w:tabs>
        <w:tab w:val="num" w:pos="4559"/>
      </w:tabs>
      <w:spacing w:before="120"/>
      <w:ind w:left="4395" w:hanging="1134"/>
      <w:jc w:val="both"/>
    </w:pPr>
    <w:rPr>
      <w:rFonts w:ascii="Calibri" w:eastAsiaTheme="minorHAnsi" w:hAnsi="Calibri" w:cs="Calibri"/>
      <w:sz w:val="22"/>
      <w:szCs w:val="22"/>
    </w:rPr>
  </w:style>
  <w:style w:type="character" w:styleId="Odkaznakoment">
    <w:name w:val="annotation reference"/>
    <w:basedOn w:val="Standardnpsmoodstavce"/>
    <w:uiPriority w:val="99"/>
    <w:semiHidden/>
    <w:unhideWhenUsed/>
    <w:rsid w:val="00534E07"/>
    <w:rPr>
      <w:sz w:val="16"/>
      <w:szCs w:val="16"/>
    </w:rPr>
  </w:style>
  <w:style w:type="paragraph" w:styleId="Textkomente">
    <w:name w:val="annotation text"/>
    <w:basedOn w:val="Normln"/>
    <w:link w:val="TextkomenteChar"/>
    <w:uiPriority w:val="99"/>
    <w:unhideWhenUsed/>
    <w:rsid w:val="00534E07"/>
  </w:style>
  <w:style w:type="character" w:customStyle="1" w:styleId="TextkomenteChar">
    <w:name w:val="Text komentáře Char"/>
    <w:basedOn w:val="Standardnpsmoodstavce"/>
    <w:link w:val="Textkomente"/>
    <w:uiPriority w:val="99"/>
    <w:rsid w:val="00534E07"/>
    <w:rPr>
      <w:rFonts w:ascii="Lucida Console" w:eastAsia="Times New Roman" w:hAnsi="Lucida Console" w:cs="Times New Roman"/>
    </w:rPr>
  </w:style>
  <w:style w:type="paragraph" w:styleId="Pedmtkomente">
    <w:name w:val="annotation subject"/>
    <w:basedOn w:val="Textkomente"/>
    <w:next w:val="Textkomente"/>
    <w:link w:val="PedmtkomenteChar"/>
    <w:uiPriority w:val="99"/>
    <w:semiHidden/>
    <w:unhideWhenUsed/>
    <w:rsid w:val="00534E07"/>
    <w:rPr>
      <w:b/>
      <w:bCs/>
    </w:rPr>
  </w:style>
  <w:style w:type="character" w:customStyle="1" w:styleId="PedmtkomenteChar">
    <w:name w:val="Předmět komentáře Char"/>
    <w:basedOn w:val="TextkomenteChar"/>
    <w:link w:val="Pedmtkomente"/>
    <w:uiPriority w:val="99"/>
    <w:semiHidden/>
    <w:rsid w:val="00534E07"/>
    <w:rPr>
      <w:rFonts w:ascii="Lucida Console" w:eastAsia="Times New Roman" w:hAnsi="Lucida Console" w:cs="Times New Roman"/>
      <w:b/>
      <w:bCs/>
    </w:rPr>
  </w:style>
  <w:style w:type="paragraph" w:styleId="Revize">
    <w:name w:val="Revision"/>
    <w:hidden/>
    <w:uiPriority w:val="99"/>
    <w:semiHidden/>
    <w:rsid w:val="00534E07"/>
    <w:rPr>
      <w:rFonts w:ascii="Lucida Console" w:eastAsia="Times New Roman" w:hAnsi="Lucida Consol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66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dOGSNhHlB+saMB0F6NfOwjOOg==">CgMxLjAyCGguZ2pkZ3hzMg5oLnN3ODFuMWJndW82aTgAciExS0JpeEpOaUkwbi13UG00bGNjVG5SWHlsb2s2REk4YXU=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B25616-D7D5-4F09-9F48-E0DB226A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2489</Words>
  <Characters>14688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Syrová Zuzana</dc:creator>
  <cp:keywords/>
  <dc:description/>
  <cp:lastModifiedBy>Limprechtová Lucie</cp:lastModifiedBy>
  <cp:revision>2</cp:revision>
  <cp:lastPrinted>2024-06-10T08:15:00Z</cp:lastPrinted>
  <dcterms:created xsi:type="dcterms:W3CDTF">2025-10-14T08:12:00Z</dcterms:created>
  <dcterms:modified xsi:type="dcterms:W3CDTF">2025-10-14T08:12:00Z</dcterms:modified>
</cp:coreProperties>
</file>