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92" w:firstLine="0"/>
        <w:spacing w:before="216" w:after="0" w:line="271" w:lineRule="auto"/>
        <w:jc w:val="left"/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54pt;height:9.15pt;z-index:-1000;margin-left:0pt;margin-top:750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0" w:line="201" w:lineRule="auto"/>
                    <w:jc w:val="right"/>
                    <w:framePr w:hAnchor="text" w:vAnchor="text" w:y="15005" w:w="9080" w:h="183" w:hSpace="0" w:vSpace="0" w:wrap="3"/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</w:t>
                  </w:r>
                </w:p>
              </w:txbxContent>
            </v:textbox>
          </v:shape>
        </w:pict>
      </w:r>
      <w:r>
        <w:pict>
          <v:line strokeweight="0.7pt" strokecolor="#A4677E" from="266.9pt,0pt" to="266.9pt,33.5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SPORTOVNÍ ZA</w:t>
      </w:r>
      <w:r>
        <w:rPr>
          <w:color w:val="#000000"/>
          <w:sz w:val="21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ŘÍZENÍ MĚSTA PŘÍBRAM</w:t>
      </w:r>
    </w:p>
    <w:p>
      <w:pPr>
        <w:ind w:right="0" w:left="0" w:firstLine="0"/>
        <w:spacing w:before="756" w:after="0" w:line="240" w:lineRule="auto"/>
        <w:jc w:val="center"/>
        <w:rPr>
          <w:b w:val="true"/>
          <w:color w:val="#000000"/>
          <w:sz w:val="31"/>
          <w:lang w:val="cs-CZ"/>
          <w:spacing w:val="0"/>
          <w:w w:val="95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31"/>
          <w:lang w:val="cs-CZ"/>
          <w:spacing w:val="0"/>
          <w:w w:val="95"/>
          <w:strike w:val="false"/>
          <w:vertAlign w:val="baseline"/>
          <w:rFonts w:ascii="Tahoma" w:hAnsi="Tahoma"/>
        </w:rPr>
        <w:t xml:space="preserve">ZÁVAZNÁ OBJEDNÁVKA</w:t>
      </w:r>
    </w:p>
    <w:p>
      <w:pPr>
        <w:ind w:right="0" w:left="0" w:firstLine="0"/>
        <w:spacing w:before="720" w:after="0" w:line="266" w:lineRule="auto"/>
        <w:jc w:val="left"/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Sportovní za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řízení Města Příbram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se sídlem Legioná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řů 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378, 261 01 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Příbram VII</w:t>
      </w:r>
    </w:p>
    <w:p>
      <w:pPr>
        <w:ind w:right="0" w:left="0" w:firstLine="0"/>
        <w:spacing w:before="72" w:after="0" w:line="268" w:lineRule="auto"/>
        <w:jc w:val="left"/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zastoupené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ředitelem Mgr. Janem Slabou</w:t>
      </w:r>
    </w:p>
    <w:p>
      <w:pPr>
        <w:ind w:right="0" w:left="0" w:firstLine="0"/>
        <w:spacing w:before="72" w:after="0" w:line="285" w:lineRule="auto"/>
        <w:jc w:val="left"/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Č: 712 17 975, DIČ : CZ 71217975</w:t>
      </w:r>
    </w:p>
    <w:p>
      <w:pPr>
        <w:ind w:right="4176" w:left="0" w:firstLine="0"/>
        <w:spacing w:before="0" w:after="0" w:line="321" w:lineRule="auto"/>
        <w:jc w:val="left"/>
        <w:rPr>
          <w:color w:val="#000000"/>
          <w:sz w:val="18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Bankovní spojení : 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ČSOB </w:t>
      </w:r>
      <w:r>
        <w:rPr>
          <w:color w:val="#000000"/>
          <w:sz w:val="18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Příbram č.ú. 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309485085/0300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na straně jedné jako „dodavatel"</w:t>
      </w:r>
    </w:p>
    <w:p>
      <w:pPr>
        <w:ind w:right="0" w:left="0" w:firstLine="0"/>
        <w:spacing w:before="72" w:after="0" w:line="206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a</w:t>
      </w:r>
    </w:p>
    <w:p>
      <w:pPr>
        <w:ind w:right="0" w:left="0" w:firstLine="0"/>
        <w:spacing w:before="216" w:after="0" w:line="216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HC Baník P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říbram s.r.o.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Legioná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řů 378, 261 01 Příbram </w:t>
      </w: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VII</w:t>
      </w:r>
    </w:p>
    <w:p>
      <w:pPr>
        <w:ind w:right="4968" w:left="0" w:firstLine="0"/>
        <w:spacing w:before="36" w:after="0" w:line="321" w:lineRule="auto"/>
        <w:jc w:val="left"/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zastoupené Ing. Petrem Vinšem, jednatelem a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Miroslavem Bláhou, jednatelem</w:t>
      </w:r>
    </w:p>
    <w:p>
      <w:pPr>
        <w:ind w:right="0" w:left="0" w:firstLine="0"/>
        <w:spacing w:before="0" w:after="0" w:line="264" w:lineRule="auto"/>
        <w:jc w:val="left"/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I</w:t>
      </w:r>
      <w:r>
        <w:rPr>
          <w:color w:val="#000000"/>
          <w:sz w:val="19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ČO : 11711426 , DIČ : CZ 11711426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dále jen jako „odb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ěratel"</w:t>
      </w:r>
    </w:p>
    <w:p>
      <w:pPr>
        <w:ind w:right="0" w:left="3816" w:firstLine="0"/>
        <w:spacing w:before="360" w:after="0" w:line="208" w:lineRule="auto"/>
        <w:jc w:val="left"/>
        <w:tabs>
          <w:tab w:val="right" w:leader="none" w:pos="5562"/>
        </w:tabs>
        <w:rPr>
          <w:color w:val="#000000"/>
          <w:sz w:val="21"/>
          <w:lang w:val="cs-CZ"/>
          <w:spacing w:val="0"/>
          <w:w w:val="70"/>
          <w:strike w:val="false"/>
          <w:vertAlign w:val="baseline"/>
          <w:rFonts w:ascii="Times New Roman" w:hAnsi="Times New Roman"/>
        </w:rPr>
      </w:pPr>
      <w:r>
        <w:rPr>
          <w:color w:val="#000000"/>
          <w:sz w:val="21"/>
          <w:lang w:val="cs-CZ"/>
          <w:spacing w:val="0"/>
          <w:w w:val="70"/>
          <w:strike w:val="false"/>
          <w:vertAlign w:val="baseline"/>
          <w:rFonts w:ascii="Times New Roman" w:hAnsi="Times New Roman"/>
        </w:rPr>
        <w:t xml:space="preserve">I.	</w:t>
      </w:r>
      <w:r>
        <w:rPr>
          <w:b w:val="true"/>
          <w:i w:val="true"/>
          <w:color w:val="#000000"/>
          <w:sz w:val="20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Preambule</w:t>
      </w:r>
    </w:p>
    <w:p>
      <w:pPr>
        <w:ind w:right="0" w:left="0" w:firstLine="0"/>
        <w:spacing w:before="252" w:after="0" w:line="268" w:lineRule="auto"/>
        <w:jc w:val="left"/>
        <w:tabs>
          <w:tab w:val="right" w:leader="none" w:pos="9046"/>
        </w:tabs>
        <w:rPr>
          <w:color w:val="#000000"/>
          <w:sz w:val="18"/>
          <w:lang w:val="cs-CZ"/>
          <w:spacing w:val="-2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8"/>
          <w:w w:val="100"/>
          <w:strike w:val="false"/>
          <w:vertAlign w:val="baseline"/>
          <w:rFonts w:ascii="Verdana" w:hAnsi="Verdana"/>
        </w:rPr>
        <w:t xml:space="preserve">1.1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Dodavatel je na základ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 Smlouvy o výpůjčce nemovitostí ze dne 21.11.2019, uzavřené mezi</w:t>
      </w:r>
    </w:p>
    <w:p>
      <w:pPr>
        <w:ind w:right="0" w:left="0" w:firstLine="0"/>
        <w:spacing w:before="36" w:after="0" w:line="319" w:lineRule="auto"/>
        <w:jc w:val="both"/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M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ěstem Příbram a organizací Sportovní zařízení města Příbram, oprávněn pronajímat části nemovitosti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zapsané na listu vlastnictví číslo 10001 pro katastrální území Příbram u Katastrálního úřadu pro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Středočeský kraj, pracoviště Příbram. Pronajímatel též prohlašuje, že na nemovitosti jako celku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nevázne žádný druh právní povinnosti, který by znemožňoval uzavření této nájemní smlouvy.</w:t>
      </w:r>
    </w:p>
    <w:p>
      <w:pPr>
        <w:ind w:right="0" w:left="0" w:firstLine="0"/>
        <w:spacing w:before="0" w:after="0" w:line="321" w:lineRule="auto"/>
        <w:jc w:val="left"/>
        <w:tabs>
          <w:tab w:val="left" w:leader="none" w:pos="723"/>
        </w:tabs>
        <w:rPr>
          <w:color w:val="#000000"/>
          <w:sz w:val="18"/>
          <w:lang w:val="cs-CZ"/>
          <w:spacing w:val="-2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8"/>
          <w:w w:val="100"/>
          <w:strike w:val="false"/>
          <w:vertAlign w:val="baseline"/>
          <w:rFonts w:ascii="Verdana" w:hAnsi="Verdana"/>
        </w:rPr>
        <w:t xml:space="preserve">1.2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Dodavatel je p</w:t>
        <w:br/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říspěvkovou organizací Města Příbram jakožto vlastníka nemovitosti - domu čp.
</w:t>
        <w:br/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378 v Příbrami VII, postaveného na st. parc. č. 1801 v k.ú. Březové Hory a obci Příbram (Zimní stadion), 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dále domu sestávajícího z budovy na st. parc. č. 1798 a další (zřizovací listina) v k.ú. Březové Hory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(Plavecký bazén), a jako takový je na základě zřizovací listiny a dalších pověření k hospodaření s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majetkem zřizovatele oprávněn hospodařit s majetkem zřizovatele mimo jiné í formou přenechání svěřeného majetku do nájmu třetí osobě.</w:t>
      </w:r>
    </w:p>
    <w:p>
      <w:pPr>
        <w:ind w:right="0" w:left="0" w:firstLine="0"/>
        <w:spacing w:before="432" w:after="0" w:line="240" w:lineRule="auto"/>
        <w:jc w:val="center"/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II. P</w:t>
      </w: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ředmět a účel poskytovaných služeb</w:t>
      </w:r>
    </w:p>
    <w:p>
      <w:pPr>
        <w:ind w:right="0" w:left="0" w:firstLine="0"/>
        <w:spacing w:before="216" w:after="0" w:line="240" w:lineRule="auto"/>
        <w:jc w:val="left"/>
        <w:tabs>
          <w:tab w:val="right" w:leader="none" w:pos="9039"/>
        </w:tabs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  <w:t xml:space="preserve">2.1	</w:t>
      </w:r>
      <w:r>
        <w:rPr>
          <w:color w:val="#000000"/>
          <w:sz w:val="18"/>
          <w:lang w:val="cs-CZ"/>
          <w:spacing w:val="13"/>
          <w:w w:val="100"/>
          <w:strike w:val="false"/>
          <w:vertAlign w:val="baseline"/>
          <w:rFonts w:ascii="Verdana" w:hAnsi="Verdana"/>
        </w:rPr>
        <w:t xml:space="preserve">Dodavatel poskytuje odb</w:t>
      </w:r>
      <w:r>
        <w:rPr>
          <w:color w:val="#000000"/>
          <w:sz w:val="18"/>
          <w:lang w:val="cs-CZ"/>
          <w:spacing w:val="13"/>
          <w:w w:val="100"/>
          <w:strike w:val="false"/>
          <w:vertAlign w:val="baseline"/>
          <w:rFonts w:ascii="Verdana" w:hAnsi="Verdana"/>
        </w:rPr>
        <w:t xml:space="preserve">ěrateli služby za podmínek sjednaných touto „Závaznou</w:t>
      </w:r>
    </w:p>
    <w:p>
      <w:pPr>
        <w:ind w:right="0" w:left="0" w:firstLine="0"/>
        <w:spacing w:before="72" w:after="0" w:line="321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objednávkou", konkrétn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 pronájem 4 (slovy: čtyř) apartmánů -č.1,11,12 a 13 v budově Zimního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stadionu (ubytovna Zimního stadionu) na dobu určitou, a to od 01.09.2025 do 30.04.2026.</w:t>
      </w:r>
    </w:p>
    <w:p>
      <w:pPr>
        <w:ind w:right="0" w:left="0" w:firstLine="0"/>
        <w:spacing w:before="36" w:after="0" w:line="240" w:lineRule="auto"/>
        <w:jc w:val="left"/>
        <w:tabs>
          <w:tab w:val="right" w:leader="none" w:pos="6163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2.2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Veškeré pokoje a apartmány jsou pin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 funkční pro ubytování.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9046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2.3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Sou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částí pronájmu pokojů je výměna ložního prádla lx za 14 dní, a to po vždy po dohodě obou</w:t>
      </w:r>
    </w:p>
    <w:p>
      <w:pPr>
        <w:ind w:right="0" w:left="0" w:firstLine="0"/>
        <w:spacing w:before="72" w:after="0" w:line="213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stran.</w:t>
      </w:r>
    </w:p>
    <w:p>
      <w:pPr>
        <w:ind w:right="0" w:left="0" w:firstLine="0"/>
        <w:spacing w:before="72" w:after="0" w:line="240" w:lineRule="auto"/>
        <w:jc w:val="left"/>
        <w:tabs>
          <w:tab w:val="right" w:leader="none" w:pos="6962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2.4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Sou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částí závazné objednávky nejsou dále žádné další doplňující služby.</w:t>
      </w:r>
    </w:p>
    <w:p>
      <w:pPr>
        <w:ind w:right="0" w:left="0" w:firstLine="0"/>
        <w:spacing w:before="540" w:after="0" w:line="211" w:lineRule="auto"/>
        <w:jc w:val="center"/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III. Ceník služeb</w:t>
      </w:r>
    </w:p>
    <w:p>
      <w:pPr>
        <w:ind w:right="0" w:left="0" w:firstLine="0"/>
        <w:spacing w:before="216" w:after="0" w:line="240" w:lineRule="auto"/>
        <w:jc w:val="left"/>
        <w:tabs>
          <w:tab w:val="right" w:leader="none" w:pos="8186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3.1	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Výše 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částky za využívání ubytování v budově ZS činí celkem: 152.000,- bez </w:t>
      </w:r>
      <w:r>
        <w:rPr>
          <w:color w:val="#000000"/>
          <w:sz w:val="21"/>
          <w:lang w:val="cs-CZ"/>
          <w:spacing w:val="5"/>
          <w:w w:val="100"/>
          <w:strike w:val="false"/>
          <w:vertAlign w:val="baseline"/>
          <w:rFonts w:ascii="Arial" w:hAnsi="Arial"/>
        </w:rPr>
        <w:t xml:space="preserve">DPH, 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tzn.:</w:t>
      </w:r>
    </w:p>
    <w:p>
      <w:pPr>
        <w:ind w:right="0" w:left="0" w:firstLine="0"/>
        <w:spacing w:before="0" w:after="0" w:line="240" w:lineRule="auto"/>
        <w:jc w:val="left"/>
        <w:tabs>
          <w:tab w:val="left" w:leader="none" w:pos="723"/>
          <w:tab w:val="right" w:leader="none" w:pos="6325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o	</w:t>
      </w:r>
      <w:r>
        <w:rPr>
          <w:color w:val="#000000"/>
          <w:sz w:val="18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Cena za 1x apartmán </w:t>
      </w:r>
      <w:r>
        <w:rPr>
          <w:color w:val="#000000"/>
          <w:sz w:val="18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č. 1:	</w:t>
      </w:r>
      <w:r>
        <w:rPr>
          <w:color w:val="#000000"/>
          <w:sz w:val="16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8.500,-/1 měsíc</w:t>
      </w:r>
    </w:p>
    <w:p>
      <w:pPr>
        <w:sectPr>
          <w:pgSz w:w="12240" w:h="15840" w:orient="portrait"/>
          <w:type w:val="nextPage"/>
          <w:textDirection w:val="lrTb"/>
          <w:pgMar w:bottom="43" w:top="688" w:right="1512" w:left="1588" w:header="720" w:footer="720"/>
          <w:titlePg w:val="false"/>
        </w:sectPr>
      </w:pPr>
    </w:p>
    <w:p>
      <w:pPr>
        <w:ind w:right="0" w:left="0" w:firstLine="0"/>
        <w:spacing w:before="0" w:after="108" w:line="273" w:lineRule="auto"/>
        <w:jc w:val="left"/>
        <w:rPr>
          <w:color w:val="#934861"/>
          <w:sz w:val="45"/>
          <w:lang w:val="cs-CZ"/>
          <w:spacing w:val="-13"/>
          <w:w w:val="140"/>
          <w:strike w:val="false"/>
          <w:vertAlign w:val="baseline"/>
          <w:rFonts w:ascii="Arial" w:hAnsi="Arial"/>
        </w:rPr>
      </w:pPr>
      <w:r>
        <w:pict>
          <v:line strokeweight="0.7pt" strokecolor="#A0677A" from="346.8pt,29pt" to="346.8pt,62.35pt" style="position:absolute;mso-position-horizontal-relative:page;mso-position-vertical-relative:page;">
            <v:stroke dashstyle="solid"/>
          </v:line>
        </w:pict>
      </w:r>
      <w:r>
        <w:pict>
          <v:line strokeweight="0.7pt" strokecolor="#AC6B81" from="79.15pt,29.9pt" to="79.15pt,63.25pt" style="position:absolute;mso-position-horizontal-relative:page;mso-position-vertical-relative:page;">
            <v:stroke dashstyle="solid"/>
          </v:line>
        </w:pict>
      </w:r>
      <w:r>
        <w:rPr>
          <w:color w:val="#934861"/>
          <w:sz w:val="45"/>
          <w:lang w:val="cs-CZ"/>
          <w:spacing w:val="-13"/>
          <w:w w:val="140"/>
          <w:strike w:val="false"/>
          <w:vertAlign w:val="baseline"/>
          <w:rFonts w:ascii="Arial" w:hAnsi="Arial"/>
        </w:rPr>
        <w:t xml:space="preserve">&amp;..]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 SPORTOVNÍ ZA</w:t>
      </w:r>
      <w:r>
        <w:rPr>
          <w:color w:val="#000000"/>
          <w:sz w:val="21"/>
          <w:lang w:val="cs-CZ"/>
          <w:spacing w:val="7"/>
          <w:w w:val="100"/>
          <w:strike w:val="false"/>
          <w:vertAlign w:val="baseline"/>
          <w:rFonts w:ascii="Tahoma" w:hAnsi="Tahoma"/>
        </w:rPr>
        <w:t xml:space="preserve">ŘÍZENÍ MĚSTA PŘÍBRAM</w:t>
      </w:r>
    </w:p>
    <w:p>
      <w:pPr>
        <w:sectPr>
          <w:pgSz w:w="12240" w:h="15840" w:orient="portrait"/>
          <w:type w:val="nextPage"/>
          <w:textDirection w:val="lrTb"/>
          <w:pgMar w:bottom="102" w:top="580" w:right="5395" w:left="1745" w:header="720" w:footer="720"/>
          <w:titlePg w:val="false"/>
        </w:sectPr>
      </w:pPr>
    </w:p>
    <w:p>
      <w:pPr>
        <w:ind w:right="0" w:left="0" w:firstLine="0"/>
        <w:spacing w:before="0" w:after="0" w:line="285" w:lineRule="auto"/>
        <w:jc w:val="left"/>
        <w:tabs>
          <w:tab w:val="left" w:leader="none" w:pos="724"/>
          <w:tab w:val="right" w:leader="none" w:pos="6340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d="f" style="position:absolute;width:252pt;height:8.55pt;z-index:-999;margin-left:202pt;margin-top:709.7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" w:left="0" w:firstLine="0"/>
                    <w:spacing w:before="0" w:after="0" w:line="211" w:lineRule="auto"/>
                    <w:jc w:val="right"/>
                    <w:framePr w:hAnchor="text" w:vAnchor="text" w:x="4040" w:y="14194" w:w="5040" w:h="171" w:hSpace="0" w:vSpace="0" w:wrap="3"/>
                    <w:rPr>
                      <w:color w:val="#000000"/>
                      <w:sz w:val="17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000000"/>
                      <w:sz w:val="17"/>
                      <w:lang w:val="cs-CZ"/>
                      <w:spacing w:val="0"/>
                      <w:w w:val="105"/>
                      <w:strike w:val="false"/>
                      <w:vertAlign w:val="baseline"/>
                      <w:rFonts w:ascii="Arial" w:hAnsi="Arial"/>
                    </w:rPr>
                    <w:t xml:space="preserve">2</w:t>
                  </w:r>
                </w:p>
              </w:txbxContent>
            </v:textbox>
          </v:shape>
        </w:pic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o	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Cena za apartmány 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č. 11, č.12 a č. 13 á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3.500,11 měsíc</w:t>
      </w:r>
    </w:p>
    <w:p>
      <w:pPr>
        <w:ind w:right="0" w:left="0" w:firstLine="0"/>
        <w:spacing w:before="0" w:after="0" w:line="288" w:lineRule="auto"/>
        <w:jc w:val="left"/>
        <w:tabs>
          <w:tab w:val="right" w:leader="none" w:pos="9061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3.2	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Výše cen za užívání ubytovny stanovena dohodou, a to na základ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ě platného ceníku služeb SZM,</w:t>
      </w:r>
    </w:p>
    <w:p>
      <w:pPr>
        <w:ind w:right="0" w:left="0" w:firstLine="0"/>
        <w:spacing w:before="0" w:after="0" w:line="360" w:lineRule="auto"/>
        <w:jc w:val="left"/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p. o, kdy v p</w:t>
      </w:r>
      <w:r>
        <w:rPr>
          <w:color w:val="#000000"/>
          <w:sz w:val="18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řípadě kumulativního, dlouhodobého či opakovaného pronájmu/prodeje lze cenu stanovit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dohodou.</w:t>
      </w:r>
    </w:p>
    <w:p>
      <w:pPr>
        <w:ind w:right="0" w:left="0" w:firstLine="0"/>
        <w:spacing w:before="0" w:after="0" w:line="283" w:lineRule="auto"/>
        <w:jc w:val="left"/>
        <w:tabs>
          <w:tab w:val="right" w:leader="none" w:pos="9058"/>
        </w:tabs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4"/>
          <w:w w:val="100"/>
          <w:strike w:val="false"/>
          <w:vertAlign w:val="baseline"/>
          <w:rFonts w:ascii="Verdana" w:hAnsi="Verdana"/>
        </w:rPr>
        <w:t xml:space="preserve">3.3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Výše cen za ubytování je stanovena na základ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 minimálního odběru služeb (ubytování PB, ZS)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za dané období, tedy za 8 kalendá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řních měsíců.</w:t>
      </w:r>
    </w:p>
    <w:p>
      <w:pPr>
        <w:ind w:right="0" w:left="0" w:firstLine="0"/>
        <w:spacing w:before="540" w:after="0" w:line="240" w:lineRule="auto"/>
        <w:jc w:val="center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IV. Platební a storno podmínky</w:t>
      </w:r>
    </w:p>
    <w:p>
      <w:pPr>
        <w:ind w:right="0" w:left="0" w:firstLine="0"/>
        <w:spacing w:before="216" w:after="0" w:line="324" w:lineRule="auto"/>
        <w:jc w:val="left"/>
        <w:tabs>
          <w:tab w:val="right" w:leader="none" w:pos="6297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4.1	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Ubytování je fakturováno v 8 pravidelných m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ěsíčních platbách.</w:t>
      </w:r>
    </w:p>
    <w:p>
      <w:pPr>
        <w:ind w:right="0" w:left="0" w:firstLine="0"/>
        <w:spacing w:before="0" w:after="0" w:line="276" w:lineRule="auto"/>
        <w:jc w:val="left"/>
        <w:tabs>
          <w:tab w:val="right" w:leader="none" w:pos="9061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4.2	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Za každé využití l</w:t>
      </w:r>
      <w:r>
        <w:rPr>
          <w:color w:val="#000000"/>
          <w:sz w:val="18"/>
          <w:lang w:val="cs-CZ"/>
          <w:spacing w:val="2"/>
          <w:w w:val="100"/>
          <w:strike w:val="false"/>
          <w:vertAlign w:val="baseline"/>
          <w:rFonts w:ascii="Verdana" w:hAnsi="Verdana"/>
        </w:rPr>
        <w:t xml:space="preserve">ůžka je nutné odvést zákonný ubytovací poplatek. Odběratel je povinen</w:t>
      </w:r>
    </w:p>
    <w:p>
      <w:pPr>
        <w:ind w:right="0" w:left="0" w:firstLine="0"/>
        <w:spacing w:before="36" w:after="0" w:line="324" w:lineRule="auto"/>
        <w:jc w:val="both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nejpozd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ěji do posledního dne každého kalendářního měsíce zaslat dodavateli seznam ubytovaných osob včetně potřebných identifikačních údajů (jméno, příjmení, datum narození, adresa trvalého 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pobytu), a to pro měsíc následující. Na základě tohoto seznamu bude vystavena faktura za ubytovací 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poplatek, která bude splatná společně s měsíční fakturací za ubytování. Seznam ubytovaných osob se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zasílá na </w:t>
      </w:r>
      <w:hyperlink r:id="drId3">
        <w:r>
          <w:rPr>
            <w:color w:val="#0000FF"/>
            <w:sz w:val="18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e-mail: fakturace@szmpb.cz</w:t>
        </w:r>
      </w:hyperlink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a do kopie: </w:t>
      </w:r>
      <w:hyperlink r:id="drId4">
        <w:r>
          <w:rPr>
            <w:color w:val="#0000FF"/>
            <w:sz w:val="18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sutnar@szmpb.cz</w:t>
        </w:r>
      </w:hyperlink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r>
    </w:p>
    <w:p>
      <w:pPr>
        <w:ind w:right="0" w:left="0" w:firstLine="0"/>
        <w:spacing w:before="0" w:after="0" w:line="273" w:lineRule="auto"/>
        <w:jc w:val="left"/>
        <w:tabs>
          <w:tab w:val="right" w:leader="none" w:pos="9072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4.3	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Ubytování za p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říslušný měsíc je fakturováno do 10. dne následujícího měsíce na základě faktury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se 14-ti denní splatností.</w:t>
      </w:r>
    </w:p>
    <w:p>
      <w:pPr>
        <w:ind w:right="0" w:left="0" w:firstLine="0"/>
        <w:spacing w:before="72" w:after="0" w:line="268" w:lineRule="auto"/>
        <w:jc w:val="left"/>
        <w:tabs>
          <w:tab w:val="right" w:leader="none" w:pos="9058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4.4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Zrušit ubytování (vypov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ědět objednávku) ze strany objednatele, bez poplatků za prodej služeb</w:t>
      </w:r>
    </w:p>
    <w:p>
      <w:pPr>
        <w:ind w:right="0" w:left="0" w:firstLine="0"/>
        <w:spacing w:before="36" w:after="0" w:line="266" w:lineRule="auto"/>
        <w:jc w:val="left"/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(ubytování) je možné minimáln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 14 dní (kalendářních) předem.</w:t>
      </w:r>
    </w:p>
    <w:p>
      <w:pPr>
        <w:ind w:right="0" w:left="0" w:firstLine="0"/>
        <w:spacing w:before="72" w:after="0" w:line="266" w:lineRule="auto"/>
        <w:jc w:val="left"/>
        <w:tabs>
          <w:tab w:val="right" w:leader="none" w:pos="9061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4.5	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Výjimku z výpov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ědních podmínek (bod 4.3, bod 7.2) tvoří vznik nepředvídatelné situace. Za</w:t>
      </w:r>
    </w:p>
    <w:p>
      <w:pPr>
        <w:ind w:right="0" w:left="0" w:firstLine="0"/>
        <w:spacing w:before="36" w:after="0" w:line="319" w:lineRule="auto"/>
        <w:jc w:val="both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takovou situaci lze považovat: živelné pohromy, technologické a stavební havárie, technologické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opravy, na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řízení Vlády ČR/Ministerstva zdravotnictví/KHS/Středočeského kraje/Ústředního krizového štábu zřizovatele (mimořádné opatření). V případě živelných pohrom, technologických a stavebních 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havárií je výpovědní lhůta 2 dny (nebo okamžitá, v kontextu zachování zdraví objednatele). V případě </w:t>
      </w: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nařízení Vlády ČR/MZ/KHS/Středočeského kraje/ÚKŠ dle termínu účinnosti nařízení (a s tím spojenou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přípravou).</w:t>
      </w:r>
    </w:p>
    <w:p>
      <w:pPr>
        <w:ind w:right="0" w:left="0" w:firstLine="0"/>
        <w:spacing w:before="0" w:after="0" w:line="240" w:lineRule="auto"/>
        <w:jc w:val="left"/>
        <w:tabs>
          <w:tab w:val="right" w:leader="none" w:pos="9072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4.6	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Za výjimku z výpov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ědních podmínek (bod 4.3) lze také považovat situaci, kdy nastane objektivní</w:t>
      </w:r>
    </w:p>
    <w:p>
      <w:pPr>
        <w:ind w:right="0" w:left="0" w:firstLine="0"/>
        <w:spacing w:before="72" w:after="0" w:line="319" w:lineRule="auto"/>
        <w:jc w:val="left"/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d</w:t>
      </w:r>
      <w:r>
        <w:rPr>
          <w:color w:val="#000000"/>
          <w:sz w:val="18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ůvod pro nemožnost odběru služeb (např. výrazně zhoršená kvalita stavební části či vnitřního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mobiliáře apod.). Taková situace musí být zdokumentována a odsouhlasena oběma stranami.</w:t>
      </w:r>
    </w:p>
    <w:p>
      <w:pPr>
        <w:ind w:right="0" w:left="0" w:firstLine="0"/>
        <w:spacing w:before="36" w:after="0" w:line="321" w:lineRule="auto"/>
        <w:jc w:val="left"/>
        <w:tabs>
          <w:tab w:val="right" w:leader="none" w:pos="9058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4.7	</w:t>
      </w:r>
      <w:r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V takových p</w:t>
        <w:br/>
      </w:r>
      <w:r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Verdana" w:hAnsi="Verdana"/>
        </w:rPr>
        <w:t xml:space="preserve">řípadech (bod 4.4, bod 4.5) nenese dodavatel odpovědnost za případně
</w:t>
        <w:br/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způsobené škody na zdraví, či majetku objednatele.</w:t>
      </w:r>
    </w:p>
    <w:p>
      <w:pPr>
        <w:ind w:right="0" w:left="0" w:firstLine="0"/>
        <w:spacing w:before="0" w:after="0" w:line="264" w:lineRule="auto"/>
        <w:jc w:val="left"/>
        <w:tabs>
          <w:tab w:val="right" w:leader="none" w:pos="9058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4.8	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V p</w:t>
      </w:r>
      <w:r>
        <w:rPr>
          <w:color w:val="#000000"/>
          <w:sz w:val="18"/>
          <w:lang w:val="cs-CZ"/>
          <w:spacing w:val="6"/>
          <w:w w:val="100"/>
          <w:strike w:val="false"/>
          <w:vertAlign w:val="baseline"/>
          <w:rFonts w:ascii="Verdana" w:hAnsi="Verdana"/>
        </w:rPr>
        <w:t xml:space="preserve">řípadě prokazatelného zničení, poničení či ztrátě hmotného movitého i nemovitého</w:t>
      </w:r>
    </w:p>
    <w:p>
      <w:pPr>
        <w:ind w:right="0" w:left="0" w:firstLine="0"/>
        <w:spacing w:before="36" w:after="0" w:line="314" w:lineRule="auto"/>
        <w:jc w:val="both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majetku, opakovaném nedodržení návšt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ěvního a provozního řádu, BOZP, požárních podmínek,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nedodržení platebních podmínek je dodavatel oprávněn vyžadovat po objednateli smluvní pokutu ve </w:t>
      </w: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výši 5.000,-Kč.</w:t>
      </w:r>
    </w:p>
    <w:p>
      <w:pPr>
        <w:ind w:right="0" w:left="0" w:firstLine="0"/>
        <w:spacing w:before="72" w:after="0" w:line="240" w:lineRule="auto"/>
        <w:jc w:val="center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V. Doba odb</w:t>
      </w: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ěru služeb</w:t>
      </w:r>
    </w:p>
    <w:p>
      <w:pPr>
        <w:ind w:right="0" w:left="0" w:firstLine="0"/>
        <w:spacing w:before="180" w:after="0" w:line="266" w:lineRule="auto"/>
        <w:jc w:val="left"/>
        <w:tabs>
          <w:tab w:val="right" w:leader="none" w:pos="8734"/>
        </w:tabs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5.1	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Závazná objednávka se uzavírá na dobu od 01.09.2025 do 30.04.2026 Závazná objednávka</w:t>
      </w:r>
    </w:p>
    <w:p>
      <w:pPr>
        <w:ind w:right="144" w:left="0" w:firstLine="0"/>
        <w:spacing w:before="36" w:after="0" w:line="321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po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číná platit dnem podpisu smlouvy (respektive „ZO"), a účinnosti dnem zveřejnění v registru smluv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(pakliže smlouva/objednávka 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splňuje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povinnost).</w:t>
      </w:r>
    </w:p>
    <w:p>
      <w:pPr>
        <w:ind w:right="0" w:left="0" w:firstLine="0"/>
        <w:spacing w:before="144" w:after="0" w:line="240" w:lineRule="auto"/>
        <w:jc w:val="center"/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9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Vl. Všeobecná ustanovení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8374"/>
        </w:tabs>
        <w:rPr>
          <w:color w:val="#000000"/>
          <w:sz w:val="18"/>
          <w:lang w:val="cs-CZ"/>
          <w:spacing w:val="-2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6"/>
          <w:w w:val="100"/>
          <w:strike w:val="false"/>
          <w:vertAlign w:val="baseline"/>
          <w:rFonts w:ascii="Verdana" w:hAnsi="Verdana"/>
        </w:rPr>
        <w:t xml:space="preserve">6.1	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Odb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ěratel je povinen v pronajatých nebytových prostorách dodržovat obecně závazné</w:t>
      </w:r>
    </w:p>
    <w:p>
      <w:pPr>
        <w:ind w:right="360" w:left="0" w:firstLine="0"/>
        <w:spacing w:before="0" w:after="0" w:line="314" w:lineRule="auto"/>
        <w:jc w:val="left"/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color w:val="#000000"/>
          <w:sz w:val="18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ředpisy k zajištění bezpečností a ochrany zdraví, stejně tak, jako protipožární předpisy, návštěvní 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řád, provozní řád apod.</w:t>
      </w:r>
    </w:p>
    <w:p>
      <w:pPr>
        <w:sectPr>
          <w:pgSz w:w="12240" w:h="15840" w:orient="portrait"/>
          <w:type w:val="continuous"/>
          <w:textDirection w:val="lrTb"/>
          <w:pgMar w:bottom="102" w:top="580" w:right="1521" w:left="1579" w:header="720" w:footer="720"/>
          <w:titlePg w:val="false"/>
        </w:sectPr>
      </w:pPr>
    </w:p>
    <w:p>
      <w:pPr>
        <w:rPr>
          <w:sz w:val="2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d="f" style="position:absolute;width:516pt;height:9.55pt;z-index:-998;margin-left:0pt;margin-top:752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9288" w:firstLine="0"/>
                    <w:spacing w:before="0" w:after="0" w:line="199" w:lineRule="auto"/>
                    <w:jc w:val="left"/>
                    <w:framePr w:hAnchor="text" w:vAnchor="text" w:y="15041" w:w="10320" w:h="191" w:hSpace="0" w:vSpace="0" w:wrap="3"/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3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51"/>
        <w:gridCol w:w="4691"/>
      </w:tblGrid>
      <w:tr>
        <w:trPr>
          <w:trHeight w:val="701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single" w:sz="4" w:color="#9A7482"/>
            </w:tcBorders>
            <w:tcW w:w="1051" w:type="auto"/>
            <w:textDirection w:val="lrTb"/>
            <w:vAlign w:val="top"/>
            <w:vMerge w:val="restart"/>
          </w:tcPr>
          <w:p>
            <w:pPr>
              <w:ind w:right="0" w:left="360"/>
              <w:spacing w:before="18" w:after="0" w:line="240" w:lineRule="auto"/>
              <w:jc w:val="right"/>
            </w:pPr>
            <w:r>
              <w:drawing>
                <wp:inline>
                  <wp:extent cx="431800" cy="43243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single" w:sz="4" w:color="#9A7482"/>
              <w:right w:val="single" w:sz="4" w:color="#9A7482"/>
            </w:tcBorders>
            <w:tcW w:w="5742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2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2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SPORTOVNÍ ZA</w:t>
            </w:r>
            <w:r>
              <w:rPr>
                <w:b w:val="true"/>
                <w:color w:val="#000000"/>
                <w:sz w:val="22"/>
                <w:lang w:val="cs-CZ"/>
                <w:spacing w:val="4"/>
                <w:w w:val="100"/>
                <w:strike w:val="false"/>
                <w:vertAlign w:val="baseline"/>
                <w:rFonts w:ascii="Arial" w:hAnsi="Arial"/>
              </w:rPr>
              <w:t xml:space="preserve">ŘÍZENÍ MĚSTA PŘÍBRAM</w:t>
            </w:r>
          </w:p>
        </w:tc>
      </w:tr>
      <w:tr>
        <w:trPr>
          <w:trHeight w:val="16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051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742" w:type="auto"/>
            <w:textDirection w:val="lrTb"/>
            <w:vAlign w:val="top"/>
          </w:tcPr>
          <w:p/>
        </w:tc>
      </w:tr>
    </w:tbl>
    <w:p>
      <w:pPr>
        <w:spacing w:before="0" w:after="556" w:line="20" w:lineRule="exact"/>
      </w:pPr>
    </w:p>
    <w:p>
      <w:pPr>
        <w:ind w:right="0" w:left="3888" w:firstLine="0"/>
        <w:spacing w:before="0" w:after="0" w:line="240" w:lineRule="auto"/>
        <w:jc w:val="left"/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VII. Zánik objednávky</w:t>
      </w:r>
    </w:p>
    <w:p>
      <w:pPr>
        <w:ind w:right="0" w:left="360" w:firstLine="0"/>
        <w:spacing w:before="180" w:after="0" w:line="240" w:lineRule="auto"/>
        <w:jc w:val="left"/>
        <w:tabs>
          <w:tab w:val="decimal" w:leader="none" w:pos="529"/>
          <w:tab w:val="right" w:leader="none" w:pos="7261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7.1	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Závazná objednávka zaniká uplynutím doby, na kterou byla uzav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řena.</w:t>
      </w:r>
    </w:p>
    <w:p>
      <w:pPr>
        <w:ind w:right="0" w:left="360" w:firstLine="0"/>
        <w:spacing w:before="36" w:after="0" w:line="240" w:lineRule="auto"/>
        <w:jc w:val="left"/>
        <w:tabs>
          <w:tab w:val="decimal" w:leader="none" w:pos="529"/>
          <w:tab w:val="right" w:leader="none" w:pos="9436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28"/>
          <w:w w:val="100"/>
          <w:strike w:val="false"/>
          <w:vertAlign w:val="baseline"/>
          <w:rFonts w:ascii="Verdana" w:hAnsi="Verdana"/>
        </w:rPr>
        <w:t xml:space="preserve">7.2	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Zrušení „Závazné objednávky" lze písemnou dohodou obou stran, nebo písemným zrušením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(„výpov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ědí") bez udání důvodu.</w:t>
      </w:r>
    </w:p>
    <w:p>
      <w:pPr>
        <w:ind w:right="0" w:left="360" w:firstLine="0"/>
        <w:spacing w:before="72" w:after="0" w:line="266" w:lineRule="auto"/>
        <w:jc w:val="left"/>
        <w:tabs>
          <w:tab w:val="decimal" w:leader="none" w:pos="529"/>
          <w:tab w:val="right" w:leader="none" w:pos="9443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30"/>
          <w:w w:val="100"/>
          <w:strike w:val="false"/>
          <w:vertAlign w:val="baseline"/>
          <w:rFonts w:ascii="Verdana" w:hAnsi="Verdana"/>
        </w:rPr>
        <w:t xml:space="preserve">7.3	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Výpov</w:t>
      </w:r>
      <w:r>
        <w:rPr>
          <w:color w:val="#000000"/>
          <w:sz w:val="19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ědní lhůta činí 14 dní. Výpovědní lhůta (14 dní) se počítá od prvního dne, následujícího</w:t>
      </w:r>
    </w:p>
    <w:p>
      <w:pPr>
        <w:ind w:right="864" w:left="360" w:firstLine="0"/>
        <w:spacing w:before="36" w:after="0" w:line="302" w:lineRule="auto"/>
        <w:jc w:val="left"/>
        <w:tabs>
          <w:tab w:val="decimal" w:leader="none" w:pos="529"/>
          <w:tab w:val="left" w:leader="none" w:pos="1098"/>
        </w:tabs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po dni, ve kterém byla výpov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ěď doručena a potvrzena (datová schránka, email, písemně). V případě 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zaslání elektronickou formou (email) musí být výpověď zaslána na tyto emaily: </w:t>
      </w:r>
      <w:hyperlink r:id="drId6">
        <w:r>
          <w:rPr>
            <w:color w:val="#0000FF"/>
            <w:sz w:val="19"/>
            <w:lang w:val="cs-CZ"/>
            <w:spacing w:val="-6"/>
            <w:w w:val="100"/>
            <w:strike w:val="false"/>
            <w:u w:val="single"/>
            <w:vertAlign w:val="baseline"/>
            <w:rFonts w:ascii="Verdana" w:hAnsi="Verdana"/>
          </w:rPr>
          <w:t xml:space="preserve">slaba@szmpb.cz</w:t>
        </w:r>
      </w:hyperlink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 </w:t>
      </w:r>
      <w:hyperlink r:id="drId7">
        <w:r>
          <w:rPr>
            <w:color w:val="#0000FF"/>
            <w:sz w:val="19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manhart22@seznam.cz</w:t>
        </w:r>
      </w:hyperlink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</w:t>
      </w:r>
      <w:hyperlink r:id="drId8">
        <w:r>
          <w:rPr>
            <w:color w:val="#0000FF"/>
            <w:sz w:val="19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tornaskova@szmpb.cz</w:t>
        </w:r>
      </w:hyperlink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</w:t>
      </w:r>
      <w:hyperlink r:id="drId9">
        <w:r>
          <w:rPr>
            <w:color w:val="#0000FF"/>
            <w:sz w:val="19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lucie.plavcova@hcpribram.cz</w:t>
        </w:r>
      </w:hyperlink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 </w:t>
      </w:r>
      <w:hyperlink r:id="drId10">
        <w:r>
          <w:rPr>
            <w:color w:val="#0000FF"/>
            <w:sz w:val="19"/>
            <w:lang w:val="cs-CZ"/>
            <w:spacing w:val="-2"/>
            <w:w w:val="100"/>
            <w:strike w:val="false"/>
            <w:u w:val="single"/>
            <w:vertAlign w:val="baseline"/>
            <w:rFonts w:ascii="Verdana" w:hAnsi="Verdana"/>
          </w:rPr>
          <w:t xml:space="preserve">vins@centrum.cz</w:t>
        </w:r>
      </w:hyperlink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.
</w:t>
        <w:br/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26"/>
          <w:w w:val="100"/>
          <w:strike w:val="false"/>
          <w:vertAlign w:val="baseline"/>
          <w:rFonts w:ascii="Verdana" w:hAnsi="Verdana"/>
        </w:rPr>
        <w:t xml:space="preserve">7.4	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V případě, že odběratel bude porušovat své povinnosti vyplývající z této závazné objednávky,
</w:t>
        <w:br/>
      </w:r>
      <w:r>
        <w:rPr>
          <w:color w:val="#000000"/>
          <w:sz w:val="19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a to zejména pokud bude v prodlevě s úhradou nájemného o vice než 21 dní bude dodavatel oprávněn 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zrušit/vypovědět tuto závaznou objednávku písemnou výpovědí s 3-denní výpovědní lhůtou.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7.4 Zaplacením smluvní pokuty není dot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čeno právo pronajímatele na náhradu případné škody.</w:t>
      </w:r>
    </w:p>
    <w:p>
      <w:pPr>
        <w:ind w:right="0" w:left="3672" w:firstLine="0"/>
        <w:spacing w:before="396" w:after="0" w:line="211" w:lineRule="auto"/>
        <w:jc w:val="left"/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Vill. Záv</w:t>
      </w:r>
      <w:r>
        <w:rPr>
          <w:b w:val="true"/>
          <w:color w:val="#000000"/>
          <w:sz w:val="19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ěrečná ustanovení</w:t>
      </w:r>
    </w:p>
    <w:p>
      <w:pPr>
        <w:ind w:right="0" w:left="360" w:firstLine="0"/>
        <w:spacing w:before="216" w:after="0" w:line="240" w:lineRule="auto"/>
        <w:jc w:val="left"/>
        <w:tabs>
          <w:tab w:val="decimal" w:leader="none" w:pos="529"/>
          <w:tab w:val="right" w:leader="none" w:pos="9443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28"/>
          <w:w w:val="100"/>
          <w:strike w:val="false"/>
          <w:vertAlign w:val="baseline"/>
          <w:rFonts w:ascii="Verdana" w:hAnsi="Verdana"/>
        </w:rPr>
        <w:t xml:space="preserve">8.1	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Není-li v této objednávce stanoveno jinak, 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řídí se práva a povinnosti stran zákonem č. 89/2012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Sb., ob</w:t>
      </w:r>
      <w:r>
        <w:rPr>
          <w:color w:val="#000000"/>
          <w:sz w:val="19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čanský zákoník, ve znění pozdějších předpisů a obecně závaznými právními předpisy.</w:t>
      </w:r>
    </w:p>
    <w:p>
      <w:pPr>
        <w:ind w:right="0" w:left="360" w:firstLine="0"/>
        <w:spacing w:before="36" w:after="0" w:line="240" w:lineRule="auto"/>
        <w:jc w:val="left"/>
        <w:tabs>
          <w:tab w:val="decimal" w:leader="none" w:pos="529"/>
          <w:tab w:val="right" w:leader="none" w:pos="8129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8.2	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Tato „Závazná objednávka" m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ůže být měněna pouze písemnou dohodou stran.</w:t>
      </w:r>
    </w:p>
    <w:p>
      <w:pPr>
        <w:ind w:right="0" w:left="360" w:firstLine="0"/>
        <w:spacing w:before="72" w:after="0" w:line="240" w:lineRule="auto"/>
        <w:jc w:val="left"/>
        <w:tabs>
          <w:tab w:val="decimal" w:leader="none" w:pos="529"/>
          <w:tab w:val="right" w:leader="none" w:pos="9439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24"/>
          <w:w w:val="100"/>
          <w:strike w:val="false"/>
          <w:vertAlign w:val="baseline"/>
          <w:rFonts w:ascii="Verdana" w:hAnsi="Verdana"/>
        </w:rPr>
        <w:t xml:space="preserve">8.3	</w:t>
      </w:r>
      <w:r>
        <w:rPr>
          <w:color w:val="#000000"/>
          <w:sz w:val="19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Tato „Závazná objednávka" je sepsána ve dvou vyhotoveních s tím, že každá ze smluvních stran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obdrží po jednom vyhotovení.</w:t>
      </w:r>
    </w:p>
    <w:p>
      <w:pPr>
        <w:ind w:right="0" w:left="360" w:firstLine="0"/>
        <w:spacing w:before="36" w:after="0" w:line="240" w:lineRule="auto"/>
        <w:jc w:val="left"/>
        <w:tabs>
          <w:tab w:val="decimal" w:leader="none" w:pos="529"/>
          <w:tab w:val="right" w:leader="none" w:pos="9428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8.4	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Tato „Závazná objednávka" nabývá platnosti dnem podpisu ob</w:t>
      </w:r>
      <w:r>
        <w:rPr>
          <w:color w:val="#000000"/>
          <w:sz w:val="19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ěma smluvními stranami a</w:t>
      </w:r>
    </w:p>
    <w:p>
      <w:pPr>
        <w:ind w:right="0" w:left="360" w:firstLine="0"/>
        <w:spacing w:before="72" w:after="0" w:line="240" w:lineRule="auto"/>
        <w:jc w:val="left"/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ú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činnosti dnem zveřejnění v registru smluv (nebo sjednané doby odběru služeb).</w:t>
      </w:r>
    </w:p>
    <w:p>
      <w:pPr>
        <w:ind w:right="0" w:left="360" w:firstLine="0"/>
        <w:spacing w:before="72" w:after="0" w:line="240" w:lineRule="auto"/>
        <w:jc w:val="left"/>
        <w:tabs>
          <w:tab w:val="decimal" w:leader="none" w:pos="529"/>
          <w:tab w:val="right" w:leader="none" w:pos="9432"/>
        </w:tabs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9"/>
          <w:lang w:val="cs-CZ"/>
          <w:spacing w:val="0"/>
          <w:w w:val="100"/>
          <w:strike w:val="false"/>
          <w:vertAlign w:val="baseline"/>
          <w:rFonts w:ascii="Verdana" w:hAnsi="Verdana"/>
        </w:rPr>
        <w:tab/>
      </w:r>
      <w:r>
        <w:rPr>
          <w:color w:val="#000000"/>
          <w:sz w:val="19"/>
          <w:lang w:val="cs-CZ"/>
          <w:spacing w:val="-32"/>
          <w:w w:val="100"/>
          <w:strike w:val="false"/>
          <w:vertAlign w:val="baseline"/>
          <w:rFonts w:ascii="Verdana" w:hAnsi="Verdana"/>
        </w:rPr>
        <w:t xml:space="preserve">8.5	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Ob</w:t>
      </w:r>
      <w:r>
        <w:rPr>
          <w:color w:val="#000000"/>
          <w:sz w:val="19"/>
          <w:lang w:val="cs-CZ"/>
          <w:spacing w:val="-3"/>
          <w:w w:val="100"/>
          <w:strike w:val="false"/>
          <w:vertAlign w:val="baseline"/>
          <w:rFonts w:ascii="Verdana" w:hAnsi="Verdana"/>
        </w:rPr>
        <w:t xml:space="preserve">ě strany se dohodli, že od 01.09.2025 posuzují své práva a povinnosti tak, jako by byla</w:t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d="f" style="position:absolute;width:516pt;height:308.7pt;z-index:-997;margin-left:0pt;margin-top:43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margin">
              <wp:posOffset>370205</wp:posOffset>
            </wp:positionH>
            <wp:positionV relativeFrom="paragraph">
              <wp:posOffset>683260</wp:posOffset>
            </wp:positionV>
            <wp:extent cx="1170305" cy="1445260"/>
            <wp:wrapThrough wrapText="bothSides">
              <wp:wrapPolygon>
                <wp:start x="8015" y="0"/>
                <wp:lineTo x="8015" y="7424"/>
                <wp:lineTo x="6375" y="7424"/>
                <wp:lineTo x="6375" y="9370"/>
                <wp:lineTo x="5871" y="9370"/>
                <wp:lineTo x="5871" y="10670"/>
                <wp:lineTo x="4347" y="10670"/>
                <wp:lineTo x="4347" y="12341"/>
                <wp:lineTo x="3128" y="12341"/>
                <wp:lineTo x="3128" y="13984"/>
                <wp:lineTo x="0" y="13984"/>
                <wp:lineTo x="0" y="21607"/>
                <wp:lineTo x="10628" y="21607"/>
                <wp:lineTo x="10628" y="19110"/>
                <wp:lineTo x="14847" y="19110"/>
                <wp:lineTo x="14847" y="12920"/>
                <wp:lineTo x="16535" y="12920"/>
                <wp:lineTo x="16535" y="11278"/>
                <wp:lineTo x="17132" y="11278"/>
                <wp:lineTo x="17132" y="9674"/>
                <wp:lineTo x="18527" y="9674"/>
                <wp:lineTo x="18527" y="8069"/>
                <wp:lineTo x="19242" y="8069"/>
                <wp:lineTo x="19242" y="6085"/>
                <wp:lineTo x="21597" y="6085"/>
                <wp:lineTo x="21597" y="0"/>
                <wp:lineTo x="8015" y="0"/>
              </wp:wrapPolygon>
            </wp:wrapThrough>
            <wp:docPr id="3" name="Picture"/>
            <a:graphic>
              <a:graphicData uri="http://schemas.openxmlformats.org/drawingml/2006/picture">
                <pic:pic>
                  <pic:nvPicPr>
                    <pic:cNvPr id="4" name="Picture"/>
                    <pic:cNvPicPr preferRelativeResize="false"/>
                  </pic:nvPicPr>
                  <pic:blipFill>
                    <a:blip r:embed="d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d="f" style="position:absolute;width:516pt;height:10.25pt;z-index:-995;margin-left:0pt;margin-top:43.5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" w:firstLine="0"/>
                    <w:spacing w:before="0" w:after="0" w:line="216" w:lineRule="auto"/>
                    <w:jc w:val="left"/>
                    <w:framePr w:hAnchor="text" w:vAnchor="text" w:y="871" w:w="10320" w:h="205" w:hSpace="0" w:vSpace="0" w:wrap="3"/>
                    <w:rPr>
                      <w:color w:val="#000000"/>
                      <w:sz w:val="19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V P</w:t>
                  </w:r>
                  <w:r>
                    <w:rPr>
                      <w:color w:val="#000000"/>
                      <w:sz w:val="19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říbrami dne 01.09.2025</w:t>
                  </w:r>
                </w:p>
              </w:txbxContent>
            </v:textbox>
          </v:shape>
        </w:pict>
      </w:r>
      <w:r>
        <w:pict>
          <v:shapetype id="_x0000_t7" coordsize="21600,21600" o:spt="202" path="m,l,21600r21600,l21600,xe">
            <v:stroke joinstyle="miter"/>
            <v:path gradientshapeok="t" o:connecttype="rect"/>
          </v:shapetype>
          <v:shape id="_x0000_s6" type="#_x0000_t7" filled="f" stroked="f" style="position:absolute;width:63.35pt;height:37.65pt;z-index:-994;margin-left:0pt;margin-top:55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576" w:after="0" w:line="184" w:lineRule="exact"/>
                    <w:jc w:val="left"/>
                    <w:framePr w:hAnchor="text" w:vAnchor="text" w:y="1105" w:w="1267" w:h="753" w:hSpace="0" w:vSpace="0" w:wrap="3"/>
                    <w:rPr>
                      <w:color w:val="#000000"/>
                      <w:sz w:val="15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:</w:t>
                  </w:r>
                  <w:r>
                    <w:rPr>
                      <w:color w:val="#000000"/>
                      <w:sz w:val="15"/>
                      <w:lang w:val="cs-CZ"/>
                      <w:spacing w:val="6"/>
                      <w:w w:val="100"/>
                      <w:strike w:val="false"/>
                      <w:vertAlign w:val="superscript"/>
                      <w:rFonts w:ascii="Times New Roman" w:hAnsi="Times New Roman"/>
                    </w:rPr>
                    <w:t xml:space="preserve">.</w:t>
                  </w:r>
                  <w:r>
                    <w:rPr>
                      <w:color w:val="#000000"/>
                      <w:sz w:val="15"/>
                      <w:lang w:val="cs-CZ"/>
                      <w:spacing w:val="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PORTOVNÍ 7Af</w:t>
                  </w:r>
                </w:p>
              </w:txbxContent>
            </v:textbox>
          </v:shape>
        </w:pict>
      </w:r>
      <w:r>
        <w:pict>
          <v:shapetype id="_x0000_t8" coordsize="21600,21600" o:spt="202" path="m,l,21600r21600,l21600,xe">
            <v:stroke joinstyle="miter"/>
            <v:path gradientshapeok="t" o:connecttype="rect"/>
          </v:shapetype>
          <v:shape id="_x0000_s7" type="#_x0000_t8" filled="f" stroked="f" style="position:absolute;width:56.35pt;height:10.25pt;z-index:-993;margin-left:0pt;margin-top:92.9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432"/>
                    <w:spacing w:before="0" w:after="0" w:line="164" w:lineRule="exact"/>
                    <w:jc w:val="both"/>
                    <w:framePr w:hAnchor="text" w:vAnchor="text" w:y="1858" w:w="1127" w:h="205" w:hSpace="0" w:vSpace="0" w:wrap="3"/>
                    <w:rPr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p</w:t>
                  </w:r>
                  <w:r>
                    <w:rPr>
                      <w:color w:val="#000000"/>
                      <w:sz w:val="15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řilep </w:t>
                  </w:r>
                </w:p>
              </w:txbxContent>
            </v:textbox>
          </v:shape>
        </w:pict>
      </w:r>
      <w:r>
        <w:pict>
          <v:shapetype id="_x0000_t9" coordsize="21600,21600" o:spt="202" path="m,l,21600r21600,l21600,xe">
            <v:stroke joinstyle="miter"/>
            <v:path gradientshapeok="t" o:connecttype="rect"/>
          </v:shapetype>
          <v:shape id="_x0000_s8" type="#_x0000_t9" filled="f" stroked="f" style="position:absolute;width:54.2pt;height:6.85pt;z-index:-992;margin-left:0pt;margin-top:103.1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0" w:after="0" w:line="164" w:lineRule="exact"/>
                    <w:jc w:val="both"/>
                    <w:framePr w:hAnchor="text" w:vAnchor="text" w:y="2063" w:w="1084" w:h="137" w:hSpace="0" w:vSpace="0" w:wrap="3"/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261 01 P</w:t>
                  </w:r>
                  <w:r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ři </w:t>
                  </w:r>
                </w:p>
              </w:txbxContent>
            </v:textbox>
          </v:shape>
        </w:pict>
      </w:r>
      <w:r>
        <w:pict>
          <v:shapetype id="_x0000_t10" coordsize="21600,21600" o:spt="202" path="m,l,21600r21600,l21600,xe">
            <v:stroke joinstyle="miter"/>
            <v:path gradientshapeok="t" o:connecttype="rect"/>
          </v:shapetype>
          <v:shape id="_x0000_s9" type="#_x0000_t10" filled="f" stroked="f" style="position:absolute;width:47.7pt;height:8.8pt;z-index:-991;margin-left:0pt;margin-top:110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0" w:after="0" w:line="164" w:lineRule="exact"/>
                    <w:jc w:val="both"/>
                    <w:framePr w:hAnchor="text" w:vAnchor="text" w:y="2200" w:w="954" w:h="176" w:hSpace="0" w:vSpace="0" w:wrap="3"/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6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tel.: 318 6 </w:t>
                  </w:r>
                </w:p>
              </w:txbxContent>
            </v:textbox>
          </v:shape>
        </w:pict>
      </w:r>
      <w:r>
        <w:pict>
          <v:shapetype id="_x0000_t11" coordsize="21600,21600" o:spt="202" path="m,l,21600r21600,l21600,xe">
            <v:stroke joinstyle="miter"/>
            <v:path gradientshapeok="t" o:connecttype="rect"/>
          </v:shapetype>
          <v:shape id="_x0000_s10" type="#_x0000_t11" filled="f" stroked="f" style="position:absolute;width:42.5pt;height:8.65pt;z-index:-990;margin-left:0pt;margin-top:118.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360" w:firstLine="0"/>
                    <w:spacing w:before="0" w:after="0" w:line="164" w:lineRule="exact"/>
                    <w:jc w:val="both"/>
                    <w:framePr w:hAnchor="text" w:vAnchor="text" w:y="2376" w:w="850" w:h="173" w:hSpace="0" w:vSpace="0" w:wrap="3"/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1</w:t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ČO: 7</w:t>
                  </w:r>
                </w:p>
              </w:txbxContent>
            </v:textbox>
          </v:shape>
        </w:pict>
      </w:r>
      <w:r>
        <w:pict>
          <v:shapetype id="_x0000_t12" coordsize="21600,21600" o:spt="202" path="m,l,21600r21600,l21600,xe">
            <v:stroke joinstyle="miter"/>
            <v:path gradientshapeok="t" o:connecttype="rect"/>
          </v:shapetype>
          <v:shape id="_x0000_s11" type="#_x0000_t12" filled="f" stroked="f" style="position:absolute;width:44.65pt;height:18.9pt;z-index:-989;margin-left:111.4pt;margin-top:85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4" w:after="0" w:line="176" w:lineRule="exact"/>
                    <w:jc w:val="both"/>
                    <w:framePr w:hAnchor="text" w:vAnchor="text" w:x="2228" w:y="1717" w:w="893" w:h="378" w:hSpace="0" w:vSpace="0" w:wrap="3"/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A P</w:t>
                  </w:r>
                  <w:r>
                    <w:rPr>
                      <w:color w:val="#000000"/>
                      <w:sz w:val="15"/>
                      <w:lang w:val="cs-CZ"/>
                      <w:spacing w:val="2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ŘÍBRAM </w:t>
                  </w:r>
                  <w:r>
                    <w:rPr>
                      <w:color w:val="#000000"/>
                      <w:sz w:val="15"/>
                      <w:lang w:val="cs-CZ"/>
                      <w:spacing w:val="10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ce C1 </w:t>
                  </w:r>
                </w:p>
              </w:txbxContent>
            </v:textbox>
          </v:shape>
        </w:pict>
      </w:r>
      <w:r>
        <w:pict>
          <v:shapetype id="_x0000_t13" coordsize="21600,21600" o:spt="202" path="m,l,21600r21600,l21600,xe">
            <v:stroke joinstyle="miter"/>
            <v:path gradientshapeok="t" o:connecttype="rect"/>
          </v:shapetype>
          <v:shape id="_x0000_s12" type="#_x0000_t13" filled="f" stroked="f" style="position:absolute;width:53.65pt;height:17.1pt;z-index:-988;margin-left:102.4pt;margin-top:104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176" w:lineRule="exact"/>
                    <w:jc w:val="both"/>
                    <w:framePr w:hAnchor="text" w:vAnchor="text" w:x="2048" w:y="2095" w:w="1073" w:h="342" w:hSpace="0" w:vSpace="0" w:wrap="3"/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ouá</w:t>
                  </w:r>
                  <w:r>
                    <w:rPr>
                      <w:color w:val="#000000"/>
                      <w:sz w:val="15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řú 378</w:t>
                  </w:r>
                </w:p>
                <w:p>
                  <w:pPr>
                    <w:ind w:right="360" w:left="0" w:firstLine="0"/>
                    <w:spacing w:before="0" w:after="0" w:line="149" w:lineRule="exact"/>
                    <w:jc w:val="left"/>
                    <w:framePr w:hAnchor="text" w:vAnchor="text" w:x="2048" w:y="2095" w:w="1073" w:h="342" w:hSpace="0" w:vSpace="0" w:wrap="3"/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318 623 815 </w:t>
                  </w:r>
                </w:p>
              </w:txbxContent>
            </v:textbox>
          </v:shape>
        </w:pict>
      </w:r>
      <w:r>
        <w:pict>
          <v:shapetype id="_x0000_t14" coordsize="21600,21600" o:spt="202" path="m,l,21600r21600,l21600,xe">
            <v:stroke joinstyle="miter"/>
            <v:path gradientshapeok="t" o:connecttype="rect"/>
          </v:shapetype>
          <v:shape id="_x0000_s13" type="#_x0000_t14" filled="f" stroked="f" style="position:absolute;width:63.35pt;height:6.15pt;z-index:-987;margin-left:92.7pt;margin-top:121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360" w:left="0" w:firstLine="0"/>
                    <w:spacing w:before="0" w:after="0" w:line="149" w:lineRule="exact"/>
                    <w:jc w:val="left"/>
                    <w:framePr w:hAnchor="text" w:vAnchor="text" w:x="1854" w:y="2437" w:w="1267" w:h="123" w:hSpace="0" w:vSpace="0" w:wrap="3"/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3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CZ71217975</w:t>
                  </w:r>
                </w:p>
              </w:txbxContent>
            </v:textbox>
          </v:shape>
        </w:pict>
      </w:r>
      <w:r>
        <w:pict>
          <v:shapetype id="_x0000_t15" coordsize="21600,21600" o:spt="202" path="m,l,21600r21600,l21600,xe">
            <v:stroke joinstyle="miter"/>
            <v:path gradientshapeok="t" o:connecttype="rect"/>
          </v:shapetype>
          <v:shape id="_x0000_s14" type="#_x0000_t15" filled="f" stroked="f" style="position:absolute;width:121.15pt;height:29.15pt;z-index:-986;margin-left:394.55pt;margin-top:55.2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left"/>
                    <w:framePr w:hAnchor="text" w:vAnchor="text" w:x="7891" w:y="1105" w:w="2423" w:h="583" w:hSpace="0" w:vSpace="0" w:wrap="3"/>
                    <w:rPr>
                      <w:b w:val="true"/>
                      <w:color w:val="#000000"/>
                      <w:sz w:val="21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</w:pPr>
                  <w:r>
                    <w:rPr>
                      <w:b w:val="true"/>
                      <w:color w:val="#000000"/>
                      <w:sz w:val="21"/>
                      <w:lang w:val="cs-CZ"/>
                      <w:spacing w:val="-11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HC Baník 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P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-1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říbram s.r.o.</w:t>
                  </w:r>
                </w:p>
                <w:p>
                  <w:pPr>
                    <w:ind w:right="0" w:left="0" w:firstLine="0"/>
                    <w:spacing w:before="0" w:after="36" w:line="240" w:lineRule="auto"/>
                    <w:jc w:val="center"/>
                    <w:framePr w:hAnchor="text" w:vAnchor="text" w:x="7891" w:y="1105" w:w="2423" w:h="583" w:hSpace="0" w:vSpace="0" w:wrap="3"/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Legioná</w:t>
                    <w:br/>
                  </w:r>
                  <w:r>
                    <w:rPr>
                      <w:color w:val="#000000"/>
                      <w:sz w:val="15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řů 378, 261 01 Příbram VII
</w:t>
                    <w:br/>
                  </w:r>
                  <w:r>
                    <w:rPr>
                      <w:color w:val="#000000"/>
                      <w:sz w:val="15"/>
                      <w:lang w:val="cs-CZ"/>
                      <w:spacing w:val="-17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12: 11711426</w:t>
                  </w:r>
                </w:p>
              </w:txbxContent>
            </v:textbox>
          </v:shape>
        </w:pict>
      </w:r>
      <w:r>
        <w:pict>
          <v:shapetype id="_x0000_t16" coordsize="21600,21600" o:spt="202" path="m,l,21600r21600,l21600,xe">
            <v:stroke joinstyle="miter"/>
            <v:path gradientshapeok="t" o:connecttype="rect"/>
          </v:shapetype>
          <v:shape id="_x0000_s15" type="#_x0000_t16" filled="f" stroked="f" style="position:absolute;width:64.6pt;height:8.3pt;z-index:-985;margin-left:451.1pt;margin-top:84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18" w:lineRule="auto"/>
                    <w:jc w:val="left"/>
                    <w:framePr w:hAnchor="text" w:vAnchor="text" w:x="9022" w:y="1688" w:w="1292" w:h="166" w:hSpace="0" w:vSpace="0" w:wrap="3"/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5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11711426</w:t>
                  </w:r>
                </w:p>
              </w:txbxContent>
            </v:textbox>
          </v:shape>
        </w:pict>
      </w:r>
      <w:r>
        <w:pict>
          <v:shapetype id="_x0000_t17" coordsize="21600,21600" o:spt="202" path="m,l,21600r21600,l21600,xe">
            <v:stroke joinstyle="miter"/>
            <v:path gradientshapeok="t" o:connecttype="rect"/>
          </v:shapetype>
          <v:shape id="_x0000_s16" type="#_x0000_t17" filled="f" stroked="f" style="position:absolute;width:211.45pt;height:26.45pt;z-index:-984;margin-left:304.55pt;margin-top:128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216" w:after="72" w:line="213" w:lineRule="auto"/>
                    <w:jc w:val="left"/>
                    <w:framePr w:hAnchor="text" w:vAnchor="text" w:x="6091" w:y="2560" w:w="4229" w:h="529" w:hSpace="0" w:vSpace="0" w:wrap="3"/>
                    <w:rPr>
                      <w:color w:val="#000000"/>
                      <w:sz w:val="19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Odb</w:t>
                  </w:r>
                  <w:r>
                    <w:rPr>
                      <w:color w:val="#000000"/>
                      <w:sz w:val="19"/>
                      <w:lang w:val="cs-CZ"/>
                      <w:spacing w:val="-9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ěratel</w:t>
                  </w:r>
                </w:p>
              </w:txbxContent>
            </v:textbox>
          </v:shape>
        </w:pict>
      </w:r>
      <w:r>
        <w:pict>
          <v:shapetype id="_x0000_t18" coordsize="21600,21600" o:spt="202" path="m,l,21600r21600,l21600,xe">
            <v:stroke joinstyle="miter"/>
            <v:path gradientshapeok="t" o:connecttype="rect"/>
          </v:shapetype>
          <v:shape id="_x0000_s17" type="#_x0000_t18" filled="f" stroked="f" style="position:absolute;width:441.3pt;height:14.2pt;z-index:-983;margin-left:74.7pt;margin-top:154.4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x="1494" w:y="3089" w:w="8826" w:h="284" w:hSpace="0" w:vSpace="0" w:wrap="3"/>
                    <w:tabs>
                      <w:tab w:val="right" w:leader="none" w:pos="7016"/>
                    </w:tabs>
                    <w:rPr>
                      <w:color w:val="#000000"/>
                      <w:sz w:val="19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Slaba	</w:t>
                  </w:r>
                  <w:r>
                    <w:rPr>
                      <w:color w:val="#000000"/>
                      <w:sz w:val="19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Ing. Petr Vinš, Miroslav Bláha</w:t>
                  </w:r>
                </w:p>
              </w:txbxContent>
            </v:textbox>
          </v:shape>
        </w:pict>
      </w:r>
      <w:r>
        <w:pict>
          <v:shapetype id="_x0000_t19" coordsize="21600,21600" o:spt="202" path="m,l,21600r21600,l21600,xe">
            <v:stroke joinstyle="miter"/>
            <v:path gradientshapeok="t" o:connecttype="rect"/>
          </v:shapetype>
          <v:shape id="_x0000_s18" type="#_x0000_t19" filled="f" stroked="f" style="position:absolute;width:516pt;height:182.7pt;z-index:-982;margin-left:0pt;margin-top:168.6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" w:firstLine="0"/>
                    <w:spacing w:before="0" w:after="3420" w:line="240" w:lineRule="auto"/>
                    <w:jc w:val="left"/>
                    <w:framePr w:hAnchor="text" w:vAnchor="text" w:y="3373" w:w="10320" w:h="3654" w:hSpace="0" w:vSpace="0" w:wrap="3"/>
                    <w:tabs>
                      <w:tab w:val="right" w:leader="none" w:pos="8071"/>
                    </w:tabs>
                    <w:rPr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SZM P</w:t>
                  </w:r>
                  <w:r>
                    <w:rPr>
                      <w:color w:val="#000000"/>
                      <w:sz w:val="19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ři ram, p.o.	</w:t>
                  </w:r>
                  <w:r>
                    <w:rPr>
                      <w:color w:val="#000000"/>
                      <w:sz w:val="19"/>
                      <w:lang w:val="cs-CZ"/>
                      <w:spacing w:val="-8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HC Baník Příbram s.r.o.</w:t>
                  </w:r>
                </w:p>
              </w:txbxContent>
            </v:textbox>
          </v:shape>
        </w:pic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smlouva zve</w:t>
      </w:r>
      <w:r>
        <w:rPr>
          <w:color w:val="#000000"/>
          <w:sz w:val="19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řejněna, respektive účinná.</w:t>
      </w:r>
    </w:p>
    <w:sectPr>
      <w:pgSz w:w="12240" w:h="15840" w:orient="portrait"/>
      <w:type w:val="nextPage"/>
      <w:textDirection w:val="lrTb"/>
      <w:pgMar w:bottom="6125" w:top="500" w:right="898" w:left="96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akturace@szmpb.cz" TargetMode="External" Id="drId3" /><Relationship Type="http://schemas.openxmlformats.org/officeDocument/2006/relationships/hyperlink" Target="mailto:sutnar@szmpb.cz" TargetMode="External" Id="drId4" /><Relationship Type="http://schemas.openxmlformats.org/officeDocument/2006/relationships/image" Target="/word/media/image1.png" Id="drId5" /><Relationship Type="http://schemas.openxmlformats.org/officeDocument/2006/relationships/hyperlink" Target="mailto:slaba@szmpb.cz" TargetMode="External" Id="drId6" /><Relationship Type="http://schemas.openxmlformats.org/officeDocument/2006/relationships/hyperlink" Target="mailto:manhart22@seznam.cz" TargetMode="External" Id="drId7" /><Relationship Type="http://schemas.openxmlformats.org/officeDocument/2006/relationships/hyperlink" Target="mailto:tornaskova@szmpb.cz" TargetMode="External" Id="drId8" /><Relationship Type="http://schemas.openxmlformats.org/officeDocument/2006/relationships/hyperlink" Target="mailto:lucie.plavcova@hcpribram.cz" TargetMode="External" Id="drId9" /><Relationship Type="http://schemas.openxmlformats.org/officeDocument/2006/relationships/hyperlink" Target="mailto:vins@centrum.cz" TargetMode="External" Id="drId10" /><Relationship Type="http://schemas.openxmlformats.org/officeDocument/2006/relationships/image" Target="/word/media/image2.png" Id="drId11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