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1687" w:rsidRPr="00C76534" w:rsidRDefault="008805D7" w:rsidP="004029DC">
      <w:pPr>
        <w:pStyle w:val="Nadpis2"/>
        <w:jc w:val="center"/>
        <w:rPr>
          <w:rFonts w:ascii="Calibri" w:hAnsi="Calibri" w:cs="Calibri"/>
          <w:b/>
          <w:bCs/>
          <w:color w:val="215E99" w:themeColor="text2" w:themeTint="BF"/>
          <w:sz w:val="36"/>
          <w:szCs w:val="36"/>
          <w:lang w:val="cs-CZ"/>
        </w:rPr>
      </w:pPr>
      <w:bookmarkStart w:id="0" w:name="Xa0fc3f1767a223dd15640e6c59fd6c09e2ec389"/>
      <w:r w:rsidRPr="00C76534">
        <w:rPr>
          <w:rFonts w:ascii="Calibri" w:hAnsi="Calibri" w:cs="Calibri"/>
          <w:b/>
          <w:bCs/>
          <w:color w:val="215E99" w:themeColor="text2" w:themeTint="BF"/>
          <w:sz w:val="36"/>
          <w:szCs w:val="36"/>
          <w:lang w:val="cs-CZ"/>
        </w:rPr>
        <w:t>SMLOUVA O DÍLO A DODÁVCE LICENCÍ</w:t>
      </w:r>
    </w:p>
    <w:p w:rsidR="004029DC" w:rsidRDefault="004029DC" w:rsidP="004029DC">
      <w:pPr>
        <w:jc w:val="center"/>
        <w:rPr>
          <w:rFonts w:ascii="Calibri" w:hAnsi="Calibri" w:cs="Calibri"/>
          <w:lang w:val="cs-CZ"/>
        </w:rPr>
      </w:pPr>
      <w:r w:rsidRPr="00C76534">
        <w:rPr>
          <w:rFonts w:ascii="Calibri" w:hAnsi="Calibri" w:cs="Calibri"/>
          <w:lang w:val="cs-CZ"/>
        </w:rPr>
        <w:t>uzavřená dle § 2586 a násl. občanského zákoníku</w:t>
      </w:r>
    </w:p>
    <w:p w:rsidR="00F07776" w:rsidRPr="00C76534" w:rsidRDefault="00F07776" w:rsidP="001979FF">
      <w:pPr>
        <w:jc w:val="center"/>
        <w:rPr>
          <w:rFonts w:ascii="Calibri" w:hAnsi="Calibri" w:cs="Calibri"/>
          <w:lang w:val="cs-CZ"/>
        </w:rPr>
      </w:pPr>
      <w:r>
        <w:rPr>
          <w:rFonts w:ascii="Calibri" w:hAnsi="Calibri" w:cs="Calibri"/>
          <w:lang w:val="cs-CZ"/>
        </w:rPr>
        <w:t>Č.j. Dodavatele: SOD_ZPS_0925</w:t>
      </w:r>
    </w:p>
    <w:p w:rsidR="00D21687" w:rsidRPr="00C76534" w:rsidRDefault="0009272C">
      <w:pPr>
        <w:rPr>
          <w:rFonts w:ascii="Calibri" w:hAnsi="Calibri" w:cs="Calibri"/>
          <w:lang w:val="cs-CZ"/>
        </w:rPr>
      </w:pPr>
      <w:r>
        <w:rPr>
          <w:rFonts w:ascii="Calibri" w:hAnsi="Calibri" w:cs="Calibri"/>
          <w:lang w:val="cs-CZ"/>
        </w:rPr>
        <w:pict w14:anchorId="1941CF13">
          <v:rect id="_x0000_i1025" style="width:0;height:1.5pt" o:hralign="center" o:hrstd="t" o:hr="t"/>
        </w:pict>
      </w:r>
    </w:p>
    <w:p w:rsidR="00D21687" w:rsidRPr="00C76534" w:rsidRDefault="008805D7">
      <w:pPr>
        <w:pStyle w:val="Nadpis3"/>
        <w:rPr>
          <w:rFonts w:ascii="Calibri" w:hAnsi="Calibri" w:cs="Calibri"/>
          <w:b/>
          <w:bCs/>
          <w:color w:val="215E99" w:themeColor="text2" w:themeTint="BF"/>
          <w:lang w:val="cs-CZ"/>
        </w:rPr>
      </w:pPr>
      <w:bookmarkStart w:id="1" w:name="smluvní-strany"/>
      <w:r w:rsidRPr="00C76534">
        <w:rPr>
          <w:rFonts w:ascii="Calibri" w:hAnsi="Calibri" w:cs="Calibri"/>
          <w:b/>
          <w:bCs/>
          <w:color w:val="215E99" w:themeColor="text2" w:themeTint="BF"/>
          <w:lang w:val="cs-CZ"/>
        </w:rPr>
        <w:t>1. Smluvní strany</w:t>
      </w:r>
    </w:p>
    <w:p w:rsidR="004029DC" w:rsidRPr="00C76534" w:rsidRDefault="008805D7">
      <w:pPr>
        <w:pStyle w:val="FirstParagraph"/>
        <w:rPr>
          <w:rFonts w:ascii="Calibri" w:hAnsi="Calibri" w:cs="Calibri"/>
          <w:b/>
          <w:bCs/>
          <w:lang w:val="cs-CZ"/>
        </w:rPr>
      </w:pPr>
      <w:r w:rsidRPr="00C76534">
        <w:rPr>
          <w:rFonts w:ascii="Calibri" w:hAnsi="Calibri" w:cs="Calibri"/>
          <w:b/>
          <w:bCs/>
          <w:lang w:val="cs-CZ"/>
        </w:rPr>
        <w:t>Objednatel:</w:t>
      </w:r>
    </w:p>
    <w:p w:rsidR="004029DC" w:rsidRPr="00C76534" w:rsidRDefault="008805D7">
      <w:pPr>
        <w:pStyle w:val="FirstParagraph"/>
        <w:rPr>
          <w:rFonts w:ascii="Calibri" w:hAnsi="Calibri" w:cs="Calibri"/>
          <w:lang w:val="cs-CZ"/>
        </w:rPr>
      </w:pPr>
      <w:r w:rsidRPr="00C76534">
        <w:rPr>
          <w:rFonts w:ascii="Calibri" w:hAnsi="Calibri" w:cs="Calibri"/>
          <w:lang w:val="cs-CZ"/>
        </w:rPr>
        <w:t>Název</w:t>
      </w:r>
      <w:r w:rsidR="004029DC" w:rsidRPr="00C76534">
        <w:rPr>
          <w:rFonts w:ascii="Calibri" w:hAnsi="Calibri" w:cs="Calibri"/>
          <w:lang w:val="cs-CZ"/>
        </w:rPr>
        <w:t xml:space="preserve">: </w:t>
      </w:r>
      <w:r w:rsidR="004029DC" w:rsidRPr="00C76534">
        <w:rPr>
          <w:rFonts w:ascii="Calibri" w:hAnsi="Calibri" w:cs="Calibri"/>
          <w:lang w:val="cs-CZ"/>
        </w:rPr>
        <w:tab/>
      </w:r>
      <w:r w:rsidR="004029DC" w:rsidRPr="00C76534">
        <w:rPr>
          <w:rFonts w:ascii="Calibri" w:hAnsi="Calibri" w:cs="Calibri"/>
          <w:lang w:val="cs-CZ"/>
        </w:rPr>
        <w:tab/>
      </w:r>
      <w:r w:rsidR="004029DC" w:rsidRPr="00C76534">
        <w:rPr>
          <w:rFonts w:ascii="Calibri" w:hAnsi="Calibri" w:cs="Calibri"/>
          <w:b/>
          <w:bCs/>
          <w:lang w:val="cs-CZ"/>
        </w:rPr>
        <w:t>Zaměstnanecká pojišťovna Škoda</w:t>
      </w:r>
    </w:p>
    <w:p w:rsidR="004029DC" w:rsidRPr="00C76534" w:rsidRDefault="008805D7">
      <w:pPr>
        <w:pStyle w:val="FirstParagraph"/>
        <w:rPr>
          <w:rFonts w:ascii="Calibri" w:hAnsi="Calibri" w:cs="Calibri"/>
          <w:lang w:val="cs-CZ"/>
        </w:rPr>
      </w:pPr>
      <w:r w:rsidRPr="00C76534">
        <w:rPr>
          <w:rFonts w:ascii="Calibri" w:hAnsi="Calibri" w:cs="Calibri"/>
          <w:lang w:val="cs-CZ"/>
        </w:rPr>
        <w:t>IČO</w:t>
      </w:r>
      <w:r w:rsidR="004029DC" w:rsidRPr="00C76534">
        <w:rPr>
          <w:rFonts w:ascii="Calibri" w:hAnsi="Calibri" w:cs="Calibri"/>
          <w:lang w:val="cs-CZ"/>
        </w:rPr>
        <w:t>/DIČ:</w:t>
      </w:r>
      <w:r w:rsidR="004029DC" w:rsidRPr="00C76534">
        <w:rPr>
          <w:rFonts w:ascii="Calibri" w:hAnsi="Calibri" w:cs="Calibri"/>
          <w:lang w:val="cs-CZ"/>
        </w:rPr>
        <w:tab/>
      </w:r>
      <w:r w:rsidRPr="00C76534">
        <w:rPr>
          <w:rFonts w:ascii="Calibri" w:hAnsi="Calibri" w:cs="Calibri"/>
          <w:lang w:val="cs-CZ"/>
        </w:rPr>
        <w:t xml:space="preserve"> </w:t>
      </w:r>
      <w:r w:rsidR="004029DC" w:rsidRPr="00C76534">
        <w:rPr>
          <w:rFonts w:ascii="Calibri" w:hAnsi="Calibri" w:cs="Calibri"/>
          <w:lang w:val="cs-CZ"/>
        </w:rPr>
        <w:t>46354182</w:t>
      </w:r>
      <w:r w:rsidRPr="00C76534">
        <w:rPr>
          <w:rFonts w:ascii="Calibri" w:hAnsi="Calibri" w:cs="Calibri"/>
          <w:lang w:val="cs-CZ"/>
        </w:rPr>
        <w:t>/</w:t>
      </w:r>
      <w:r w:rsidR="004029DC" w:rsidRPr="00C76534">
        <w:rPr>
          <w:rFonts w:ascii="Adjusted Arial Fallback" w:hAnsi="Adjusted Arial Fallback"/>
          <w:color w:val="232324"/>
          <w:lang w:val="cs-CZ"/>
        </w:rPr>
        <w:t xml:space="preserve"> </w:t>
      </w:r>
      <w:r w:rsidR="004029DC" w:rsidRPr="00C76534">
        <w:rPr>
          <w:rFonts w:ascii="Calibri" w:hAnsi="Calibri" w:cs="Calibri"/>
          <w:lang w:val="cs-CZ"/>
        </w:rPr>
        <w:t>CZ46354182</w:t>
      </w:r>
    </w:p>
    <w:p w:rsidR="00D9065F" w:rsidRPr="00C76534" w:rsidRDefault="008805D7">
      <w:pPr>
        <w:pStyle w:val="FirstParagraph"/>
        <w:rPr>
          <w:rFonts w:ascii="Calibri" w:hAnsi="Calibri" w:cs="Calibri"/>
          <w:b/>
          <w:bCs/>
          <w:lang w:val="cs-CZ"/>
        </w:rPr>
      </w:pPr>
      <w:r w:rsidRPr="00C76534">
        <w:rPr>
          <w:rFonts w:ascii="Calibri" w:hAnsi="Calibri" w:cs="Calibri"/>
          <w:lang w:val="cs-CZ"/>
        </w:rPr>
        <w:t>Sídlo</w:t>
      </w:r>
      <w:r w:rsidR="004029DC" w:rsidRPr="00C76534">
        <w:rPr>
          <w:rFonts w:ascii="Calibri" w:hAnsi="Calibri" w:cs="Calibri"/>
          <w:lang w:val="cs-CZ"/>
        </w:rPr>
        <w:t>:</w:t>
      </w:r>
      <w:r w:rsidR="004029DC" w:rsidRPr="00C76534">
        <w:rPr>
          <w:rFonts w:ascii="Calibri" w:hAnsi="Calibri" w:cs="Calibri"/>
          <w:lang w:val="cs-CZ"/>
        </w:rPr>
        <w:tab/>
      </w:r>
      <w:r w:rsidR="004029DC" w:rsidRPr="00C76534">
        <w:rPr>
          <w:rFonts w:ascii="Calibri" w:hAnsi="Calibri" w:cs="Calibri"/>
          <w:lang w:val="cs-CZ"/>
        </w:rPr>
        <w:tab/>
      </w:r>
      <w:r w:rsidRPr="00C76534">
        <w:rPr>
          <w:rFonts w:ascii="Calibri" w:hAnsi="Calibri" w:cs="Calibri"/>
          <w:lang w:val="cs-CZ"/>
        </w:rPr>
        <w:t xml:space="preserve"> </w:t>
      </w:r>
      <w:r w:rsidR="00DB7D80" w:rsidRPr="00C76534">
        <w:rPr>
          <w:rFonts w:ascii="Calibri" w:hAnsi="Calibri" w:cs="Calibri"/>
          <w:lang w:val="cs-CZ"/>
        </w:rPr>
        <w:t xml:space="preserve">Mladá Boleslav, </w:t>
      </w:r>
      <w:r w:rsidR="004029DC" w:rsidRPr="00C76534">
        <w:rPr>
          <w:rFonts w:ascii="Calibri" w:hAnsi="Calibri" w:cs="Calibri"/>
          <w:lang w:val="cs-CZ"/>
        </w:rPr>
        <w:t>Husova 302</w:t>
      </w:r>
      <w:r w:rsidR="00D9065F" w:rsidRPr="00C76534">
        <w:rPr>
          <w:rFonts w:ascii="Calibri" w:hAnsi="Calibri" w:cs="Calibri"/>
          <w:lang w:val="cs-CZ"/>
        </w:rPr>
        <w:t xml:space="preserve">, </w:t>
      </w:r>
      <w:r w:rsidR="00DB7D80" w:rsidRPr="00C76534">
        <w:rPr>
          <w:rFonts w:ascii="Calibri" w:hAnsi="Calibri" w:cs="Calibri"/>
          <w:lang w:val="cs-CZ"/>
        </w:rPr>
        <w:t xml:space="preserve">PSČ </w:t>
      </w:r>
      <w:r w:rsidR="00D9065F" w:rsidRPr="00C76534">
        <w:rPr>
          <w:rFonts w:ascii="Calibri" w:hAnsi="Calibri" w:cs="Calibri"/>
          <w:lang w:val="cs-CZ"/>
        </w:rPr>
        <w:t>293 01</w:t>
      </w:r>
    </w:p>
    <w:p w:rsidR="00D21687" w:rsidRDefault="008805D7">
      <w:pPr>
        <w:pStyle w:val="FirstParagraph"/>
        <w:rPr>
          <w:rFonts w:ascii="Calibri" w:hAnsi="Calibri" w:cs="Calibri"/>
          <w:lang w:val="cs-CZ"/>
        </w:rPr>
      </w:pPr>
      <w:r w:rsidRPr="00C76534">
        <w:rPr>
          <w:rFonts w:ascii="Calibri" w:hAnsi="Calibri" w:cs="Calibri"/>
          <w:lang w:val="cs-CZ"/>
        </w:rPr>
        <w:t>Zastoupen</w:t>
      </w:r>
      <w:r w:rsidR="00DB7D80" w:rsidRPr="00C76534">
        <w:rPr>
          <w:rFonts w:ascii="Calibri" w:hAnsi="Calibri" w:cs="Calibri"/>
          <w:lang w:val="cs-CZ"/>
        </w:rPr>
        <w:t>í:</w:t>
      </w:r>
      <w:r w:rsidR="00DB7D80" w:rsidRPr="00C76534">
        <w:rPr>
          <w:rFonts w:ascii="Calibri" w:hAnsi="Calibri" w:cs="Calibri"/>
          <w:lang w:val="cs-CZ"/>
        </w:rPr>
        <w:tab/>
      </w:r>
      <w:r w:rsidR="0009272C">
        <w:rPr>
          <w:rFonts w:ascii="Calibri" w:hAnsi="Calibri" w:cs="Calibri"/>
          <w:lang w:val="cs-CZ"/>
        </w:rPr>
        <w:t xml:space="preserve"> XXXXXXXXXXXXXXXXXX</w:t>
      </w:r>
      <w:r w:rsidR="00DB7D80" w:rsidRPr="00C76534">
        <w:rPr>
          <w:rFonts w:ascii="Calibri" w:hAnsi="Calibri" w:cs="Calibri"/>
          <w:lang w:val="cs-CZ"/>
        </w:rPr>
        <w:t>, ředitelka ZPŠ</w:t>
      </w:r>
    </w:p>
    <w:p w:rsidR="001979FF" w:rsidRPr="001979FF" w:rsidRDefault="001979FF" w:rsidP="001979FF">
      <w:pPr>
        <w:spacing w:after="0" w:line="288" w:lineRule="auto"/>
        <w:jc w:val="both"/>
        <w:rPr>
          <w:rFonts w:ascii="Calibri" w:eastAsia="Calibri" w:hAnsi="Calibri" w:cs="Calibri"/>
          <w:lang w:val="de-DE" w:eastAsia="cs-CZ"/>
        </w:rPr>
      </w:pPr>
      <w:r w:rsidRPr="001979FF">
        <w:rPr>
          <w:rFonts w:ascii="Calibri" w:eastAsia="Calibri" w:hAnsi="Calibri" w:cs="Calibri"/>
          <w:lang w:val="de-DE" w:eastAsia="cs-CZ"/>
        </w:rPr>
        <w:t>(</w:t>
      </w:r>
      <w:proofErr w:type="spellStart"/>
      <w:r w:rsidRPr="001979FF">
        <w:rPr>
          <w:rFonts w:ascii="Calibri" w:eastAsia="Calibri" w:hAnsi="Calibri" w:cs="Calibri"/>
          <w:lang w:val="de-DE" w:eastAsia="cs-CZ"/>
        </w:rPr>
        <w:t>dále</w:t>
      </w:r>
      <w:proofErr w:type="spellEnd"/>
      <w:r w:rsidRPr="001979FF">
        <w:rPr>
          <w:rFonts w:ascii="Calibri" w:eastAsia="Calibri" w:hAnsi="Calibri" w:cs="Calibri"/>
          <w:lang w:val="de-DE" w:eastAsia="cs-CZ"/>
        </w:rPr>
        <w:t xml:space="preserve"> </w:t>
      </w:r>
      <w:proofErr w:type="spellStart"/>
      <w:r w:rsidRPr="001979FF">
        <w:rPr>
          <w:rFonts w:ascii="Calibri" w:eastAsia="Calibri" w:hAnsi="Calibri" w:cs="Calibri"/>
          <w:lang w:val="de-DE" w:eastAsia="cs-CZ"/>
        </w:rPr>
        <w:t>jen</w:t>
      </w:r>
      <w:proofErr w:type="spellEnd"/>
      <w:r w:rsidRPr="001979FF">
        <w:rPr>
          <w:rFonts w:ascii="Calibri" w:eastAsia="Calibri" w:hAnsi="Calibri" w:cs="Calibri"/>
          <w:lang w:val="de-DE" w:eastAsia="cs-CZ"/>
        </w:rPr>
        <w:t xml:space="preserve"> „</w:t>
      </w:r>
      <w:proofErr w:type="spellStart"/>
      <w:r w:rsidRPr="001979FF">
        <w:rPr>
          <w:rFonts w:ascii="Calibri" w:eastAsia="Calibri" w:hAnsi="Calibri" w:cs="Calibri"/>
          <w:b/>
          <w:lang w:val="de-DE" w:eastAsia="cs-CZ"/>
        </w:rPr>
        <w:t>Objednatel</w:t>
      </w:r>
      <w:proofErr w:type="spellEnd"/>
      <w:r w:rsidRPr="001979FF">
        <w:rPr>
          <w:rFonts w:ascii="Calibri" w:eastAsia="Calibri" w:hAnsi="Calibri" w:cs="Calibri"/>
          <w:lang w:val="de-DE" w:eastAsia="cs-CZ"/>
        </w:rPr>
        <w:t xml:space="preserve">“)  </w:t>
      </w:r>
    </w:p>
    <w:p w:rsidR="001979FF" w:rsidRPr="001979FF" w:rsidRDefault="001979FF" w:rsidP="001979FF">
      <w:pPr>
        <w:spacing w:after="0" w:line="288" w:lineRule="auto"/>
        <w:jc w:val="both"/>
        <w:rPr>
          <w:rFonts w:ascii="Calibri" w:eastAsia="Calibri" w:hAnsi="Calibri" w:cs="Calibri"/>
          <w:b/>
          <w:lang w:val="de-DE" w:eastAsia="cs-CZ"/>
        </w:rPr>
      </w:pPr>
      <w:r w:rsidRPr="001979FF">
        <w:rPr>
          <w:rFonts w:ascii="Calibri" w:eastAsia="Calibri" w:hAnsi="Calibri" w:cs="Calibri"/>
          <w:b/>
          <w:lang w:val="de-DE" w:eastAsia="cs-CZ"/>
        </w:rPr>
        <w:t xml:space="preserve">na </w:t>
      </w:r>
      <w:proofErr w:type="spellStart"/>
      <w:r w:rsidRPr="001979FF">
        <w:rPr>
          <w:rFonts w:ascii="Calibri" w:eastAsia="Calibri" w:hAnsi="Calibri" w:cs="Calibri"/>
          <w:b/>
          <w:lang w:val="de-DE" w:eastAsia="cs-CZ"/>
        </w:rPr>
        <w:t>straně</w:t>
      </w:r>
      <w:proofErr w:type="spellEnd"/>
      <w:r w:rsidRPr="001979FF">
        <w:rPr>
          <w:rFonts w:ascii="Calibri" w:eastAsia="Calibri" w:hAnsi="Calibri" w:cs="Calibri"/>
          <w:b/>
          <w:lang w:val="de-DE" w:eastAsia="cs-CZ"/>
        </w:rPr>
        <w:t xml:space="preserve"> </w:t>
      </w:r>
      <w:proofErr w:type="spellStart"/>
      <w:r w:rsidRPr="001979FF">
        <w:rPr>
          <w:rFonts w:ascii="Calibri" w:eastAsia="Calibri" w:hAnsi="Calibri" w:cs="Calibri"/>
          <w:b/>
          <w:lang w:val="de-DE" w:eastAsia="cs-CZ"/>
        </w:rPr>
        <w:t>jedné</w:t>
      </w:r>
      <w:proofErr w:type="spellEnd"/>
    </w:p>
    <w:p w:rsidR="00DB7D80" w:rsidRPr="00C76534" w:rsidRDefault="00DB7D80" w:rsidP="00DB7D80">
      <w:pPr>
        <w:pStyle w:val="Zkladntext"/>
        <w:rPr>
          <w:lang w:val="cs-CZ"/>
        </w:rPr>
      </w:pPr>
    </w:p>
    <w:p w:rsidR="00DB7D80" w:rsidRPr="00C76534" w:rsidRDefault="008805D7">
      <w:pPr>
        <w:pStyle w:val="Zkladntext"/>
        <w:rPr>
          <w:rFonts w:ascii="Calibri" w:hAnsi="Calibri" w:cs="Calibri"/>
          <w:b/>
          <w:bCs/>
          <w:lang w:val="cs-CZ"/>
        </w:rPr>
      </w:pPr>
      <w:r w:rsidRPr="00C76534">
        <w:rPr>
          <w:rFonts w:ascii="Calibri" w:hAnsi="Calibri" w:cs="Calibri"/>
          <w:b/>
          <w:bCs/>
          <w:lang w:val="cs-CZ"/>
        </w:rPr>
        <w:t>Zhotovitel:</w:t>
      </w:r>
    </w:p>
    <w:p w:rsidR="00DB7D80" w:rsidRPr="00C76534" w:rsidRDefault="00DB7D80">
      <w:pPr>
        <w:pStyle w:val="Zkladntext"/>
        <w:rPr>
          <w:rFonts w:ascii="Calibri" w:hAnsi="Calibri" w:cs="Calibri"/>
          <w:lang w:val="cs-CZ"/>
        </w:rPr>
      </w:pPr>
      <w:r w:rsidRPr="00C76534">
        <w:rPr>
          <w:rFonts w:ascii="Calibri" w:hAnsi="Calibri" w:cs="Calibri"/>
          <w:lang w:val="cs-CZ"/>
        </w:rPr>
        <w:t>Název:</w:t>
      </w:r>
      <w:r w:rsidRPr="00C76534">
        <w:rPr>
          <w:rFonts w:ascii="Calibri" w:hAnsi="Calibri" w:cs="Calibri"/>
          <w:lang w:val="cs-CZ"/>
        </w:rPr>
        <w:tab/>
      </w:r>
      <w:r w:rsidRPr="00C76534">
        <w:rPr>
          <w:rFonts w:ascii="Calibri" w:hAnsi="Calibri" w:cs="Calibri"/>
          <w:b/>
          <w:bCs/>
          <w:lang w:val="cs-CZ"/>
        </w:rPr>
        <w:tab/>
        <w:t>d</w:t>
      </w:r>
      <w:r w:rsidRPr="00C76534">
        <w:rPr>
          <w:rFonts w:ascii="Cambria Math" w:hAnsi="Cambria Math" w:cs="Cambria Math"/>
          <w:b/>
          <w:bCs/>
          <w:lang w:val="cs-CZ"/>
        </w:rPr>
        <w:t>‑</w:t>
      </w:r>
      <w:r w:rsidRPr="00C76534">
        <w:rPr>
          <w:rFonts w:ascii="Calibri" w:hAnsi="Calibri" w:cs="Calibri"/>
          <w:b/>
          <w:bCs/>
          <w:lang w:val="cs-CZ"/>
        </w:rPr>
        <w:t>PROG s.r.o.</w:t>
      </w:r>
    </w:p>
    <w:p w:rsidR="00DB7D80" w:rsidRPr="00C76534" w:rsidRDefault="008805D7">
      <w:pPr>
        <w:pStyle w:val="Zkladntext"/>
        <w:rPr>
          <w:rFonts w:ascii="Calibri" w:hAnsi="Calibri" w:cs="Calibri"/>
          <w:lang w:val="cs-CZ"/>
        </w:rPr>
      </w:pPr>
      <w:r w:rsidRPr="00C76534">
        <w:rPr>
          <w:rFonts w:ascii="Calibri" w:hAnsi="Calibri" w:cs="Calibri"/>
          <w:lang w:val="cs-CZ"/>
        </w:rPr>
        <w:t>IČO</w:t>
      </w:r>
      <w:r w:rsidR="00DB7D80" w:rsidRPr="00C76534">
        <w:rPr>
          <w:rFonts w:ascii="Calibri" w:hAnsi="Calibri" w:cs="Calibri"/>
          <w:lang w:val="cs-CZ"/>
        </w:rPr>
        <w:t>/DIČ</w:t>
      </w:r>
      <w:r w:rsidRPr="00C76534">
        <w:rPr>
          <w:rFonts w:ascii="Calibri" w:hAnsi="Calibri" w:cs="Calibri"/>
          <w:lang w:val="cs-CZ"/>
        </w:rPr>
        <w:t>:</w:t>
      </w:r>
      <w:r w:rsidR="00DB7D80" w:rsidRPr="00C76534">
        <w:rPr>
          <w:rFonts w:ascii="Calibri" w:hAnsi="Calibri" w:cs="Calibri"/>
          <w:lang w:val="cs-CZ"/>
        </w:rPr>
        <w:tab/>
        <w:t>27188027/CZ27188027</w:t>
      </w:r>
    </w:p>
    <w:p w:rsidR="00DB7D80" w:rsidRPr="00C76534" w:rsidRDefault="008805D7">
      <w:pPr>
        <w:pStyle w:val="Zkladntext"/>
        <w:rPr>
          <w:lang w:val="cs-CZ"/>
        </w:rPr>
      </w:pPr>
      <w:r w:rsidRPr="00C76534">
        <w:rPr>
          <w:rFonts w:ascii="Calibri" w:hAnsi="Calibri" w:cs="Calibri"/>
          <w:lang w:val="cs-CZ"/>
        </w:rPr>
        <w:t>Sídlo:</w:t>
      </w:r>
      <w:r w:rsidR="00DB7D80" w:rsidRPr="00C76534">
        <w:rPr>
          <w:rFonts w:ascii="Calibri" w:hAnsi="Calibri" w:cs="Calibri"/>
          <w:lang w:val="cs-CZ"/>
        </w:rPr>
        <w:tab/>
      </w:r>
      <w:r w:rsidR="00DB7D80" w:rsidRPr="00C76534">
        <w:rPr>
          <w:rFonts w:ascii="Calibri" w:hAnsi="Calibri" w:cs="Calibri"/>
          <w:lang w:val="cs-CZ"/>
        </w:rPr>
        <w:tab/>
        <w:t>Praha 10, Vinohrady, Hradešínská 2144/47, PSČ 101 00</w:t>
      </w:r>
    </w:p>
    <w:p w:rsidR="00DB7D80" w:rsidRDefault="008805D7">
      <w:pPr>
        <w:pStyle w:val="Zkladntext"/>
        <w:rPr>
          <w:rFonts w:ascii="Calibri" w:hAnsi="Calibri" w:cs="Calibri"/>
          <w:lang w:val="cs-CZ"/>
        </w:rPr>
      </w:pPr>
      <w:r w:rsidRPr="00C76534">
        <w:rPr>
          <w:rFonts w:ascii="Calibri" w:hAnsi="Calibri" w:cs="Calibri"/>
          <w:lang w:val="cs-CZ"/>
        </w:rPr>
        <w:t>Zastoupení:</w:t>
      </w:r>
      <w:r w:rsidR="00DB7D80" w:rsidRPr="00C76534">
        <w:rPr>
          <w:rFonts w:ascii="Calibri" w:hAnsi="Calibri" w:cs="Calibri"/>
          <w:lang w:val="cs-CZ"/>
        </w:rPr>
        <w:tab/>
      </w:r>
      <w:r w:rsidR="0009272C">
        <w:rPr>
          <w:rFonts w:ascii="Calibri" w:hAnsi="Calibri" w:cs="Calibri"/>
          <w:lang w:val="cs-CZ"/>
        </w:rPr>
        <w:t>XXXXXXXXXXXXXXXXXX</w:t>
      </w:r>
      <w:bookmarkStart w:id="2" w:name="_GoBack"/>
      <w:bookmarkEnd w:id="2"/>
      <w:r w:rsidR="00DB7D80" w:rsidRPr="00C76534">
        <w:rPr>
          <w:rFonts w:ascii="Calibri" w:hAnsi="Calibri" w:cs="Calibri"/>
          <w:lang w:val="cs-CZ"/>
        </w:rPr>
        <w:t>, jednatelka</w:t>
      </w:r>
    </w:p>
    <w:p w:rsidR="001979FF" w:rsidRPr="001979FF" w:rsidRDefault="001979FF" w:rsidP="001979FF">
      <w:pPr>
        <w:spacing w:after="0" w:line="288" w:lineRule="auto"/>
        <w:jc w:val="both"/>
        <w:rPr>
          <w:rFonts w:ascii="Calibri" w:eastAsia="Calibri" w:hAnsi="Calibri" w:cs="Calibri"/>
          <w:lang w:val="de-DE" w:eastAsia="cs-CZ"/>
        </w:rPr>
      </w:pPr>
      <w:r w:rsidRPr="001979FF">
        <w:rPr>
          <w:rFonts w:ascii="Calibri" w:eastAsia="Calibri" w:hAnsi="Calibri" w:cs="Calibri"/>
          <w:lang w:val="de-DE" w:eastAsia="cs-CZ"/>
        </w:rPr>
        <w:t>(</w:t>
      </w:r>
      <w:proofErr w:type="spellStart"/>
      <w:r w:rsidRPr="001979FF">
        <w:rPr>
          <w:rFonts w:ascii="Calibri" w:eastAsia="Calibri" w:hAnsi="Calibri" w:cs="Calibri"/>
          <w:lang w:val="de-DE" w:eastAsia="cs-CZ"/>
        </w:rPr>
        <w:t>dále</w:t>
      </w:r>
      <w:proofErr w:type="spellEnd"/>
      <w:r w:rsidRPr="001979FF">
        <w:rPr>
          <w:rFonts w:ascii="Calibri" w:eastAsia="Calibri" w:hAnsi="Calibri" w:cs="Calibri"/>
          <w:lang w:val="de-DE" w:eastAsia="cs-CZ"/>
        </w:rPr>
        <w:t xml:space="preserve"> </w:t>
      </w:r>
      <w:proofErr w:type="spellStart"/>
      <w:r w:rsidRPr="001979FF">
        <w:rPr>
          <w:rFonts w:ascii="Calibri" w:eastAsia="Calibri" w:hAnsi="Calibri" w:cs="Calibri"/>
          <w:lang w:val="de-DE" w:eastAsia="cs-CZ"/>
        </w:rPr>
        <w:t>jen</w:t>
      </w:r>
      <w:proofErr w:type="spellEnd"/>
      <w:r w:rsidRPr="001979FF">
        <w:rPr>
          <w:rFonts w:ascii="Calibri" w:eastAsia="Calibri" w:hAnsi="Calibri" w:cs="Calibri"/>
          <w:lang w:val="de-DE" w:eastAsia="cs-CZ"/>
        </w:rPr>
        <w:t xml:space="preserve"> „</w:t>
      </w:r>
      <w:proofErr w:type="spellStart"/>
      <w:r w:rsidRPr="001979FF">
        <w:rPr>
          <w:rFonts w:ascii="Calibri" w:eastAsia="Calibri" w:hAnsi="Calibri" w:cs="Calibri"/>
          <w:b/>
          <w:lang w:val="de-DE" w:eastAsia="cs-CZ"/>
        </w:rPr>
        <w:t>Dodavatel</w:t>
      </w:r>
      <w:proofErr w:type="spellEnd"/>
      <w:r w:rsidRPr="001979FF">
        <w:rPr>
          <w:rFonts w:ascii="Calibri" w:eastAsia="Calibri" w:hAnsi="Calibri" w:cs="Calibri"/>
          <w:lang w:val="de-DE" w:eastAsia="cs-CZ"/>
        </w:rPr>
        <w:t>“)</w:t>
      </w:r>
    </w:p>
    <w:p w:rsidR="001979FF" w:rsidRPr="001979FF" w:rsidRDefault="001979FF" w:rsidP="001979FF">
      <w:pPr>
        <w:spacing w:after="0" w:line="288" w:lineRule="auto"/>
        <w:jc w:val="both"/>
        <w:rPr>
          <w:rFonts w:ascii="Calibri" w:eastAsia="Calibri" w:hAnsi="Calibri" w:cs="Calibri"/>
          <w:b/>
          <w:lang w:val="de-DE" w:eastAsia="cs-CZ"/>
        </w:rPr>
      </w:pPr>
      <w:r w:rsidRPr="001979FF">
        <w:rPr>
          <w:rFonts w:ascii="Calibri" w:eastAsia="Calibri" w:hAnsi="Calibri" w:cs="Calibri"/>
          <w:b/>
          <w:lang w:val="de-DE" w:eastAsia="cs-CZ"/>
        </w:rPr>
        <w:t xml:space="preserve">na </w:t>
      </w:r>
      <w:proofErr w:type="spellStart"/>
      <w:r w:rsidRPr="001979FF">
        <w:rPr>
          <w:rFonts w:ascii="Calibri" w:eastAsia="Calibri" w:hAnsi="Calibri" w:cs="Calibri"/>
          <w:b/>
          <w:lang w:val="de-DE" w:eastAsia="cs-CZ"/>
        </w:rPr>
        <w:t>straně</w:t>
      </w:r>
      <w:proofErr w:type="spellEnd"/>
      <w:r w:rsidRPr="001979FF">
        <w:rPr>
          <w:rFonts w:ascii="Calibri" w:eastAsia="Calibri" w:hAnsi="Calibri" w:cs="Calibri"/>
          <w:b/>
          <w:lang w:val="de-DE" w:eastAsia="cs-CZ"/>
        </w:rPr>
        <w:t xml:space="preserve"> </w:t>
      </w:r>
      <w:proofErr w:type="spellStart"/>
      <w:r w:rsidRPr="001979FF">
        <w:rPr>
          <w:rFonts w:ascii="Calibri" w:eastAsia="Calibri" w:hAnsi="Calibri" w:cs="Calibri"/>
          <w:b/>
          <w:lang w:val="de-DE" w:eastAsia="cs-CZ"/>
        </w:rPr>
        <w:t>druhé</w:t>
      </w:r>
      <w:proofErr w:type="spellEnd"/>
    </w:p>
    <w:p w:rsidR="00D21687" w:rsidRPr="00C76534" w:rsidRDefault="00D21687">
      <w:pPr>
        <w:rPr>
          <w:rFonts w:ascii="Calibri" w:hAnsi="Calibri" w:cs="Calibri"/>
          <w:lang w:val="cs-CZ"/>
        </w:rPr>
      </w:pPr>
    </w:p>
    <w:p w:rsidR="00D21687" w:rsidRPr="00C76534" w:rsidRDefault="008805D7">
      <w:pPr>
        <w:pStyle w:val="Nadpis3"/>
        <w:rPr>
          <w:rFonts w:ascii="Calibri" w:hAnsi="Calibri" w:cs="Calibri"/>
          <w:b/>
          <w:bCs/>
          <w:color w:val="215E99" w:themeColor="text2" w:themeTint="BF"/>
          <w:lang w:val="cs-CZ"/>
        </w:rPr>
      </w:pPr>
      <w:bookmarkStart w:id="3" w:name="předmět-plnění"/>
      <w:bookmarkEnd w:id="1"/>
      <w:r w:rsidRPr="00C76534">
        <w:rPr>
          <w:rFonts w:ascii="Calibri" w:hAnsi="Calibri" w:cs="Calibri"/>
          <w:b/>
          <w:bCs/>
          <w:color w:val="215E99" w:themeColor="text2" w:themeTint="BF"/>
          <w:lang w:val="cs-CZ"/>
        </w:rPr>
        <w:t>2. Předmět plnění</w:t>
      </w:r>
    </w:p>
    <w:p w:rsidR="00D21687" w:rsidRPr="00C76534" w:rsidRDefault="008805D7" w:rsidP="00E64AD2">
      <w:pPr>
        <w:pStyle w:val="FirstParagraph"/>
        <w:jc w:val="both"/>
        <w:rPr>
          <w:rFonts w:ascii="Calibri" w:hAnsi="Calibri" w:cs="Calibri"/>
          <w:lang w:val="cs-CZ"/>
        </w:rPr>
      </w:pPr>
      <w:r w:rsidRPr="00C76534">
        <w:rPr>
          <w:rFonts w:ascii="Calibri" w:hAnsi="Calibri" w:cs="Calibri"/>
          <w:lang w:val="cs-CZ"/>
        </w:rPr>
        <w:t xml:space="preserve">2.1 Dodávka licencí produktů Informix 4GL s podporou na 12 měsíců a prodloužení </w:t>
      </w:r>
      <w:r w:rsidR="00C76534" w:rsidRPr="00C76534">
        <w:rPr>
          <w:rFonts w:ascii="Calibri" w:hAnsi="Calibri" w:cs="Calibri"/>
          <w:lang w:val="cs-CZ"/>
        </w:rPr>
        <w:t xml:space="preserve">IBM technické </w:t>
      </w:r>
      <w:r w:rsidRPr="00C76534">
        <w:rPr>
          <w:rFonts w:ascii="Calibri" w:hAnsi="Calibri" w:cs="Calibri"/>
          <w:lang w:val="cs-CZ"/>
        </w:rPr>
        <w:t>podpory o další rok</w:t>
      </w:r>
      <w:r w:rsidR="00C76534" w:rsidRPr="00C76534">
        <w:rPr>
          <w:rFonts w:ascii="Calibri" w:hAnsi="Calibri" w:cs="Calibri"/>
          <w:lang w:val="cs-CZ"/>
        </w:rPr>
        <w:t xml:space="preserve"> definovaných v</w:t>
      </w:r>
      <w:r w:rsidRPr="00C76534">
        <w:rPr>
          <w:rFonts w:ascii="Calibri" w:hAnsi="Calibri" w:cs="Calibri"/>
          <w:lang w:val="cs-CZ"/>
        </w:rPr>
        <w:t xml:space="preserve"> čl. </w:t>
      </w:r>
      <w:r w:rsidR="00186A0E">
        <w:rPr>
          <w:rFonts w:ascii="Calibri" w:hAnsi="Calibri" w:cs="Calibri"/>
          <w:lang w:val="cs-CZ"/>
        </w:rPr>
        <w:t>3</w:t>
      </w:r>
      <w:r w:rsidRPr="00C76534">
        <w:rPr>
          <w:rFonts w:ascii="Calibri" w:hAnsi="Calibri" w:cs="Calibri"/>
          <w:lang w:val="cs-CZ"/>
        </w:rPr>
        <w:t xml:space="preserve"> a </w:t>
      </w:r>
      <w:r w:rsidR="00E77ADC">
        <w:rPr>
          <w:rFonts w:ascii="Calibri" w:hAnsi="Calibri" w:cs="Calibri"/>
          <w:lang w:val="cs-CZ"/>
        </w:rPr>
        <w:t xml:space="preserve">v </w:t>
      </w:r>
      <w:r w:rsidRPr="00C76534">
        <w:rPr>
          <w:rFonts w:ascii="Calibri" w:hAnsi="Calibri" w:cs="Calibri"/>
          <w:lang w:val="cs-CZ"/>
        </w:rPr>
        <w:t>Přílo</w:t>
      </w:r>
      <w:r w:rsidR="00186A0E">
        <w:rPr>
          <w:rFonts w:ascii="Calibri" w:hAnsi="Calibri" w:cs="Calibri"/>
          <w:lang w:val="cs-CZ"/>
        </w:rPr>
        <w:t>ze</w:t>
      </w:r>
      <w:r w:rsidRPr="00C76534">
        <w:rPr>
          <w:rFonts w:ascii="Calibri" w:hAnsi="Calibri" w:cs="Calibri"/>
          <w:lang w:val="cs-CZ"/>
        </w:rPr>
        <w:t xml:space="preserve"> A </w:t>
      </w:r>
      <w:r w:rsidR="00186A0E">
        <w:rPr>
          <w:rFonts w:ascii="Calibri" w:hAnsi="Calibri" w:cs="Calibri"/>
          <w:lang w:val="cs-CZ"/>
        </w:rPr>
        <w:t>čl. 1 a čl. 2</w:t>
      </w:r>
      <w:r w:rsidRPr="00C76534">
        <w:rPr>
          <w:rFonts w:ascii="Calibri" w:hAnsi="Calibri" w:cs="Calibri"/>
          <w:lang w:val="cs-CZ"/>
        </w:rPr>
        <w:t>.</w:t>
      </w:r>
    </w:p>
    <w:p w:rsidR="00D21687" w:rsidRPr="00C76534" w:rsidRDefault="008805D7" w:rsidP="00E64AD2">
      <w:pPr>
        <w:pStyle w:val="Zkladntext"/>
        <w:jc w:val="both"/>
        <w:rPr>
          <w:rFonts w:ascii="Calibri" w:hAnsi="Calibri" w:cs="Calibri"/>
          <w:lang w:val="cs-CZ"/>
        </w:rPr>
      </w:pPr>
      <w:r w:rsidRPr="00C76534">
        <w:rPr>
          <w:rFonts w:ascii="Calibri" w:hAnsi="Calibri" w:cs="Calibri"/>
          <w:lang w:val="cs-CZ"/>
        </w:rPr>
        <w:t>2.2 Služba migrace IBM Informix IDS ze stávající verze 12.10.FC12WE na verzi 14.10 nebo 15.0</w:t>
      </w:r>
      <w:r w:rsidR="00B83828">
        <w:rPr>
          <w:rFonts w:ascii="Calibri" w:hAnsi="Calibri" w:cs="Calibri"/>
          <w:lang w:val="cs-CZ"/>
        </w:rPr>
        <w:t xml:space="preserve"> dle doporučené verze a oboustranné domluvy</w:t>
      </w:r>
      <w:r w:rsidRPr="00C76534">
        <w:rPr>
          <w:rFonts w:ascii="Calibri" w:hAnsi="Calibri" w:cs="Calibri"/>
          <w:lang w:val="cs-CZ"/>
        </w:rPr>
        <w:t xml:space="preserve">, včetně všech kroků definovaných v čl. </w:t>
      </w:r>
      <w:r w:rsidR="00243BBC">
        <w:rPr>
          <w:rFonts w:ascii="Calibri" w:hAnsi="Calibri" w:cs="Calibri"/>
          <w:lang w:val="cs-CZ"/>
        </w:rPr>
        <w:t>4</w:t>
      </w:r>
      <w:r w:rsidR="00243BBC" w:rsidRPr="00C76534">
        <w:rPr>
          <w:rFonts w:ascii="Calibri" w:hAnsi="Calibri" w:cs="Calibri"/>
          <w:lang w:val="cs-CZ"/>
        </w:rPr>
        <w:t xml:space="preserve"> </w:t>
      </w:r>
      <w:r w:rsidR="00C76534" w:rsidRPr="00C76534">
        <w:rPr>
          <w:rFonts w:ascii="Calibri" w:hAnsi="Calibri" w:cs="Calibri"/>
          <w:lang w:val="cs-CZ"/>
        </w:rPr>
        <w:t xml:space="preserve">a </w:t>
      </w:r>
      <w:r w:rsidR="00E77ADC">
        <w:rPr>
          <w:rFonts w:ascii="Calibri" w:hAnsi="Calibri" w:cs="Calibri"/>
          <w:lang w:val="cs-CZ"/>
        </w:rPr>
        <w:t xml:space="preserve">v </w:t>
      </w:r>
      <w:r w:rsidRPr="00C76534">
        <w:rPr>
          <w:rFonts w:ascii="Calibri" w:hAnsi="Calibri" w:cs="Calibri"/>
          <w:lang w:val="cs-CZ"/>
        </w:rPr>
        <w:t>Přílo</w:t>
      </w:r>
      <w:r w:rsidR="00186A0E">
        <w:rPr>
          <w:rFonts w:ascii="Calibri" w:hAnsi="Calibri" w:cs="Calibri"/>
          <w:lang w:val="cs-CZ"/>
        </w:rPr>
        <w:t>ze</w:t>
      </w:r>
      <w:r w:rsidRPr="00C76534">
        <w:rPr>
          <w:rFonts w:ascii="Calibri" w:hAnsi="Calibri" w:cs="Calibri"/>
          <w:lang w:val="cs-CZ"/>
        </w:rPr>
        <w:t xml:space="preserve"> </w:t>
      </w:r>
      <w:r w:rsidR="00186A0E">
        <w:rPr>
          <w:rFonts w:ascii="Calibri" w:hAnsi="Calibri" w:cs="Calibri"/>
          <w:lang w:val="cs-CZ"/>
        </w:rPr>
        <w:t>A čl. 3</w:t>
      </w:r>
      <w:r w:rsidRPr="00C76534">
        <w:rPr>
          <w:rFonts w:ascii="Calibri" w:hAnsi="Calibri" w:cs="Calibri"/>
          <w:lang w:val="cs-CZ"/>
        </w:rPr>
        <w:t>.</w:t>
      </w:r>
    </w:p>
    <w:p w:rsidR="00D21687" w:rsidRPr="00C76534" w:rsidRDefault="008805D7" w:rsidP="00E64AD2">
      <w:pPr>
        <w:pStyle w:val="Zkladntext"/>
        <w:jc w:val="both"/>
        <w:rPr>
          <w:rFonts w:ascii="Calibri" w:hAnsi="Calibri" w:cs="Calibri"/>
          <w:lang w:val="cs-CZ"/>
        </w:rPr>
      </w:pPr>
      <w:r w:rsidRPr="00C76534">
        <w:rPr>
          <w:rFonts w:ascii="Calibri" w:hAnsi="Calibri" w:cs="Calibri"/>
          <w:lang w:val="cs-CZ"/>
        </w:rPr>
        <w:t xml:space="preserve">2.3 Bez poddodavatelů. </w:t>
      </w:r>
      <w:r w:rsidR="00E77ADC">
        <w:rPr>
          <w:rFonts w:ascii="Calibri" w:hAnsi="Calibri" w:cs="Calibri"/>
          <w:lang w:val="cs-CZ"/>
        </w:rPr>
        <w:t>Dodavatel</w:t>
      </w:r>
      <w:r w:rsidRPr="00C76534">
        <w:rPr>
          <w:rFonts w:ascii="Calibri" w:hAnsi="Calibri" w:cs="Calibri"/>
          <w:lang w:val="cs-CZ"/>
        </w:rPr>
        <w:t xml:space="preserve"> plní vlastními kapacitami.</w:t>
      </w:r>
    </w:p>
    <w:p w:rsidR="00D21687" w:rsidRPr="00C76534" w:rsidRDefault="00D21687">
      <w:pPr>
        <w:rPr>
          <w:rFonts w:ascii="Calibri" w:hAnsi="Calibri" w:cs="Calibri"/>
          <w:lang w:val="cs-CZ"/>
        </w:rPr>
      </w:pPr>
    </w:p>
    <w:p w:rsidR="00D21687" w:rsidRPr="00C76534" w:rsidRDefault="00186A0E">
      <w:pPr>
        <w:pStyle w:val="Nadpis3"/>
        <w:rPr>
          <w:rFonts w:ascii="Calibri" w:hAnsi="Calibri" w:cs="Calibri"/>
          <w:b/>
          <w:bCs/>
          <w:color w:val="215E99" w:themeColor="text2" w:themeTint="BF"/>
          <w:lang w:val="cs-CZ"/>
        </w:rPr>
      </w:pPr>
      <w:bookmarkStart w:id="4" w:name="dodávka-licencí-rozpis-dle-nabídky"/>
      <w:bookmarkEnd w:id="3"/>
      <w:r>
        <w:rPr>
          <w:rFonts w:ascii="Calibri" w:hAnsi="Calibri" w:cs="Calibri"/>
          <w:b/>
          <w:bCs/>
          <w:color w:val="215E99" w:themeColor="text2" w:themeTint="BF"/>
          <w:lang w:val="cs-CZ"/>
        </w:rPr>
        <w:t>3</w:t>
      </w:r>
      <w:r w:rsidRPr="00C76534">
        <w:rPr>
          <w:rFonts w:ascii="Calibri" w:hAnsi="Calibri" w:cs="Calibri"/>
          <w:b/>
          <w:bCs/>
          <w:color w:val="215E99" w:themeColor="text2" w:themeTint="BF"/>
          <w:lang w:val="cs-CZ"/>
        </w:rPr>
        <w:t>. Dodávka licencí</w:t>
      </w:r>
      <w:r w:rsidR="00C76534" w:rsidRPr="00C76534">
        <w:rPr>
          <w:rFonts w:ascii="Calibri" w:hAnsi="Calibri" w:cs="Calibri"/>
          <w:b/>
          <w:bCs/>
          <w:color w:val="215E99" w:themeColor="text2" w:themeTint="BF"/>
          <w:lang w:val="cs-CZ"/>
        </w:rPr>
        <w:t xml:space="preserve"> a IBM technické podpory (S&amp;S)</w:t>
      </w:r>
    </w:p>
    <w:p w:rsidR="0059194B" w:rsidRDefault="00186A0E" w:rsidP="00E64AD2">
      <w:pPr>
        <w:pStyle w:val="FirstParagraph"/>
        <w:jc w:val="both"/>
        <w:rPr>
          <w:rFonts w:ascii="Calibri" w:hAnsi="Calibri" w:cs="Calibri"/>
          <w:lang w:val="cs-CZ"/>
        </w:rPr>
      </w:pPr>
      <w:r>
        <w:rPr>
          <w:rFonts w:ascii="Calibri" w:hAnsi="Calibri" w:cs="Calibri"/>
          <w:lang w:val="cs-CZ"/>
        </w:rPr>
        <w:t>3</w:t>
      </w:r>
      <w:r w:rsidR="0059194B">
        <w:rPr>
          <w:rFonts w:ascii="Calibri" w:hAnsi="Calibri" w:cs="Calibri"/>
          <w:lang w:val="cs-CZ"/>
        </w:rPr>
        <w:t>.1 Licence</w:t>
      </w:r>
    </w:p>
    <w:p w:rsidR="00C76534" w:rsidRPr="00C76534" w:rsidRDefault="008805D7" w:rsidP="00E64AD2">
      <w:pPr>
        <w:pStyle w:val="FirstParagraph"/>
        <w:jc w:val="both"/>
        <w:rPr>
          <w:rFonts w:ascii="Calibri" w:hAnsi="Calibri" w:cs="Calibri"/>
          <w:lang w:val="cs-CZ"/>
        </w:rPr>
      </w:pPr>
      <w:r w:rsidRPr="00C76534">
        <w:rPr>
          <w:rFonts w:ascii="Calibri" w:hAnsi="Calibri" w:cs="Calibri"/>
          <w:lang w:val="cs-CZ"/>
        </w:rPr>
        <w:t xml:space="preserve">D0BNHLL – IBM Informix 4GL </w:t>
      </w:r>
      <w:proofErr w:type="spellStart"/>
      <w:r w:rsidRPr="00C76534">
        <w:rPr>
          <w:rFonts w:ascii="Calibri" w:hAnsi="Calibri" w:cs="Calibri"/>
          <w:lang w:val="cs-CZ"/>
        </w:rPr>
        <w:t>Compiler</w:t>
      </w:r>
      <w:proofErr w:type="spellEnd"/>
      <w:r w:rsidRPr="00C76534">
        <w:rPr>
          <w:rFonts w:ascii="Calibri" w:hAnsi="Calibri" w:cs="Calibri"/>
          <w:lang w:val="cs-CZ"/>
        </w:rPr>
        <w:t xml:space="preserve"> Runtime </w:t>
      </w:r>
      <w:proofErr w:type="spellStart"/>
      <w:r w:rsidRPr="00C76534">
        <w:rPr>
          <w:rFonts w:ascii="Calibri" w:hAnsi="Calibri" w:cs="Calibri"/>
          <w:lang w:val="cs-CZ"/>
        </w:rPr>
        <w:t>Option</w:t>
      </w:r>
      <w:proofErr w:type="spellEnd"/>
      <w:r w:rsidRPr="00C76534">
        <w:rPr>
          <w:rFonts w:ascii="Calibri" w:hAnsi="Calibri" w:cs="Calibri"/>
          <w:lang w:val="cs-CZ"/>
        </w:rPr>
        <w:t xml:space="preserve"> </w:t>
      </w:r>
      <w:proofErr w:type="spellStart"/>
      <w:r w:rsidRPr="00C76534">
        <w:rPr>
          <w:rFonts w:ascii="Calibri" w:hAnsi="Calibri" w:cs="Calibri"/>
          <w:lang w:val="cs-CZ"/>
        </w:rPr>
        <w:t>for</w:t>
      </w:r>
      <w:proofErr w:type="spellEnd"/>
      <w:r w:rsidRPr="00C76534">
        <w:rPr>
          <w:rFonts w:ascii="Calibri" w:hAnsi="Calibri" w:cs="Calibri"/>
          <w:lang w:val="cs-CZ"/>
        </w:rPr>
        <w:t xml:space="preserve"> IDS </w:t>
      </w:r>
      <w:proofErr w:type="spellStart"/>
      <w:r w:rsidRPr="00C76534">
        <w:rPr>
          <w:rFonts w:ascii="Calibri" w:hAnsi="Calibri" w:cs="Calibri"/>
          <w:lang w:val="cs-CZ"/>
        </w:rPr>
        <w:t>Workgroup</w:t>
      </w:r>
      <w:proofErr w:type="spellEnd"/>
      <w:r w:rsidRPr="00C76534">
        <w:rPr>
          <w:rFonts w:ascii="Calibri" w:hAnsi="Calibri" w:cs="Calibri"/>
          <w:lang w:val="cs-CZ"/>
        </w:rPr>
        <w:t xml:space="preserve"> </w:t>
      </w:r>
      <w:proofErr w:type="spellStart"/>
      <w:r w:rsidRPr="00C76534">
        <w:rPr>
          <w:rFonts w:ascii="Calibri" w:hAnsi="Calibri" w:cs="Calibri"/>
          <w:lang w:val="cs-CZ"/>
        </w:rPr>
        <w:t>Edition</w:t>
      </w:r>
      <w:proofErr w:type="spellEnd"/>
      <w:r w:rsidRPr="00C76534">
        <w:rPr>
          <w:rFonts w:ascii="Calibri" w:hAnsi="Calibri" w:cs="Calibri"/>
          <w:lang w:val="cs-CZ"/>
        </w:rPr>
        <w:t xml:space="preserve"> Limited Use </w:t>
      </w:r>
      <w:proofErr w:type="spellStart"/>
      <w:r w:rsidRPr="00C76534">
        <w:rPr>
          <w:rFonts w:ascii="Calibri" w:hAnsi="Calibri" w:cs="Calibri"/>
          <w:lang w:val="cs-CZ"/>
        </w:rPr>
        <w:t>Socket</w:t>
      </w:r>
      <w:proofErr w:type="spellEnd"/>
      <w:r w:rsidRPr="00C76534">
        <w:rPr>
          <w:rFonts w:ascii="Calibri" w:hAnsi="Calibri" w:cs="Calibri"/>
          <w:lang w:val="cs-CZ"/>
        </w:rPr>
        <w:t xml:space="preserve"> </w:t>
      </w:r>
      <w:proofErr w:type="spellStart"/>
      <w:r w:rsidRPr="00C76534">
        <w:rPr>
          <w:rFonts w:ascii="Calibri" w:hAnsi="Calibri" w:cs="Calibri"/>
          <w:lang w:val="cs-CZ"/>
        </w:rPr>
        <w:t>License</w:t>
      </w:r>
      <w:proofErr w:type="spellEnd"/>
      <w:r w:rsidRPr="00C76534">
        <w:rPr>
          <w:rFonts w:ascii="Calibri" w:hAnsi="Calibri" w:cs="Calibri"/>
          <w:lang w:val="cs-CZ"/>
        </w:rPr>
        <w:t xml:space="preserve"> + SW </w:t>
      </w:r>
      <w:proofErr w:type="spellStart"/>
      <w:r w:rsidRPr="00C76534">
        <w:rPr>
          <w:rFonts w:ascii="Calibri" w:hAnsi="Calibri" w:cs="Calibri"/>
          <w:lang w:val="cs-CZ"/>
        </w:rPr>
        <w:t>Subscription</w:t>
      </w:r>
      <w:proofErr w:type="spellEnd"/>
      <w:r w:rsidRPr="00C76534">
        <w:rPr>
          <w:rFonts w:ascii="Calibri" w:hAnsi="Calibri" w:cs="Calibri"/>
          <w:lang w:val="cs-CZ"/>
        </w:rPr>
        <w:t xml:space="preserve"> &amp; Support 12 </w:t>
      </w:r>
      <w:proofErr w:type="spellStart"/>
      <w:r w:rsidRPr="00C76534">
        <w:rPr>
          <w:rFonts w:ascii="Calibri" w:hAnsi="Calibri" w:cs="Calibri"/>
          <w:lang w:val="cs-CZ"/>
        </w:rPr>
        <w:t>Months</w:t>
      </w:r>
      <w:proofErr w:type="spellEnd"/>
      <w:r w:rsidRPr="00C76534">
        <w:rPr>
          <w:rFonts w:ascii="Calibri" w:hAnsi="Calibri" w:cs="Calibri"/>
          <w:lang w:val="cs-CZ"/>
        </w:rPr>
        <w:t xml:space="preserve"> — Množství: </w:t>
      </w:r>
      <w:r w:rsidR="0059194B">
        <w:rPr>
          <w:rFonts w:ascii="Calibri" w:hAnsi="Calibri" w:cs="Calibri"/>
          <w:lang w:val="cs-CZ"/>
        </w:rPr>
        <w:t>1</w:t>
      </w:r>
      <w:r w:rsidR="00E77ADC">
        <w:rPr>
          <w:rFonts w:ascii="Calibri" w:hAnsi="Calibri" w:cs="Calibri"/>
          <w:lang w:val="cs-CZ"/>
        </w:rPr>
        <w:t>.</w:t>
      </w:r>
    </w:p>
    <w:p w:rsidR="00D21687" w:rsidRPr="00C76534" w:rsidRDefault="008805D7" w:rsidP="00E64AD2">
      <w:pPr>
        <w:pStyle w:val="FirstParagraph"/>
        <w:jc w:val="both"/>
        <w:rPr>
          <w:rFonts w:ascii="Calibri" w:hAnsi="Calibri" w:cs="Calibri"/>
          <w:lang w:val="cs-CZ"/>
        </w:rPr>
      </w:pPr>
      <w:r w:rsidRPr="00C76534">
        <w:rPr>
          <w:rFonts w:ascii="Calibri" w:hAnsi="Calibri" w:cs="Calibri"/>
          <w:lang w:val="cs-CZ"/>
        </w:rPr>
        <w:t xml:space="preserve">D6DFPLL – IBM Informix 4GL </w:t>
      </w:r>
      <w:proofErr w:type="spellStart"/>
      <w:r w:rsidRPr="00C76534">
        <w:rPr>
          <w:rFonts w:ascii="Calibri" w:hAnsi="Calibri" w:cs="Calibri"/>
          <w:lang w:val="cs-CZ"/>
        </w:rPr>
        <w:t>Compiler</w:t>
      </w:r>
      <w:proofErr w:type="spellEnd"/>
      <w:r w:rsidRPr="00C76534">
        <w:rPr>
          <w:rFonts w:ascii="Calibri" w:hAnsi="Calibri" w:cs="Calibri"/>
          <w:lang w:val="cs-CZ"/>
        </w:rPr>
        <w:t xml:space="preserve"> </w:t>
      </w:r>
      <w:proofErr w:type="spellStart"/>
      <w:r w:rsidRPr="00C76534">
        <w:rPr>
          <w:rFonts w:ascii="Calibri" w:hAnsi="Calibri" w:cs="Calibri"/>
          <w:lang w:val="cs-CZ"/>
        </w:rPr>
        <w:t>Development</w:t>
      </w:r>
      <w:proofErr w:type="spellEnd"/>
      <w:r w:rsidRPr="00C76534">
        <w:rPr>
          <w:rFonts w:ascii="Calibri" w:hAnsi="Calibri" w:cs="Calibri"/>
          <w:lang w:val="cs-CZ"/>
        </w:rPr>
        <w:t xml:space="preserve"> </w:t>
      </w:r>
      <w:proofErr w:type="spellStart"/>
      <w:r w:rsidRPr="00C76534">
        <w:rPr>
          <w:rFonts w:ascii="Calibri" w:hAnsi="Calibri" w:cs="Calibri"/>
          <w:lang w:val="cs-CZ"/>
        </w:rPr>
        <w:t>Authorized</w:t>
      </w:r>
      <w:proofErr w:type="spellEnd"/>
      <w:r w:rsidRPr="00C76534">
        <w:rPr>
          <w:rFonts w:ascii="Calibri" w:hAnsi="Calibri" w:cs="Calibri"/>
          <w:lang w:val="cs-CZ"/>
        </w:rPr>
        <w:t xml:space="preserve"> User SW </w:t>
      </w:r>
      <w:proofErr w:type="spellStart"/>
      <w:r w:rsidRPr="00C76534">
        <w:rPr>
          <w:rFonts w:ascii="Calibri" w:hAnsi="Calibri" w:cs="Calibri"/>
          <w:lang w:val="cs-CZ"/>
        </w:rPr>
        <w:t>Subscription</w:t>
      </w:r>
      <w:proofErr w:type="spellEnd"/>
      <w:r w:rsidRPr="00C76534">
        <w:rPr>
          <w:rFonts w:ascii="Calibri" w:hAnsi="Calibri" w:cs="Calibri"/>
          <w:lang w:val="cs-CZ"/>
        </w:rPr>
        <w:t xml:space="preserve"> &amp; Support </w:t>
      </w:r>
      <w:proofErr w:type="spellStart"/>
      <w:r w:rsidRPr="00C76534">
        <w:rPr>
          <w:rFonts w:ascii="Calibri" w:hAnsi="Calibri" w:cs="Calibri"/>
          <w:lang w:val="cs-CZ"/>
        </w:rPr>
        <w:t>Reinstatement</w:t>
      </w:r>
      <w:proofErr w:type="spellEnd"/>
      <w:r w:rsidRPr="00C76534">
        <w:rPr>
          <w:rFonts w:ascii="Calibri" w:hAnsi="Calibri" w:cs="Calibri"/>
          <w:lang w:val="cs-CZ"/>
        </w:rPr>
        <w:t xml:space="preserve"> 12 </w:t>
      </w:r>
      <w:proofErr w:type="spellStart"/>
      <w:r w:rsidRPr="00C76534">
        <w:rPr>
          <w:rFonts w:ascii="Calibri" w:hAnsi="Calibri" w:cs="Calibri"/>
          <w:lang w:val="cs-CZ"/>
        </w:rPr>
        <w:t>Months</w:t>
      </w:r>
      <w:proofErr w:type="spellEnd"/>
      <w:r w:rsidRPr="00C76534">
        <w:rPr>
          <w:rFonts w:ascii="Calibri" w:hAnsi="Calibri" w:cs="Calibri"/>
          <w:lang w:val="cs-CZ"/>
        </w:rPr>
        <w:t xml:space="preserve"> — Množství: 3</w:t>
      </w:r>
      <w:r w:rsidR="00E77ADC">
        <w:rPr>
          <w:rFonts w:ascii="Calibri" w:hAnsi="Calibri" w:cs="Calibri"/>
          <w:lang w:val="cs-CZ"/>
        </w:rPr>
        <w:t>.</w:t>
      </w:r>
    </w:p>
    <w:p w:rsidR="00C76534" w:rsidRPr="0059194B" w:rsidRDefault="00186A0E" w:rsidP="0059194B">
      <w:pPr>
        <w:pStyle w:val="FirstParagraph"/>
        <w:jc w:val="both"/>
        <w:rPr>
          <w:rFonts w:ascii="Calibri" w:hAnsi="Calibri" w:cs="Calibri"/>
          <w:lang w:val="cs-CZ"/>
        </w:rPr>
      </w:pPr>
      <w:r>
        <w:rPr>
          <w:rFonts w:ascii="Calibri" w:hAnsi="Calibri" w:cs="Calibri"/>
          <w:lang w:val="cs-CZ"/>
        </w:rPr>
        <w:t>3</w:t>
      </w:r>
      <w:r w:rsidRPr="0059194B">
        <w:rPr>
          <w:rFonts w:ascii="Calibri" w:hAnsi="Calibri" w:cs="Calibri"/>
          <w:lang w:val="cs-CZ"/>
        </w:rPr>
        <w:t xml:space="preserve">.2 Prodloužení </w:t>
      </w:r>
      <w:r w:rsidR="00C76534" w:rsidRPr="0059194B">
        <w:rPr>
          <w:rFonts w:ascii="Calibri" w:hAnsi="Calibri" w:cs="Calibri"/>
          <w:lang w:val="cs-CZ"/>
        </w:rPr>
        <w:t xml:space="preserve">IBM technické </w:t>
      </w:r>
      <w:r w:rsidRPr="0059194B">
        <w:rPr>
          <w:rFonts w:ascii="Calibri" w:hAnsi="Calibri" w:cs="Calibri"/>
          <w:lang w:val="cs-CZ"/>
        </w:rPr>
        <w:t xml:space="preserve">podpory </w:t>
      </w:r>
      <w:r w:rsidR="00C76534" w:rsidRPr="0059194B">
        <w:rPr>
          <w:rFonts w:ascii="Calibri" w:hAnsi="Calibri" w:cs="Calibri"/>
          <w:lang w:val="cs-CZ"/>
        </w:rPr>
        <w:t xml:space="preserve">licencí </w:t>
      </w:r>
      <w:r w:rsidRPr="0059194B">
        <w:rPr>
          <w:rFonts w:ascii="Calibri" w:hAnsi="Calibri" w:cs="Calibri"/>
          <w:lang w:val="cs-CZ"/>
        </w:rPr>
        <w:t>o další rok</w:t>
      </w:r>
    </w:p>
    <w:p w:rsidR="00C76534" w:rsidRPr="00C76534" w:rsidRDefault="008805D7" w:rsidP="00E64AD2">
      <w:pPr>
        <w:pStyle w:val="FirstParagraph"/>
        <w:jc w:val="both"/>
        <w:rPr>
          <w:rFonts w:ascii="Calibri" w:hAnsi="Calibri" w:cs="Calibri"/>
          <w:lang w:val="cs-CZ"/>
        </w:rPr>
      </w:pPr>
      <w:r w:rsidRPr="00C76534">
        <w:rPr>
          <w:rFonts w:ascii="Calibri" w:hAnsi="Calibri" w:cs="Calibri"/>
          <w:lang w:val="cs-CZ"/>
        </w:rPr>
        <w:t xml:space="preserve">E085KLL – IBM Informix 4GL </w:t>
      </w:r>
      <w:proofErr w:type="spellStart"/>
      <w:r w:rsidRPr="00C76534">
        <w:rPr>
          <w:rFonts w:ascii="Calibri" w:hAnsi="Calibri" w:cs="Calibri"/>
          <w:lang w:val="cs-CZ"/>
        </w:rPr>
        <w:t>Compiler</w:t>
      </w:r>
      <w:proofErr w:type="spellEnd"/>
      <w:r w:rsidRPr="00C76534">
        <w:rPr>
          <w:rFonts w:ascii="Calibri" w:hAnsi="Calibri" w:cs="Calibri"/>
          <w:lang w:val="cs-CZ"/>
        </w:rPr>
        <w:t xml:space="preserve"> Runtime </w:t>
      </w:r>
      <w:proofErr w:type="spellStart"/>
      <w:r w:rsidRPr="00C76534">
        <w:rPr>
          <w:rFonts w:ascii="Calibri" w:hAnsi="Calibri" w:cs="Calibri"/>
          <w:lang w:val="cs-CZ"/>
        </w:rPr>
        <w:t>Option</w:t>
      </w:r>
      <w:proofErr w:type="spellEnd"/>
      <w:r w:rsidRPr="00C76534">
        <w:rPr>
          <w:rFonts w:ascii="Calibri" w:hAnsi="Calibri" w:cs="Calibri"/>
          <w:lang w:val="cs-CZ"/>
        </w:rPr>
        <w:t xml:space="preserve"> </w:t>
      </w:r>
      <w:proofErr w:type="spellStart"/>
      <w:r w:rsidRPr="00C76534">
        <w:rPr>
          <w:rFonts w:ascii="Calibri" w:hAnsi="Calibri" w:cs="Calibri"/>
          <w:lang w:val="cs-CZ"/>
        </w:rPr>
        <w:t>for</w:t>
      </w:r>
      <w:proofErr w:type="spellEnd"/>
      <w:r w:rsidRPr="00C76534">
        <w:rPr>
          <w:rFonts w:ascii="Calibri" w:hAnsi="Calibri" w:cs="Calibri"/>
          <w:lang w:val="cs-CZ"/>
        </w:rPr>
        <w:t xml:space="preserve"> IDS </w:t>
      </w:r>
      <w:proofErr w:type="spellStart"/>
      <w:r w:rsidRPr="00C76534">
        <w:rPr>
          <w:rFonts w:ascii="Calibri" w:hAnsi="Calibri" w:cs="Calibri"/>
          <w:lang w:val="cs-CZ"/>
        </w:rPr>
        <w:t>Workgroup</w:t>
      </w:r>
      <w:proofErr w:type="spellEnd"/>
      <w:r w:rsidRPr="00C76534">
        <w:rPr>
          <w:rFonts w:ascii="Calibri" w:hAnsi="Calibri" w:cs="Calibri"/>
          <w:lang w:val="cs-CZ"/>
        </w:rPr>
        <w:t xml:space="preserve"> </w:t>
      </w:r>
      <w:proofErr w:type="spellStart"/>
      <w:r w:rsidRPr="00C76534">
        <w:rPr>
          <w:rFonts w:ascii="Calibri" w:hAnsi="Calibri" w:cs="Calibri"/>
          <w:lang w:val="cs-CZ"/>
        </w:rPr>
        <w:t>Edition</w:t>
      </w:r>
      <w:proofErr w:type="spellEnd"/>
      <w:r w:rsidRPr="00C76534">
        <w:rPr>
          <w:rFonts w:ascii="Calibri" w:hAnsi="Calibri" w:cs="Calibri"/>
          <w:lang w:val="cs-CZ"/>
        </w:rPr>
        <w:t xml:space="preserve"> Limited Use </w:t>
      </w:r>
      <w:proofErr w:type="spellStart"/>
      <w:r w:rsidRPr="00C76534">
        <w:rPr>
          <w:rFonts w:ascii="Calibri" w:hAnsi="Calibri" w:cs="Calibri"/>
          <w:lang w:val="cs-CZ"/>
        </w:rPr>
        <w:t>Socket</w:t>
      </w:r>
      <w:proofErr w:type="spellEnd"/>
      <w:r w:rsidRPr="00C76534">
        <w:rPr>
          <w:rFonts w:ascii="Calibri" w:hAnsi="Calibri" w:cs="Calibri"/>
          <w:lang w:val="cs-CZ"/>
        </w:rPr>
        <w:t xml:space="preserve"> </w:t>
      </w:r>
      <w:proofErr w:type="spellStart"/>
      <w:r w:rsidRPr="00C76534">
        <w:rPr>
          <w:rFonts w:ascii="Calibri" w:hAnsi="Calibri" w:cs="Calibri"/>
          <w:lang w:val="cs-CZ"/>
        </w:rPr>
        <w:t>Annual</w:t>
      </w:r>
      <w:proofErr w:type="spellEnd"/>
      <w:r w:rsidRPr="00C76534">
        <w:rPr>
          <w:rFonts w:ascii="Calibri" w:hAnsi="Calibri" w:cs="Calibri"/>
          <w:lang w:val="cs-CZ"/>
        </w:rPr>
        <w:t xml:space="preserve"> SW </w:t>
      </w:r>
      <w:proofErr w:type="spellStart"/>
      <w:r w:rsidRPr="00C76534">
        <w:rPr>
          <w:rFonts w:ascii="Calibri" w:hAnsi="Calibri" w:cs="Calibri"/>
          <w:lang w:val="cs-CZ"/>
        </w:rPr>
        <w:t>Subscription</w:t>
      </w:r>
      <w:proofErr w:type="spellEnd"/>
      <w:r w:rsidRPr="00C76534">
        <w:rPr>
          <w:rFonts w:ascii="Calibri" w:hAnsi="Calibri" w:cs="Calibri"/>
          <w:lang w:val="cs-CZ"/>
        </w:rPr>
        <w:t xml:space="preserve"> &amp; Support </w:t>
      </w:r>
      <w:proofErr w:type="spellStart"/>
      <w:r w:rsidRPr="00C76534">
        <w:rPr>
          <w:rFonts w:ascii="Calibri" w:hAnsi="Calibri" w:cs="Calibri"/>
          <w:lang w:val="cs-CZ"/>
        </w:rPr>
        <w:t>Renewal</w:t>
      </w:r>
      <w:proofErr w:type="spellEnd"/>
      <w:r w:rsidRPr="00C76534">
        <w:rPr>
          <w:rFonts w:ascii="Calibri" w:hAnsi="Calibri" w:cs="Calibri"/>
          <w:lang w:val="cs-CZ"/>
        </w:rPr>
        <w:t xml:space="preserve"> — Množství: 1</w:t>
      </w:r>
      <w:r w:rsidR="00E77ADC">
        <w:rPr>
          <w:rFonts w:ascii="Calibri" w:hAnsi="Calibri" w:cs="Calibri"/>
          <w:lang w:val="cs-CZ"/>
        </w:rPr>
        <w:t>.</w:t>
      </w:r>
    </w:p>
    <w:p w:rsidR="00D21687" w:rsidRPr="00C76534" w:rsidRDefault="008805D7" w:rsidP="00E64AD2">
      <w:pPr>
        <w:pStyle w:val="FirstParagraph"/>
        <w:jc w:val="both"/>
        <w:rPr>
          <w:rFonts w:ascii="Calibri" w:hAnsi="Calibri" w:cs="Calibri"/>
          <w:lang w:val="cs-CZ"/>
        </w:rPr>
      </w:pPr>
      <w:r w:rsidRPr="00C76534">
        <w:rPr>
          <w:rFonts w:ascii="Calibri" w:hAnsi="Calibri" w:cs="Calibri"/>
          <w:lang w:val="cs-CZ"/>
        </w:rPr>
        <w:t xml:space="preserve">E2DFNLL – IBM Informix 4GL </w:t>
      </w:r>
      <w:proofErr w:type="spellStart"/>
      <w:r w:rsidRPr="00C76534">
        <w:rPr>
          <w:rFonts w:ascii="Calibri" w:hAnsi="Calibri" w:cs="Calibri"/>
          <w:lang w:val="cs-CZ"/>
        </w:rPr>
        <w:t>Compiler</w:t>
      </w:r>
      <w:proofErr w:type="spellEnd"/>
      <w:r w:rsidRPr="00C76534">
        <w:rPr>
          <w:rFonts w:ascii="Calibri" w:hAnsi="Calibri" w:cs="Calibri"/>
          <w:lang w:val="cs-CZ"/>
        </w:rPr>
        <w:t xml:space="preserve"> </w:t>
      </w:r>
      <w:proofErr w:type="spellStart"/>
      <w:r w:rsidRPr="00C76534">
        <w:rPr>
          <w:rFonts w:ascii="Calibri" w:hAnsi="Calibri" w:cs="Calibri"/>
          <w:lang w:val="cs-CZ"/>
        </w:rPr>
        <w:t>Development</w:t>
      </w:r>
      <w:proofErr w:type="spellEnd"/>
      <w:r w:rsidRPr="00C76534">
        <w:rPr>
          <w:rFonts w:ascii="Calibri" w:hAnsi="Calibri" w:cs="Calibri"/>
          <w:lang w:val="cs-CZ"/>
        </w:rPr>
        <w:t xml:space="preserve"> </w:t>
      </w:r>
      <w:proofErr w:type="spellStart"/>
      <w:r w:rsidRPr="00C76534">
        <w:rPr>
          <w:rFonts w:ascii="Calibri" w:hAnsi="Calibri" w:cs="Calibri"/>
          <w:lang w:val="cs-CZ"/>
        </w:rPr>
        <w:t>Authorized</w:t>
      </w:r>
      <w:proofErr w:type="spellEnd"/>
      <w:r w:rsidRPr="00C76534">
        <w:rPr>
          <w:rFonts w:ascii="Calibri" w:hAnsi="Calibri" w:cs="Calibri"/>
          <w:lang w:val="cs-CZ"/>
        </w:rPr>
        <w:t xml:space="preserve"> User </w:t>
      </w:r>
      <w:proofErr w:type="spellStart"/>
      <w:r w:rsidRPr="00C76534">
        <w:rPr>
          <w:rFonts w:ascii="Calibri" w:hAnsi="Calibri" w:cs="Calibri"/>
          <w:lang w:val="cs-CZ"/>
        </w:rPr>
        <w:t>Annual</w:t>
      </w:r>
      <w:proofErr w:type="spellEnd"/>
      <w:r w:rsidRPr="00C76534">
        <w:rPr>
          <w:rFonts w:ascii="Calibri" w:hAnsi="Calibri" w:cs="Calibri"/>
          <w:lang w:val="cs-CZ"/>
        </w:rPr>
        <w:t xml:space="preserve"> SW </w:t>
      </w:r>
      <w:proofErr w:type="spellStart"/>
      <w:r w:rsidRPr="00C76534">
        <w:rPr>
          <w:rFonts w:ascii="Calibri" w:hAnsi="Calibri" w:cs="Calibri"/>
          <w:lang w:val="cs-CZ"/>
        </w:rPr>
        <w:t>Subscription</w:t>
      </w:r>
      <w:proofErr w:type="spellEnd"/>
      <w:r w:rsidRPr="00C76534">
        <w:rPr>
          <w:rFonts w:ascii="Calibri" w:hAnsi="Calibri" w:cs="Calibri"/>
          <w:lang w:val="cs-CZ"/>
        </w:rPr>
        <w:t xml:space="preserve"> &amp; Support </w:t>
      </w:r>
      <w:proofErr w:type="spellStart"/>
      <w:r w:rsidRPr="00C76534">
        <w:rPr>
          <w:rFonts w:ascii="Calibri" w:hAnsi="Calibri" w:cs="Calibri"/>
          <w:lang w:val="cs-CZ"/>
        </w:rPr>
        <w:t>Renewal</w:t>
      </w:r>
      <w:proofErr w:type="spellEnd"/>
      <w:r w:rsidRPr="00C76534">
        <w:rPr>
          <w:rFonts w:ascii="Calibri" w:hAnsi="Calibri" w:cs="Calibri"/>
          <w:lang w:val="cs-CZ"/>
        </w:rPr>
        <w:t xml:space="preserve"> — Množství: 3</w:t>
      </w:r>
      <w:r w:rsidR="00E77ADC">
        <w:rPr>
          <w:rFonts w:ascii="Calibri" w:hAnsi="Calibri" w:cs="Calibri"/>
          <w:lang w:val="cs-CZ"/>
        </w:rPr>
        <w:t>.</w:t>
      </w:r>
    </w:p>
    <w:p w:rsidR="00D21687" w:rsidRPr="00C76534" w:rsidRDefault="00D21687">
      <w:pPr>
        <w:rPr>
          <w:rFonts w:ascii="Calibri" w:hAnsi="Calibri" w:cs="Calibri"/>
          <w:lang w:val="cs-CZ"/>
        </w:rPr>
      </w:pPr>
    </w:p>
    <w:p w:rsidR="00D21687" w:rsidRPr="00C76534" w:rsidRDefault="00186A0E">
      <w:pPr>
        <w:pStyle w:val="Nadpis3"/>
        <w:rPr>
          <w:rFonts w:ascii="Calibri" w:hAnsi="Calibri" w:cs="Calibri"/>
          <w:b/>
          <w:bCs/>
          <w:color w:val="215E99" w:themeColor="text2" w:themeTint="BF"/>
          <w:lang w:val="cs-CZ"/>
        </w:rPr>
      </w:pPr>
      <w:bookmarkStart w:id="5" w:name="služba-migrace-ibm-ids-specifikace"/>
      <w:bookmarkEnd w:id="4"/>
      <w:r>
        <w:rPr>
          <w:rFonts w:ascii="Calibri" w:hAnsi="Calibri" w:cs="Calibri"/>
          <w:b/>
          <w:bCs/>
          <w:color w:val="215E99" w:themeColor="text2" w:themeTint="BF"/>
          <w:lang w:val="cs-CZ"/>
        </w:rPr>
        <w:t>4</w:t>
      </w:r>
      <w:r w:rsidRPr="00C76534">
        <w:rPr>
          <w:rFonts w:ascii="Calibri" w:hAnsi="Calibri" w:cs="Calibri"/>
          <w:b/>
          <w:bCs/>
          <w:color w:val="215E99" w:themeColor="text2" w:themeTint="BF"/>
          <w:lang w:val="cs-CZ"/>
        </w:rPr>
        <w:t>. Služba migrace IBM IDS – specifikace</w:t>
      </w:r>
    </w:p>
    <w:p w:rsidR="00E64AD2" w:rsidRPr="0059194B" w:rsidRDefault="00186A0E" w:rsidP="0059194B">
      <w:pPr>
        <w:pStyle w:val="FirstParagraph"/>
        <w:jc w:val="both"/>
        <w:rPr>
          <w:rFonts w:ascii="Calibri" w:hAnsi="Calibri" w:cs="Calibri"/>
          <w:lang w:val="cs-CZ"/>
        </w:rPr>
      </w:pPr>
      <w:r>
        <w:rPr>
          <w:rFonts w:ascii="Calibri" w:hAnsi="Calibri" w:cs="Calibri"/>
          <w:lang w:val="cs-CZ"/>
        </w:rPr>
        <w:t>4.1</w:t>
      </w:r>
      <w:r w:rsidRPr="0059194B">
        <w:rPr>
          <w:rFonts w:ascii="Calibri" w:hAnsi="Calibri" w:cs="Calibri"/>
          <w:lang w:val="cs-CZ"/>
        </w:rPr>
        <w:t xml:space="preserve"> Jednotlivé kroky </w:t>
      </w:r>
    </w:p>
    <w:p w:rsidR="00E64AD2" w:rsidRPr="00E64AD2" w:rsidRDefault="00E64AD2" w:rsidP="00E64AD2">
      <w:pPr>
        <w:numPr>
          <w:ilvl w:val="0"/>
          <w:numId w:val="8"/>
        </w:numPr>
        <w:tabs>
          <w:tab w:val="num" w:pos="1800"/>
        </w:tabs>
        <w:spacing w:after="160" w:line="259" w:lineRule="auto"/>
        <w:ind w:left="1800"/>
        <w:rPr>
          <w:rFonts w:ascii="Calibri" w:hAnsi="Calibri" w:cs="Calibri"/>
          <w:lang w:val="cs-CZ"/>
        </w:rPr>
      </w:pPr>
      <w:r w:rsidRPr="00E64AD2">
        <w:rPr>
          <w:rFonts w:ascii="Calibri" w:hAnsi="Calibri" w:cs="Calibri"/>
          <w:b/>
          <w:bCs/>
          <w:lang w:val="cs-CZ"/>
        </w:rPr>
        <w:t>Úvodní analýza a návrh řešení</w:t>
      </w:r>
    </w:p>
    <w:p w:rsidR="00E64AD2" w:rsidRPr="00E64AD2" w:rsidRDefault="00E64AD2" w:rsidP="00E64AD2">
      <w:pPr>
        <w:numPr>
          <w:ilvl w:val="1"/>
          <w:numId w:val="8"/>
        </w:numPr>
        <w:tabs>
          <w:tab w:val="num" w:pos="2520"/>
        </w:tabs>
        <w:spacing w:after="160" w:line="259" w:lineRule="auto"/>
        <w:ind w:left="2520"/>
        <w:rPr>
          <w:rFonts w:ascii="Calibri" w:hAnsi="Calibri" w:cs="Calibri"/>
          <w:lang w:val="cs-CZ"/>
        </w:rPr>
      </w:pPr>
      <w:r w:rsidRPr="00E64AD2">
        <w:rPr>
          <w:rFonts w:ascii="Calibri" w:hAnsi="Calibri" w:cs="Calibri"/>
          <w:lang w:val="cs-CZ"/>
        </w:rPr>
        <w:t>Audit stávající konfigurace IDS serveru</w:t>
      </w:r>
    </w:p>
    <w:p w:rsidR="00E64AD2" w:rsidRPr="00E64AD2" w:rsidRDefault="00E64AD2" w:rsidP="00E64AD2">
      <w:pPr>
        <w:numPr>
          <w:ilvl w:val="1"/>
          <w:numId w:val="8"/>
        </w:numPr>
        <w:tabs>
          <w:tab w:val="num" w:pos="2520"/>
        </w:tabs>
        <w:spacing w:after="160" w:line="259" w:lineRule="auto"/>
        <w:ind w:left="2520"/>
        <w:rPr>
          <w:rFonts w:ascii="Calibri" w:hAnsi="Calibri" w:cs="Calibri"/>
          <w:lang w:val="cs-CZ"/>
        </w:rPr>
      </w:pPr>
      <w:r w:rsidRPr="00E64AD2">
        <w:rPr>
          <w:rFonts w:ascii="Calibri" w:hAnsi="Calibri" w:cs="Calibri"/>
          <w:lang w:val="cs-CZ"/>
        </w:rPr>
        <w:t>Monitoring výkonu a identifikace slabých míst</w:t>
      </w:r>
    </w:p>
    <w:p w:rsidR="00E64AD2" w:rsidRPr="00E64AD2" w:rsidRDefault="00E64AD2" w:rsidP="00E64AD2">
      <w:pPr>
        <w:numPr>
          <w:ilvl w:val="1"/>
          <w:numId w:val="8"/>
        </w:numPr>
        <w:tabs>
          <w:tab w:val="num" w:pos="2520"/>
        </w:tabs>
        <w:spacing w:after="160" w:line="259" w:lineRule="auto"/>
        <w:ind w:left="2520"/>
        <w:rPr>
          <w:rFonts w:ascii="Calibri" w:hAnsi="Calibri" w:cs="Calibri"/>
          <w:lang w:val="cs-CZ"/>
        </w:rPr>
      </w:pPr>
      <w:r w:rsidRPr="00E64AD2">
        <w:rPr>
          <w:rFonts w:ascii="Calibri" w:hAnsi="Calibri" w:cs="Calibri"/>
          <w:lang w:val="cs-CZ"/>
        </w:rPr>
        <w:t>Návrh optimalizací a konfiguračních úprav</w:t>
      </w:r>
    </w:p>
    <w:p w:rsidR="00E64AD2" w:rsidRPr="00E64AD2" w:rsidRDefault="00E64AD2" w:rsidP="00E64AD2">
      <w:pPr>
        <w:numPr>
          <w:ilvl w:val="1"/>
          <w:numId w:val="8"/>
        </w:numPr>
        <w:tabs>
          <w:tab w:val="num" w:pos="2520"/>
        </w:tabs>
        <w:spacing w:after="160" w:line="259" w:lineRule="auto"/>
        <w:ind w:left="2520"/>
        <w:rPr>
          <w:rFonts w:ascii="Calibri" w:hAnsi="Calibri" w:cs="Calibri"/>
          <w:lang w:val="cs-CZ"/>
        </w:rPr>
      </w:pPr>
      <w:r w:rsidRPr="00E64AD2">
        <w:rPr>
          <w:rFonts w:ascii="Calibri" w:hAnsi="Calibri" w:cs="Calibri"/>
          <w:lang w:val="cs-CZ"/>
        </w:rPr>
        <w:t>Kontrola licencí </w:t>
      </w:r>
    </w:p>
    <w:p w:rsidR="00E64AD2" w:rsidRPr="00E64AD2" w:rsidRDefault="00E64AD2" w:rsidP="00A56FF6">
      <w:pPr>
        <w:pStyle w:val="Odstavecseseznamem"/>
        <w:numPr>
          <w:ilvl w:val="0"/>
          <w:numId w:val="8"/>
        </w:numPr>
      </w:pPr>
      <w:r w:rsidRPr="00E64AD2">
        <w:t>Systémové požadavky a návrh infrastruktury</w:t>
      </w:r>
    </w:p>
    <w:p w:rsidR="00E64AD2" w:rsidRPr="00E64AD2" w:rsidRDefault="00E64AD2" w:rsidP="00E64AD2">
      <w:pPr>
        <w:numPr>
          <w:ilvl w:val="1"/>
          <w:numId w:val="8"/>
        </w:numPr>
        <w:tabs>
          <w:tab w:val="num" w:pos="2520"/>
        </w:tabs>
        <w:spacing w:after="160" w:line="259" w:lineRule="auto"/>
        <w:ind w:left="2520"/>
        <w:rPr>
          <w:rFonts w:ascii="Calibri" w:hAnsi="Calibri" w:cs="Calibri"/>
          <w:lang w:val="cs-CZ"/>
        </w:rPr>
      </w:pPr>
      <w:r w:rsidRPr="00E64AD2">
        <w:rPr>
          <w:rFonts w:ascii="Calibri" w:hAnsi="Calibri" w:cs="Calibri"/>
          <w:lang w:val="cs-CZ"/>
        </w:rPr>
        <w:t>Návrh a potvrzení OS a kernelu pro cílové DB servery a další specifické požadavky</w:t>
      </w:r>
    </w:p>
    <w:p w:rsidR="00E64AD2" w:rsidRPr="00E64AD2" w:rsidRDefault="00E64AD2" w:rsidP="00E64AD2">
      <w:pPr>
        <w:numPr>
          <w:ilvl w:val="1"/>
          <w:numId w:val="8"/>
        </w:numPr>
        <w:tabs>
          <w:tab w:val="num" w:pos="2520"/>
        </w:tabs>
        <w:spacing w:after="160" w:line="259" w:lineRule="auto"/>
        <w:ind w:left="2520"/>
        <w:rPr>
          <w:rFonts w:ascii="Calibri" w:hAnsi="Calibri" w:cs="Calibri"/>
          <w:lang w:val="cs-CZ"/>
        </w:rPr>
      </w:pPr>
      <w:r w:rsidRPr="00E64AD2">
        <w:rPr>
          <w:rFonts w:ascii="Calibri" w:hAnsi="Calibri" w:cs="Calibri"/>
          <w:lang w:val="cs-CZ"/>
        </w:rPr>
        <w:t>Návrh na OS Aplikačního serveru a další specifické požadavky</w:t>
      </w:r>
    </w:p>
    <w:p w:rsidR="00E64AD2" w:rsidRPr="00E64AD2" w:rsidRDefault="00E64AD2" w:rsidP="00A56FF6">
      <w:pPr>
        <w:pStyle w:val="Odstavecseseznamem"/>
        <w:numPr>
          <w:ilvl w:val="0"/>
          <w:numId w:val="8"/>
        </w:numPr>
      </w:pPr>
      <w:r w:rsidRPr="00E64AD2">
        <w:t>Instalace cílového prostředí</w:t>
      </w:r>
    </w:p>
    <w:p w:rsidR="00E64AD2" w:rsidRPr="00E64AD2" w:rsidRDefault="00E64AD2" w:rsidP="00E64AD2">
      <w:pPr>
        <w:numPr>
          <w:ilvl w:val="1"/>
          <w:numId w:val="8"/>
        </w:numPr>
        <w:tabs>
          <w:tab w:val="num" w:pos="2520"/>
        </w:tabs>
        <w:spacing w:after="160" w:line="259" w:lineRule="auto"/>
        <w:ind w:left="2520"/>
        <w:rPr>
          <w:rFonts w:ascii="Calibri" w:hAnsi="Calibri" w:cs="Calibri"/>
          <w:lang w:val="cs-CZ"/>
        </w:rPr>
      </w:pPr>
      <w:r w:rsidRPr="00E64AD2">
        <w:rPr>
          <w:rFonts w:ascii="Calibri" w:hAnsi="Calibri" w:cs="Calibri"/>
          <w:lang w:val="cs-CZ"/>
        </w:rPr>
        <w:t>Instalace a základní konfigurace Informix IDS 14.10 nebo 15.0 shodně na oba provozní DB servery dle doporučení</w:t>
      </w:r>
    </w:p>
    <w:p w:rsidR="00E64AD2" w:rsidRPr="00E64AD2" w:rsidRDefault="00E64AD2" w:rsidP="00E64AD2">
      <w:pPr>
        <w:numPr>
          <w:ilvl w:val="1"/>
          <w:numId w:val="8"/>
        </w:numPr>
        <w:tabs>
          <w:tab w:val="num" w:pos="2520"/>
        </w:tabs>
        <w:spacing w:after="160" w:line="259" w:lineRule="auto"/>
        <w:ind w:left="2520"/>
        <w:rPr>
          <w:rFonts w:ascii="Calibri" w:hAnsi="Calibri" w:cs="Calibri"/>
          <w:lang w:val="cs-CZ"/>
        </w:rPr>
      </w:pPr>
      <w:r w:rsidRPr="00E64AD2">
        <w:rPr>
          <w:rFonts w:ascii="Calibri" w:hAnsi="Calibri" w:cs="Calibri"/>
          <w:lang w:val="cs-CZ"/>
        </w:rPr>
        <w:t>Instalace a základní konfigurace Informix IDS 14.10 nebo 15.0 na testovací DB server dle doporučení</w:t>
      </w:r>
    </w:p>
    <w:p w:rsidR="00E64AD2" w:rsidRPr="00E64AD2" w:rsidRDefault="00E64AD2" w:rsidP="00E64AD2">
      <w:pPr>
        <w:numPr>
          <w:ilvl w:val="1"/>
          <w:numId w:val="8"/>
        </w:numPr>
        <w:tabs>
          <w:tab w:val="num" w:pos="2520"/>
        </w:tabs>
        <w:spacing w:after="160" w:line="259" w:lineRule="auto"/>
        <w:ind w:left="2520"/>
        <w:rPr>
          <w:rFonts w:ascii="Calibri" w:hAnsi="Calibri" w:cs="Calibri"/>
          <w:lang w:val="cs-CZ"/>
        </w:rPr>
      </w:pPr>
      <w:r w:rsidRPr="00E64AD2">
        <w:rPr>
          <w:rFonts w:ascii="Calibri" w:hAnsi="Calibri" w:cs="Calibri"/>
          <w:lang w:val="cs-CZ"/>
        </w:rPr>
        <w:lastRenderedPageBreak/>
        <w:t>Instalace Informix 4GL runtime a developer nástrojů včetně potřebných knihoven</w:t>
      </w:r>
    </w:p>
    <w:p w:rsidR="00E64AD2" w:rsidRPr="00E64AD2" w:rsidRDefault="00E64AD2" w:rsidP="00E64AD2">
      <w:pPr>
        <w:numPr>
          <w:ilvl w:val="1"/>
          <w:numId w:val="8"/>
        </w:numPr>
        <w:tabs>
          <w:tab w:val="num" w:pos="2520"/>
        </w:tabs>
        <w:spacing w:after="160" w:line="259" w:lineRule="auto"/>
        <w:ind w:left="2520"/>
        <w:rPr>
          <w:rFonts w:ascii="Calibri" w:hAnsi="Calibri" w:cs="Calibri"/>
          <w:lang w:val="cs-CZ"/>
        </w:rPr>
      </w:pPr>
      <w:r w:rsidRPr="00E64AD2">
        <w:rPr>
          <w:rFonts w:ascii="Calibri" w:hAnsi="Calibri" w:cs="Calibri"/>
          <w:lang w:val="cs-CZ"/>
        </w:rPr>
        <w:t xml:space="preserve">Instalace </w:t>
      </w:r>
      <w:proofErr w:type="spellStart"/>
      <w:r w:rsidRPr="00E64AD2">
        <w:rPr>
          <w:rFonts w:ascii="Calibri" w:hAnsi="Calibri" w:cs="Calibri"/>
          <w:lang w:val="cs-CZ"/>
        </w:rPr>
        <w:t>Connection</w:t>
      </w:r>
      <w:proofErr w:type="spellEnd"/>
      <w:r w:rsidRPr="00E64AD2">
        <w:rPr>
          <w:rFonts w:ascii="Calibri" w:hAnsi="Calibri" w:cs="Calibri"/>
          <w:lang w:val="cs-CZ"/>
        </w:rPr>
        <w:t xml:space="preserve"> </w:t>
      </w:r>
      <w:proofErr w:type="spellStart"/>
      <w:r w:rsidRPr="00E64AD2">
        <w:rPr>
          <w:rFonts w:ascii="Calibri" w:hAnsi="Calibri" w:cs="Calibri"/>
          <w:lang w:val="cs-CZ"/>
        </w:rPr>
        <w:t>Manageru</w:t>
      </w:r>
      <w:proofErr w:type="spellEnd"/>
      <w:r w:rsidRPr="00E64AD2">
        <w:rPr>
          <w:rFonts w:ascii="Calibri" w:hAnsi="Calibri" w:cs="Calibri"/>
          <w:lang w:val="cs-CZ"/>
        </w:rPr>
        <w:t xml:space="preserve"> na aplikačním serveru</w:t>
      </w:r>
    </w:p>
    <w:p w:rsidR="00E64AD2" w:rsidRPr="00E64AD2" w:rsidRDefault="00E64AD2" w:rsidP="00E64AD2">
      <w:pPr>
        <w:numPr>
          <w:ilvl w:val="1"/>
          <w:numId w:val="8"/>
        </w:numPr>
        <w:tabs>
          <w:tab w:val="num" w:pos="2520"/>
        </w:tabs>
        <w:spacing w:after="160" w:line="259" w:lineRule="auto"/>
        <w:ind w:left="2520"/>
        <w:rPr>
          <w:rFonts w:ascii="Calibri" w:hAnsi="Calibri" w:cs="Calibri"/>
          <w:lang w:val="cs-CZ"/>
        </w:rPr>
      </w:pPr>
      <w:r w:rsidRPr="00E64AD2">
        <w:rPr>
          <w:rFonts w:ascii="Calibri" w:hAnsi="Calibri" w:cs="Calibri"/>
          <w:lang w:val="cs-CZ"/>
        </w:rPr>
        <w:t>Ukázková instalace JDBC na klientské stanici, kontrola připojení aplikací k DB (</w:t>
      </w:r>
      <w:proofErr w:type="spellStart"/>
      <w:r w:rsidRPr="00E64AD2">
        <w:rPr>
          <w:rFonts w:ascii="Calibri" w:hAnsi="Calibri" w:cs="Calibri"/>
          <w:lang w:val="cs-CZ"/>
        </w:rPr>
        <w:t>onsoctcp</w:t>
      </w:r>
      <w:proofErr w:type="spellEnd"/>
      <w:r w:rsidRPr="00E64AD2">
        <w:rPr>
          <w:rFonts w:ascii="Calibri" w:hAnsi="Calibri" w:cs="Calibri"/>
          <w:lang w:val="cs-CZ"/>
        </w:rPr>
        <w:t xml:space="preserve">, </w:t>
      </w:r>
      <w:proofErr w:type="spellStart"/>
      <w:r w:rsidRPr="00E64AD2">
        <w:rPr>
          <w:rFonts w:ascii="Calibri" w:hAnsi="Calibri" w:cs="Calibri"/>
          <w:lang w:val="cs-CZ"/>
        </w:rPr>
        <w:t>drsoctcp</w:t>
      </w:r>
      <w:proofErr w:type="spellEnd"/>
      <w:r w:rsidRPr="00E64AD2">
        <w:rPr>
          <w:rFonts w:ascii="Calibri" w:hAnsi="Calibri" w:cs="Calibri"/>
          <w:lang w:val="cs-CZ"/>
        </w:rPr>
        <w:t>)</w:t>
      </w:r>
    </w:p>
    <w:p w:rsidR="00E64AD2" w:rsidRPr="00E64AD2" w:rsidRDefault="00E64AD2" w:rsidP="00A56FF6">
      <w:pPr>
        <w:pStyle w:val="Odstavecseseznamem"/>
        <w:numPr>
          <w:ilvl w:val="0"/>
          <w:numId w:val="8"/>
        </w:numPr>
        <w:rPr>
          <w:b/>
        </w:rPr>
      </w:pPr>
      <w:r w:rsidRPr="00E64AD2">
        <w:t>Migrace testovacího prostředí</w:t>
      </w:r>
    </w:p>
    <w:p w:rsidR="00E64AD2" w:rsidRPr="00E64AD2" w:rsidRDefault="00E64AD2" w:rsidP="00E64AD2">
      <w:pPr>
        <w:numPr>
          <w:ilvl w:val="1"/>
          <w:numId w:val="8"/>
        </w:numPr>
        <w:tabs>
          <w:tab w:val="num" w:pos="2520"/>
        </w:tabs>
        <w:spacing w:after="160" w:line="259" w:lineRule="auto"/>
        <w:ind w:left="2520"/>
        <w:rPr>
          <w:rFonts w:ascii="Calibri" w:hAnsi="Calibri" w:cs="Calibri"/>
          <w:lang w:val="cs-CZ"/>
        </w:rPr>
      </w:pPr>
      <w:r w:rsidRPr="00E64AD2">
        <w:rPr>
          <w:rFonts w:ascii="Calibri" w:hAnsi="Calibri" w:cs="Calibri"/>
          <w:lang w:val="cs-CZ"/>
        </w:rPr>
        <w:t>Migrace reálných dat</w:t>
      </w:r>
    </w:p>
    <w:p w:rsidR="00E64AD2" w:rsidRPr="00E64AD2" w:rsidRDefault="00E64AD2" w:rsidP="00E64AD2">
      <w:pPr>
        <w:numPr>
          <w:ilvl w:val="1"/>
          <w:numId w:val="8"/>
        </w:numPr>
        <w:tabs>
          <w:tab w:val="num" w:pos="2520"/>
        </w:tabs>
        <w:spacing w:after="160" w:line="259" w:lineRule="auto"/>
        <w:ind w:left="2520"/>
        <w:rPr>
          <w:rFonts w:ascii="Calibri" w:hAnsi="Calibri" w:cs="Calibri"/>
          <w:lang w:val="cs-CZ"/>
        </w:rPr>
      </w:pPr>
      <w:r w:rsidRPr="00E64AD2">
        <w:rPr>
          <w:rFonts w:ascii="Calibri" w:hAnsi="Calibri" w:cs="Calibri"/>
          <w:lang w:val="cs-CZ"/>
        </w:rPr>
        <w:t>Testování a ladění výkonu</w:t>
      </w:r>
    </w:p>
    <w:p w:rsidR="00E64AD2" w:rsidRPr="00E64AD2" w:rsidRDefault="00E64AD2" w:rsidP="00A56FF6">
      <w:pPr>
        <w:pStyle w:val="Odstavecseseznamem"/>
        <w:numPr>
          <w:ilvl w:val="0"/>
          <w:numId w:val="8"/>
        </w:numPr>
      </w:pPr>
      <w:r w:rsidRPr="00E64AD2">
        <w:t>Cvičná migrace (pilotní provoz)</w:t>
      </w:r>
    </w:p>
    <w:p w:rsidR="00E64AD2" w:rsidRPr="00E64AD2" w:rsidRDefault="00E64AD2" w:rsidP="00E64AD2">
      <w:pPr>
        <w:numPr>
          <w:ilvl w:val="1"/>
          <w:numId w:val="8"/>
        </w:numPr>
        <w:tabs>
          <w:tab w:val="num" w:pos="2520"/>
        </w:tabs>
        <w:spacing w:after="160" w:line="259" w:lineRule="auto"/>
        <w:ind w:left="2520"/>
        <w:rPr>
          <w:rFonts w:ascii="Calibri" w:hAnsi="Calibri" w:cs="Calibri"/>
          <w:lang w:val="cs-CZ"/>
        </w:rPr>
      </w:pPr>
      <w:r w:rsidRPr="00E64AD2">
        <w:rPr>
          <w:rFonts w:ascii="Calibri" w:hAnsi="Calibri" w:cs="Calibri"/>
          <w:lang w:val="cs-CZ"/>
        </w:rPr>
        <w:t>Provádění simulované migrace reálných dat</w:t>
      </w:r>
    </w:p>
    <w:p w:rsidR="00E64AD2" w:rsidRPr="00E64AD2" w:rsidRDefault="00E64AD2" w:rsidP="00E64AD2">
      <w:pPr>
        <w:numPr>
          <w:ilvl w:val="1"/>
          <w:numId w:val="8"/>
        </w:numPr>
        <w:tabs>
          <w:tab w:val="num" w:pos="2520"/>
        </w:tabs>
        <w:spacing w:after="160" w:line="259" w:lineRule="auto"/>
        <w:ind w:left="2520"/>
        <w:rPr>
          <w:rFonts w:ascii="Calibri" w:hAnsi="Calibri" w:cs="Calibri"/>
          <w:lang w:val="cs-CZ"/>
        </w:rPr>
      </w:pPr>
      <w:r w:rsidRPr="00E64AD2">
        <w:rPr>
          <w:rFonts w:ascii="Calibri" w:hAnsi="Calibri" w:cs="Calibri"/>
          <w:lang w:val="cs-CZ"/>
        </w:rPr>
        <w:t>Vytvoření HDR/RSS v testovacím prostředí</w:t>
      </w:r>
    </w:p>
    <w:p w:rsidR="00E64AD2" w:rsidRPr="00E64AD2" w:rsidRDefault="00E64AD2" w:rsidP="00E64AD2">
      <w:pPr>
        <w:numPr>
          <w:ilvl w:val="1"/>
          <w:numId w:val="8"/>
        </w:numPr>
        <w:tabs>
          <w:tab w:val="num" w:pos="2520"/>
        </w:tabs>
        <w:spacing w:after="160" w:line="259" w:lineRule="auto"/>
        <w:ind w:left="2520"/>
        <w:rPr>
          <w:rFonts w:ascii="Calibri" w:hAnsi="Calibri" w:cs="Calibri"/>
          <w:lang w:val="cs-CZ"/>
        </w:rPr>
      </w:pPr>
      <w:r w:rsidRPr="00E64AD2">
        <w:rPr>
          <w:rFonts w:ascii="Calibri" w:hAnsi="Calibri" w:cs="Calibri"/>
          <w:lang w:val="cs-CZ"/>
        </w:rPr>
        <w:t>Zátěžové testy, ladění výkonu, ověření replikace </w:t>
      </w:r>
    </w:p>
    <w:p w:rsidR="00E64AD2" w:rsidRPr="00E64AD2" w:rsidRDefault="00E64AD2" w:rsidP="00A56FF6">
      <w:pPr>
        <w:pStyle w:val="Odstavecseseznamem"/>
        <w:numPr>
          <w:ilvl w:val="0"/>
          <w:numId w:val="8"/>
        </w:numPr>
      </w:pPr>
      <w:r w:rsidRPr="00E64AD2">
        <w:t>Zálohování a bezpečnost</w:t>
      </w:r>
    </w:p>
    <w:p w:rsidR="00E64AD2" w:rsidRPr="00E64AD2" w:rsidRDefault="00E64AD2" w:rsidP="00E64AD2">
      <w:pPr>
        <w:numPr>
          <w:ilvl w:val="1"/>
          <w:numId w:val="8"/>
        </w:numPr>
        <w:tabs>
          <w:tab w:val="num" w:pos="2520"/>
        </w:tabs>
        <w:spacing w:after="160" w:line="259" w:lineRule="auto"/>
        <w:ind w:left="2520"/>
        <w:rPr>
          <w:rFonts w:ascii="Calibri" w:hAnsi="Calibri" w:cs="Calibri"/>
          <w:lang w:val="cs-CZ"/>
        </w:rPr>
      </w:pPr>
      <w:r w:rsidRPr="00E64AD2">
        <w:rPr>
          <w:rFonts w:ascii="Calibri" w:hAnsi="Calibri" w:cs="Calibri"/>
          <w:lang w:val="cs-CZ"/>
        </w:rPr>
        <w:t xml:space="preserve">Konfigurace zálohování pomocí TSM / IBM </w:t>
      </w:r>
      <w:proofErr w:type="spellStart"/>
      <w:r w:rsidRPr="00E64AD2">
        <w:rPr>
          <w:rFonts w:ascii="Calibri" w:hAnsi="Calibri" w:cs="Calibri"/>
          <w:lang w:val="cs-CZ"/>
        </w:rPr>
        <w:t>Spectrum</w:t>
      </w:r>
      <w:proofErr w:type="spellEnd"/>
      <w:r w:rsidRPr="00E64AD2">
        <w:rPr>
          <w:rFonts w:ascii="Calibri" w:hAnsi="Calibri" w:cs="Calibri"/>
          <w:lang w:val="cs-CZ"/>
        </w:rPr>
        <w:t xml:space="preserve"> </w:t>
      </w:r>
      <w:proofErr w:type="spellStart"/>
      <w:r w:rsidRPr="00E64AD2">
        <w:rPr>
          <w:rFonts w:ascii="Calibri" w:hAnsi="Calibri" w:cs="Calibri"/>
          <w:lang w:val="cs-CZ"/>
        </w:rPr>
        <w:t>Protect</w:t>
      </w:r>
      <w:proofErr w:type="spellEnd"/>
    </w:p>
    <w:p w:rsidR="00E64AD2" w:rsidRPr="00E64AD2" w:rsidRDefault="00E64AD2" w:rsidP="00E64AD2">
      <w:pPr>
        <w:numPr>
          <w:ilvl w:val="1"/>
          <w:numId w:val="8"/>
        </w:numPr>
        <w:tabs>
          <w:tab w:val="num" w:pos="2520"/>
        </w:tabs>
        <w:spacing w:after="160" w:line="259" w:lineRule="auto"/>
        <w:ind w:left="2520"/>
        <w:rPr>
          <w:rFonts w:ascii="Calibri" w:hAnsi="Calibri" w:cs="Calibri"/>
          <w:lang w:val="cs-CZ"/>
        </w:rPr>
      </w:pPr>
      <w:r w:rsidRPr="00E64AD2">
        <w:rPr>
          <w:rFonts w:ascii="Calibri" w:hAnsi="Calibri" w:cs="Calibri"/>
          <w:lang w:val="cs-CZ"/>
        </w:rPr>
        <w:t>Ověření obnovitelnosti záloh</w:t>
      </w:r>
    </w:p>
    <w:p w:rsidR="00E64AD2" w:rsidRPr="00E64AD2" w:rsidRDefault="00E64AD2" w:rsidP="00E64AD2">
      <w:pPr>
        <w:numPr>
          <w:ilvl w:val="1"/>
          <w:numId w:val="8"/>
        </w:numPr>
        <w:tabs>
          <w:tab w:val="num" w:pos="2520"/>
        </w:tabs>
        <w:spacing w:after="160" w:line="259" w:lineRule="auto"/>
        <w:ind w:left="2520"/>
        <w:rPr>
          <w:rFonts w:ascii="Calibri" w:hAnsi="Calibri" w:cs="Calibri"/>
          <w:lang w:val="cs-CZ"/>
        </w:rPr>
      </w:pPr>
      <w:r w:rsidRPr="00E64AD2">
        <w:rPr>
          <w:rFonts w:ascii="Calibri" w:hAnsi="Calibri" w:cs="Calibri"/>
          <w:lang w:val="cs-CZ"/>
        </w:rPr>
        <w:t xml:space="preserve">Nastavení a test </w:t>
      </w:r>
      <w:proofErr w:type="spellStart"/>
      <w:r w:rsidRPr="00E64AD2">
        <w:rPr>
          <w:rFonts w:ascii="Calibri" w:hAnsi="Calibri" w:cs="Calibri"/>
          <w:lang w:val="cs-CZ"/>
        </w:rPr>
        <w:t>failover</w:t>
      </w:r>
      <w:proofErr w:type="spellEnd"/>
      <w:r w:rsidRPr="00E64AD2">
        <w:rPr>
          <w:rFonts w:ascii="Calibri" w:hAnsi="Calibri" w:cs="Calibri"/>
          <w:lang w:val="cs-CZ"/>
        </w:rPr>
        <w:t xml:space="preserve"> scénářů v HDR prostředí </w:t>
      </w:r>
    </w:p>
    <w:p w:rsidR="00E64AD2" w:rsidRPr="00E64AD2" w:rsidRDefault="00E64AD2" w:rsidP="00A56FF6">
      <w:pPr>
        <w:pStyle w:val="Odstavecseseznamem"/>
        <w:numPr>
          <w:ilvl w:val="0"/>
          <w:numId w:val="8"/>
        </w:numPr>
      </w:pPr>
      <w:r w:rsidRPr="00E64AD2">
        <w:t>Ostrá migrace</w:t>
      </w:r>
    </w:p>
    <w:p w:rsidR="00E64AD2" w:rsidRPr="00E64AD2" w:rsidRDefault="00E64AD2" w:rsidP="00E64AD2">
      <w:pPr>
        <w:numPr>
          <w:ilvl w:val="1"/>
          <w:numId w:val="8"/>
        </w:numPr>
        <w:tabs>
          <w:tab w:val="num" w:pos="2520"/>
        </w:tabs>
        <w:spacing w:after="160" w:line="259" w:lineRule="auto"/>
        <w:ind w:left="2520"/>
        <w:rPr>
          <w:rFonts w:ascii="Calibri" w:hAnsi="Calibri" w:cs="Calibri"/>
          <w:lang w:val="cs-CZ"/>
        </w:rPr>
      </w:pPr>
      <w:r w:rsidRPr="00E64AD2">
        <w:rPr>
          <w:rFonts w:ascii="Calibri" w:hAnsi="Calibri" w:cs="Calibri"/>
          <w:lang w:val="cs-CZ"/>
        </w:rPr>
        <w:t>Vlastní migrace – plán přepnutí, přesun dat do nové instance</w:t>
      </w:r>
    </w:p>
    <w:p w:rsidR="00E64AD2" w:rsidRPr="00E64AD2" w:rsidRDefault="00E64AD2" w:rsidP="00E64AD2">
      <w:pPr>
        <w:numPr>
          <w:ilvl w:val="2"/>
          <w:numId w:val="8"/>
        </w:numPr>
        <w:spacing w:after="160" w:line="259" w:lineRule="auto"/>
        <w:ind w:left="3240"/>
        <w:rPr>
          <w:rFonts w:ascii="Calibri" w:hAnsi="Calibri" w:cs="Calibri"/>
          <w:lang w:val="cs-CZ"/>
        </w:rPr>
      </w:pPr>
      <w:r w:rsidRPr="00E64AD2">
        <w:rPr>
          <w:rFonts w:ascii="Calibri" w:hAnsi="Calibri" w:cs="Calibri"/>
          <w:lang w:val="cs-CZ"/>
        </w:rPr>
        <w:t>Časový limit: 12 hod</w:t>
      </w:r>
    </w:p>
    <w:p w:rsidR="00E64AD2" w:rsidRPr="00E64AD2" w:rsidRDefault="00E64AD2" w:rsidP="00E64AD2">
      <w:pPr>
        <w:numPr>
          <w:ilvl w:val="2"/>
          <w:numId w:val="8"/>
        </w:numPr>
        <w:spacing w:after="160" w:line="259" w:lineRule="auto"/>
        <w:ind w:left="3240"/>
        <w:rPr>
          <w:rFonts w:ascii="Calibri" w:hAnsi="Calibri" w:cs="Calibri"/>
          <w:lang w:val="cs-CZ"/>
        </w:rPr>
      </w:pPr>
      <w:r w:rsidRPr="00E64AD2">
        <w:rPr>
          <w:rFonts w:ascii="Calibri" w:hAnsi="Calibri" w:cs="Calibri"/>
          <w:lang w:val="cs-CZ"/>
        </w:rPr>
        <w:t xml:space="preserve">Na </w:t>
      </w:r>
      <w:proofErr w:type="spellStart"/>
      <w:r w:rsidRPr="00E64AD2">
        <w:rPr>
          <w:rFonts w:ascii="Calibri" w:hAnsi="Calibri" w:cs="Calibri"/>
          <w:lang w:val="cs-CZ"/>
        </w:rPr>
        <w:t>filesystému</w:t>
      </w:r>
      <w:proofErr w:type="spellEnd"/>
      <w:r w:rsidRPr="00E64AD2">
        <w:rPr>
          <w:rFonts w:ascii="Calibri" w:hAnsi="Calibri" w:cs="Calibri"/>
          <w:lang w:val="cs-CZ"/>
        </w:rPr>
        <w:t xml:space="preserve"> není prostor pro export dat  </w:t>
      </w:r>
    </w:p>
    <w:p w:rsidR="00E64AD2" w:rsidRPr="00E64AD2" w:rsidRDefault="00E64AD2" w:rsidP="00E64AD2">
      <w:pPr>
        <w:numPr>
          <w:ilvl w:val="1"/>
          <w:numId w:val="8"/>
        </w:numPr>
        <w:tabs>
          <w:tab w:val="num" w:pos="2520"/>
        </w:tabs>
        <w:spacing w:after="160" w:line="259" w:lineRule="auto"/>
        <w:ind w:left="2520"/>
        <w:rPr>
          <w:rFonts w:ascii="Calibri" w:hAnsi="Calibri" w:cs="Calibri"/>
          <w:lang w:val="cs-CZ"/>
        </w:rPr>
      </w:pPr>
      <w:r w:rsidRPr="00E64AD2">
        <w:rPr>
          <w:rFonts w:ascii="Calibri" w:hAnsi="Calibri" w:cs="Calibri"/>
          <w:lang w:val="cs-CZ"/>
        </w:rPr>
        <w:t>Přepnutí aplikací, DNS přesměrování, kontrola aplikační dostupnosti</w:t>
      </w:r>
    </w:p>
    <w:p w:rsidR="00E64AD2" w:rsidRPr="00E64AD2" w:rsidRDefault="00E64AD2" w:rsidP="00E64AD2">
      <w:pPr>
        <w:numPr>
          <w:ilvl w:val="1"/>
          <w:numId w:val="8"/>
        </w:numPr>
        <w:tabs>
          <w:tab w:val="num" w:pos="2520"/>
        </w:tabs>
        <w:spacing w:after="160" w:line="259" w:lineRule="auto"/>
        <w:ind w:left="2520"/>
        <w:rPr>
          <w:rFonts w:ascii="Calibri" w:hAnsi="Calibri" w:cs="Calibri"/>
          <w:lang w:val="cs-CZ"/>
        </w:rPr>
      </w:pPr>
      <w:r w:rsidRPr="00E64AD2">
        <w:rPr>
          <w:rFonts w:ascii="Calibri" w:hAnsi="Calibri" w:cs="Calibri"/>
          <w:lang w:val="cs-CZ"/>
        </w:rPr>
        <w:t xml:space="preserve">Aktivace HDR a </w:t>
      </w:r>
      <w:proofErr w:type="spellStart"/>
      <w:r w:rsidRPr="00E64AD2">
        <w:rPr>
          <w:rFonts w:ascii="Calibri" w:hAnsi="Calibri" w:cs="Calibri"/>
          <w:lang w:val="cs-CZ"/>
        </w:rPr>
        <w:t>Connection</w:t>
      </w:r>
      <w:proofErr w:type="spellEnd"/>
      <w:r w:rsidRPr="00E64AD2">
        <w:rPr>
          <w:rFonts w:ascii="Calibri" w:hAnsi="Calibri" w:cs="Calibri"/>
          <w:lang w:val="cs-CZ"/>
        </w:rPr>
        <w:t xml:space="preserve"> </w:t>
      </w:r>
      <w:proofErr w:type="spellStart"/>
      <w:r w:rsidRPr="00E64AD2">
        <w:rPr>
          <w:rFonts w:ascii="Calibri" w:hAnsi="Calibri" w:cs="Calibri"/>
          <w:lang w:val="cs-CZ"/>
        </w:rPr>
        <w:t>Manageru</w:t>
      </w:r>
      <w:proofErr w:type="spellEnd"/>
    </w:p>
    <w:p w:rsidR="00E64AD2" w:rsidRPr="00E64AD2" w:rsidRDefault="00E64AD2" w:rsidP="00E64AD2">
      <w:pPr>
        <w:numPr>
          <w:ilvl w:val="1"/>
          <w:numId w:val="8"/>
        </w:numPr>
        <w:tabs>
          <w:tab w:val="num" w:pos="2520"/>
        </w:tabs>
        <w:spacing w:after="160" w:line="259" w:lineRule="auto"/>
        <w:ind w:left="2520"/>
        <w:rPr>
          <w:rFonts w:ascii="Calibri" w:hAnsi="Calibri" w:cs="Calibri"/>
          <w:lang w:val="cs-CZ"/>
        </w:rPr>
      </w:pPr>
      <w:r w:rsidRPr="00E64AD2">
        <w:rPr>
          <w:rFonts w:ascii="Calibri" w:hAnsi="Calibri" w:cs="Calibri"/>
          <w:lang w:val="cs-CZ"/>
        </w:rPr>
        <w:t>Finalizace konfigurace a nastavení monitoringů </w:t>
      </w:r>
    </w:p>
    <w:p w:rsidR="00E64AD2" w:rsidRPr="00E64AD2" w:rsidRDefault="00E64AD2" w:rsidP="00A56FF6">
      <w:pPr>
        <w:pStyle w:val="Odstavecseseznamem"/>
        <w:numPr>
          <w:ilvl w:val="0"/>
          <w:numId w:val="8"/>
        </w:numPr>
      </w:pPr>
      <w:r w:rsidRPr="00E64AD2">
        <w:t>Zvýšený dohled a podpora po migraci</w:t>
      </w:r>
    </w:p>
    <w:p w:rsidR="00E64AD2" w:rsidRPr="00E64AD2" w:rsidRDefault="00E64AD2" w:rsidP="00E64AD2">
      <w:pPr>
        <w:numPr>
          <w:ilvl w:val="1"/>
          <w:numId w:val="8"/>
        </w:numPr>
        <w:tabs>
          <w:tab w:val="num" w:pos="2520"/>
        </w:tabs>
        <w:spacing w:after="160" w:line="259" w:lineRule="auto"/>
        <w:ind w:left="2520"/>
        <w:rPr>
          <w:rFonts w:ascii="Calibri" w:hAnsi="Calibri" w:cs="Calibri"/>
          <w:lang w:val="cs-CZ"/>
        </w:rPr>
      </w:pPr>
      <w:r w:rsidRPr="00E64AD2">
        <w:rPr>
          <w:rFonts w:ascii="Calibri" w:hAnsi="Calibri" w:cs="Calibri"/>
          <w:lang w:val="cs-CZ"/>
        </w:rPr>
        <w:t>Zvýšený provozní dohled (např. 2 týdny po migraci)</w:t>
      </w:r>
    </w:p>
    <w:p w:rsidR="00E64AD2" w:rsidRPr="00E64AD2" w:rsidRDefault="00E64AD2" w:rsidP="00E64AD2">
      <w:pPr>
        <w:numPr>
          <w:ilvl w:val="1"/>
          <w:numId w:val="8"/>
        </w:numPr>
        <w:tabs>
          <w:tab w:val="num" w:pos="2520"/>
        </w:tabs>
        <w:spacing w:after="160" w:line="259" w:lineRule="auto"/>
        <w:ind w:left="2520"/>
        <w:rPr>
          <w:rFonts w:ascii="Calibri" w:hAnsi="Calibri" w:cs="Calibri"/>
          <w:lang w:val="cs-CZ"/>
        </w:rPr>
      </w:pPr>
      <w:r w:rsidRPr="00E64AD2">
        <w:rPr>
          <w:rFonts w:ascii="Calibri" w:hAnsi="Calibri" w:cs="Calibri"/>
          <w:lang w:val="cs-CZ"/>
        </w:rPr>
        <w:t>Podpora při řešení případných incidentů </w:t>
      </w:r>
    </w:p>
    <w:p w:rsidR="00E64AD2" w:rsidRPr="00E64AD2" w:rsidRDefault="00E64AD2" w:rsidP="00A56FF6">
      <w:pPr>
        <w:pStyle w:val="Odstavecseseznamem"/>
        <w:numPr>
          <w:ilvl w:val="0"/>
          <w:numId w:val="8"/>
        </w:numPr>
      </w:pPr>
      <w:r w:rsidRPr="00E64AD2">
        <w:t>Dokumentace</w:t>
      </w:r>
    </w:p>
    <w:p w:rsidR="00E64AD2" w:rsidRPr="00E64AD2" w:rsidRDefault="00E64AD2" w:rsidP="00E64AD2">
      <w:pPr>
        <w:numPr>
          <w:ilvl w:val="1"/>
          <w:numId w:val="8"/>
        </w:numPr>
        <w:tabs>
          <w:tab w:val="num" w:pos="2520"/>
        </w:tabs>
        <w:spacing w:after="160" w:line="259" w:lineRule="auto"/>
        <w:ind w:left="2520"/>
        <w:rPr>
          <w:rFonts w:ascii="Calibri" w:hAnsi="Calibri" w:cs="Calibri"/>
          <w:lang w:val="cs-CZ"/>
        </w:rPr>
      </w:pPr>
      <w:r w:rsidRPr="00E64AD2">
        <w:rPr>
          <w:rFonts w:ascii="Calibri" w:hAnsi="Calibri" w:cs="Calibri"/>
          <w:lang w:val="cs-CZ"/>
        </w:rPr>
        <w:lastRenderedPageBreak/>
        <w:t>Dokumentace provedených instalací a prací, změn konfigurací a skriptů</w:t>
      </w:r>
    </w:p>
    <w:p w:rsidR="00E64AD2" w:rsidRPr="00E64AD2" w:rsidRDefault="00E64AD2" w:rsidP="00E64AD2">
      <w:pPr>
        <w:numPr>
          <w:ilvl w:val="1"/>
          <w:numId w:val="8"/>
        </w:numPr>
        <w:tabs>
          <w:tab w:val="num" w:pos="2520"/>
        </w:tabs>
        <w:spacing w:after="160" w:line="259" w:lineRule="auto"/>
        <w:ind w:left="2520"/>
        <w:rPr>
          <w:rFonts w:ascii="Calibri" w:hAnsi="Calibri" w:cs="Calibri"/>
          <w:lang w:val="cs-CZ"/>
        </w:rPr>
      </w:pPr>
      <w:r w:rsidRPr="00E64AD2">
        <w:rPr>
          <w:rFonts w:ascii="Calibri" w:hAnsi="Calibri" w:cs="Calibri"/>
          <w:lang w:val="cs-CZ"/>
        </w:rPr>
        <w:t>Předávací protokol</w:t>
      </w:r>
    </w:p>
    <w:p w:rsidR="00E64AD2" w:rsidRPr="0059194B" w:rsidRDefault="00186A0E" w:rsidP="0059194B">
      <w:pPr>
        <w:pStyle w:val="FirstParagraph"/>
        <w:jc w:val="both"/>
        <w:rPr>
          <w:rFonts w:ascii="Calibri" w:hAnsi="Calibri" w:cs="Calibri"/>
          <w:lang w:val="cs-CZ"/>
        </w:rPr>
      </w:pPr>
      <w:r>
        <w:rPr>
          <w:rFonts w:ascii="Calibri" w:hAnsi="Calibri" w:cs="Calibri"/>
          <w:lang w:val="cs-CZ"/>
        </w:rPr>
        <w:t>4</w:t>
      </w:r>
      <w:r w:rsidRPr="0059194B">
        <w:rPr>
          <w:rFonts w:ascii="Calibri" w:hAnsi="Calibri" w:cs="Calibri"/>
          <w:lang w:val="cs-CZ"/>
        </w:rPr>
        <w:t>.2 Předpokládaný harmonogram</w:t>
      </w:r>
    </w:p>
    <w:p w:rsidR="00E64AD2" w:rsidRPr="00E64AD2" w:rsidRDefault="00E64AD2" w:rsidP="00A56FF6">
      <w:pPr>
        <w:pStyle w:val="Odstavecseseznamem"/>
        <w:numPr>
          <w:ilvl w:val="0"/>
          <w:numId w:val="11"/>
        </w:numPr>
      </w:pPr>
      <w:r w:rsidRPr="00E64AD2">
        <w:t>Přípravné práce – 1 týden</w:t>
      </w:r>
    </w:p>
    <w:p w:rsidR="00E64AD2" w:rsidRPr="00E64AD2" w:rsidRDefault="00E64AD2" w:rsidP="00A56FF6">
      <w:pPr>
        <w:pStyle w:val="Odstavecseseznamem"/>
        <w:numPr>
          <w:ilvl w:val="0"/>
          <w:numId w:val="11"/>
        </w:numPr>
      </w:pPr>
      <w:r w:rsidRPr="00E64AD2">
        <w:t>Migrace testovacího prostředí – 1 týden</w:t>
      </w:r>
    </w:p>
    <w:p w:rsidR="00E64AD2" w:rsidRPr="00E64AD2" w:rsidRDefault="00E64AD2" w:rsidP="00A56FF6">
      <w:pPr>
        <w:pStyle w:val="Odstavecseseznamem"/>
        <w:numPr>
          <w:ilvl w:val="0"/>
          <w:numId w:val="11"/>
        </w:numPr>
      </w:pPr>
      <w:r w:rsidRPr="00E64AD2">
        <w:t>Cvičná migrace – 1 týden</w:t>
      </w:r>
    </w:p>
    <w:p w:rsidR="00E64AD2" w:rsidRPr="00E64AD2" w:rsidRDefault="00E64AD2" w:rsidP="00A56FF6">
      <w:pPr>
        <w:pStyle w:val="Odstavecseseznamem"/>
        <w:numPr>
          <w:ilvl w:val="0"/>
          <w:numId w:val="11"/>
        </w:numPr>
      </w:pPr>
      <w:r w:rsidRPr="00E64AD2">
        <w:t>Testování cvičné migrace – 2 týdny</w:t>
      </w:r>
    </w:p>
    <w:p w:rsidR="00E64AD2" w:rsidRPr="00E64AD2" w:rsidRDefault="00E64AD2" w:rsidP="00A56FF6">
      <w:pPr>
        <w:pStyle w:val="Odstavecseseznamem"/>
        <w:numPr>
          <w:ilvl w:val="0"/>
          <w:numId w:val="11"/>
        </w:numPr>
      </w:pPr>
      <w:r w:rsidRPr="00E64AD2">
        <w:t>Ostrá migrace – víkend</w:t>
      </w:r>
    </w:p>
    <w:p w:rsidR="00E64AD2" w:rsidRPr="00E64AD2" w:rsidRDefault="00E64AD2" w:rsidP="00A56FF6">
      <w:pPr>
        <w:pStyle w:val="Odstavecseseznamem"/>
        <w:numPr>
          <w:ilvl w:val="0"/>
          <w:numId w:val="11"/>
        </w:numPr>
      </w:pPr>
      <w:r w:rsidRPr="00E64AD2">
        <w:t>Sledování po migraci – 1 týden</w:t>
      </w:r>
    </w:p>
    <w:p w:rsidR="00186A0E" w:rsidRPr="00C76534" w:rsidRDefault="00186A0E" w:rsidP="00186A0E">
      <w:pPr>
        <w:pStyle w:val="Nadpis3"/>
        <w:rPr>
          <w:rFonts w:ascii="Calibri" w:hAnsi="Calibri" w:cs="Calibri"/>
          <w:b/>
          <w:bCs/>
          <w:color w:val="215E99" w:themeColor="text2" w:themeTint="BF"/>
          <w:lang w:val="cs-CZ"/>
        </w:rPr>
      </w:pPr>
      <w:r>
        <w:rPr>
          <w:rFonts w:ascii="Calibri" w:hAnsi="Calibri" w:cs="Calibri"/>
          <w:b/>
          <w:bCs/>
          <w:color w:val="215E99" w:themeColor="text2" w:themeTint="BF"/>
          <w:lang w:val="cs-CZ"/>
        </w:rPr>
        <w:t>5</w:t>
      </w:r>
      <w:r w:rsidRPr="00C76534">
        <w:rPr>
          <w:rFonts w:ascii="Calibri" w:hAnsi="Calibri" w:cs="Calibri"/>
          <w:b/>
          <w:bCs/>
          <w:color w:val="215E99" w:themeColor="text2" w:themeTint="BF"/>
          <w:lang w:val="cs-CZ"/>
        </w:rPr>
        <w:t>. Termíny a místo plnění</w:t>
      </w:r>
    </w:p>
    <w:p w:rsidR="00186A0E" w:rsidRPr="00C76534" w:rsidRDefault="00186A0E" w:rsidP="00186A0E">
      <w:pPr>
        <w:pStyle w:val="FirstParagraph"/>
        <w:jc w:val="both"/>
        <w:rPr>
          <w:rFonts w:ascii="Calibri" w:hAnsi="Calibri" w:cs="Calibri"/>
          <w:lang w:val="cs-CZ"/>
        </w:rPr>
      </w:pPr>
      <w:r>
        <w:rPr>
          <w:rFonts w:ascii="Calibri" w:hAnsi="Calibri" w:cs="Calibri"/>
          <w:lang w:val="cs-CZ"/>
        </w:rPr>
        <w:t>5</w:t>
      </w:r>
      <w:r w:rsidRPr="00C76534">
        <w:rPr>
          <w:rFonts w:ascii="Calibri" w:hAnsi="Calibri" w:cs="Calibri"/>
          <w:lang w:val="cs-CZ"/>
        </w:rPr>
        <w:t>.1 Termíny plnění: Dodání licencí (vč. S&amp;S) a zahájení služby migrace do 10 pracovních dnů od účinnosti Smlouvy a splnění předpokladů Objednatelem.</w:t>
      </w:r>
    </w:p>
    <w:p w:rsidR="00186A0E" w:rsidRPr="00C76534" w:rsidRDefault="00186A0E" w:rsidP="00186A0E">
      <w:pPr>
        <w:pStyle w:val="Zkladntext"/>
        <w:jc w:val="both"/>
        <w:rPr>
          <w:rFonts w:ascii="Calibri" w:hAnsi="Calibri" w:cs="Calibri"/>
          <w:lang w:val="cs-CZ"/>
        </w:rPr>
      </w:pPr>
      <w:r>
        <w:rPr>
          <w:rFonts w:ascii="Calibri" w:hAnsi="Calibri" w:cs="Calibri"/>
          <w:lang w:val="cs-CZ"/>
        </w:rPr>
        <w:t>5</w:t>
      </w:r>
      <w:r w:rsidRPr="00C76534">
        <w:rPr>
          <w:rFonts w:ascii="Calibri" w:hAnsi="Calibri" w:cs="Calibri"/>
          <w:lang w:val="cs-CZ"/>
        </w:rPr>
        <w:t>.2 Podmínka zahájení migrace: připravenost cílového prostředí u Objednatele.</w:t>
      </w:r>
    </w:p>
    <w:p w:rsidR="00186A0E" w:rsidRDefault="00186A0E" w:rsidP="00186A0E">
      <w:pPr>
        <w:pStyle w:val="Zkladntext"/>
        <w:jc w:val="both"/>
        <w:rPr>
          <w:rFonts w:ascii="Calibri" w:hAnsi="Calibri" w:cs="Calibri"/>
          <w:lang w:val="cs-CZ"/>
        </w:rPr>
      </w:pPr>
      <w:r>
        <w:rPr>
          <w:rFonts w:ascii="Calibri" w:hAnsi="Calibri" w:cs="Calibri"/>
          <w:lang w:val="cs-CZ"/>
        </w:rPr>
        <w:t>5</w:t>
      </w:r>
      <w:r w:rsidRPr="00C76534">
        <w:rPr>
          <w:rFonts w:ascii="Calibri" w:hAnsi="Calibri" w:cs="Calibri"/>
          <w:lang w:val="cs-CZ"/>
        </w:rPr>
        <w:t xml:space="preserve">.3 Místo plnění: ZPŠ, Mladá Boleslav – sídlo </w:t>
      </w:r>
      <w:r w:rsidR="00E77ADC">
        <w:rPr>
          <w:rFonts w:ascii="Calibri" w:hAnsi="Calibri" w:cs="Calibri"/>
          <w:lang w:val="cs-CZ"/>
        </w:rPr>
        <w:t>O</w:t>
      </w:r>
      <w:r w:rsidRPr="00C76534">
        <w:rPr>
          <w:rFonts w:ascii="Calibri" w:hAnsi="Calibri" w:cs="Calibri"/>
          <w:lang w:val="cs-CZ"/>
        </w:rPr>
        <w:t>bjednatele.</w:t>
      </w:r>
    </w:p>
    <w:p w:rsidR="00D21687" w:rsidRPr="00C76534" w:rsidRDefault="00D21687">
      <w:pPr>
        <w:rPr>
          <w:rFonts w:ascii="Calibri" w:hAnsi="Calibri" w:cs="Calibri"/>
          <w:lang w:val="cs-CZ"/>
        </w:rPr>
      </w:pPr>
    </w:p>
    <w:p w:rsidR="00D21687" w:rsidRDefault="008805D7">
      <w:pPr>
        <w:pStyle w:val="Nadpis3"/>
        <w:rPr>
          <w:rFonts w:ascii="Calibri" w:hAnsi="Calibri" w:cs="Calibri"/>
          <w:b/>
          <w:bCs/>
          <w:color w:val="215E99" w:themeColor="text2" w:themeTint="BF"/>
          <w:lang w:val="cs-CZ"/>
        </w:rPr>
      </w:pPr>
      <w:bookmarkStart w:id="6" w:name="cena-a-platební-podmínky"/>
      <w:bookmarkEnd w:id="5"/>
      <w:r w:rsidRPr="00E64AD2">
        <w:rPr>
          <w:rFonts w:ascii="Calibri" w:hAnsi="Calibri" w:cs="Calibri"/>
          <w:b/>
          <w:bCs/>
          <w:color w:val="215E99" w:themeColor="text2" w:themeTint="BF"/>
          <w:lang w:val="cs-CZ"/>
        </w:rPr>
        <w:t>6. Cena a platební podmínky</w:t>
      </w:r>
    </w:p>
    <w:p w:rsidR="00186A0E" w:rsidRPr="00186A0E" w:rsidRDefault="00186A0E" w:rsidP="00A56FF6">
      <w:pPr>
        <w:pStyle w:val="CZodstavec"/>
        <w:numPr>
          <w:ilvl w:val="0"/>
          <w:numId w:val="0"/>
        </w:numPr>
        <w:rPr>
          <w:rFonts w:ascii="Calibri" w:hAnsi="Calibri" w:cs="Calibri"/>
          <w:sz w:val="24"/>
        </w:rPr>
      </w:pPr>
      <w:r>
        <w:rPr>
          <w:rFonts w:ascii="Calibri" w:hAnsi="Calibri" w:cs="Calibri"/>
          <w:sz w:val="24"/>
        </w:rPr>
        <w:t xml:space="preserve">6.1 </w:t>
      </w:r>
      <w:r w:rsidRPr="00186A0E">
        <w:rPr>
          <w:rFonts w:ascii="Calibri" w:hAnsi="Calibri" w:cs="Calibri"/>
          <w:sz w:val="24"/>
        </w:rPr>
        <w:t xml:space="preserve">Objednatel se zavazuje zaplatit Dodavateli cenu poskytnutého plnění, a to v rozsahu a způsobem stanoveným dále v této </w:t>
      </w:r>
      <w:r w:rsidR="00E77ADC">
        <w:rPr>
          <w:rFonts w:ascii="Calibri" w:hAnsi="Calibri" w:cs="Calibri"/>
          <w:sz w:val="24"/>
        </w:rPr>
        <w:t>S</w:t>
      </w:r>
      <w:r w:rsidRPr="00186A0E">
        <w:rPr>
          <w:rFonts w:ascii="Calibri" w:hAnsi="Calibri" w:cs="Calibri"/>
          <w:sz w:val="24"/>
        </w:rPr>
        <w:t>mlouvě.</w:t>
      </w:r>
    </w:p>
    <w:p w:rsidR="00272CF0" w:rsidRPr="0006237A" w:rsidRDefault="00272CF0" w:rsidP="00A56FF6">
      <w:pPr>
        <w:jc w:val="both"/>
        <w:rPr>
          <w:rFonts w:ascii="Calibri" w:hAnsi="Calibri" w:cs="Calibri"/>
          <w:lang w:val="cs-CZ" w:eastAsia="cs-CZ"/>
        </w:rPr>
      </w:pPr>
      <w:r w:rsidRPr="0006237A">
        <w:rPr>
          <w:rFonts w:ascii="Calibri" w:hAnsi="Calibri" w:cs="Calibri"/>
          <w:lang w:val="cs-CZ" w:eastAsia="cs-CZ"/>
        </w:rPr>
        <w:t>6.</w:t>
      </w:r>
      <w:r w:rsidR="00186A0E">
        <w:rPr>
          <w:rFonts w:ascii="Calibri" w:hAnsi="Calibri" w:cs="Calibri"/>
          <w:lang w:val="cs-CZ" w:eastAsia="cs-CZ"/>
        </w:rPr>
        <w:t>2</w:t>
      </w:r>
      <w:r w:rsidRPr="0006237A">
        <w:rPr>
          <w:rFonts w:ascii="Calibri" w:hAnsi="Calibri" w:cs="Calibri"/>
          <w:lang w:val="cs-CZ" w:eastAsia="cs-CZ"/>
        </w:rPr>
        <w:t xml:space="preserve"> </w:t>
      </w:r>
      <w:r w:rsidR="00186A0E">
        <w:rPr>
          <w:rFonts w:ascii="Calibri" w:hAnsi="Calibri" w:cs="Calibri"/>
          <w:lang w:val="cs-CZ" w:eastAsia="cs-CZ"/>
        </w:rPr>
        <w:t>Smluvní strany se dohodly, že c</w:t>
      </w:r>
      <w:r w:rsidRPr="0006237A">
        <w:rPr>
          <w:rFonts w:ascii="Calibri" w:hAnsi="Calibri" w:cs="Calibri"/>
          <w:lang w:val="cs-CZ" w:eastAsia="cs-CZ"/>
        </w:rPr>
        <w:t>ena celkem za předmět plnění</w:t>
      </w:r>
      <w:r w:rsidR="0006237A">
        <w:rPr>
          <w:rFonts w:ascii="Calibri" w:hAnsi="Calibri" w:cs="Calibri"/>
          <w:lang w:val="cs-CZ" w:eastAsia="cs-CZ"/>
        </w:rPr>
        <w:t xml:space="preserve"> je</w:t>
      </w:r>
      <w:r w:rsidRPr="0006237A">
        <w:rPr>
          <w:rFonts w:ascii="Calibri" w:hAnsi="Calibri" w:cs="Calibri"/>
          <w:lang w:val="cs-CZ" w:eastAsia="cs-CZ"/>
        </w:rPr>
        <w:t xml:space="preserve"> 947.945,00 Kč bez DPH, resp. 1.147.013,45 Kč </w:t>
      </w:r>
      <w:r w:rsidR="00186A0E">
        <w:rPr>
          <w:rFonts w:ascii="Calibri" w:hAnsi="Calibri" w:cs="Calibri"/>
          <w:lang w:val="cs-CZ" w:eastAsia="cs-CZ"/>
        </w:rPr>
        <w:t>včetně</w:t>
      </w:r>
      <w:r w:rsidRPr="0006237A">
        <w:rPr>
          <w:rFonts w:ascii="Calibri" w:hAnsi="Calibri" w:cs="Calibri"/>
          <w:lang w:val="cs-CZ" w:eastAsia="cs-CZ"/>
        </w:rPr>
        <w:t xml:space="preserve"> DPH.</w:t>
      </w:r>
    </w:p>
    <w:p w:rsidR="00740B7E" w:rsidRPr="00272CF0" w:rsidRDefault="008805D7" w:rsidP="00A56FF6">
      <w:pPr>
        <w:jc w:val="both"/>
        <w:rPr>
          <w:rFonts w:ascii="Calibri" w:hAnsi="Calibri" w:cs="Calibri"/>
          <w:lang w:val="cs-CZ"/>
        </w:rPr>
      </w:pPr>
      <w:r w:rsidRPr="00272CF0">
        <w:rPr>
          <w:rFonts w:ascii="Calibri" w:hAnsi="Calibri" w:cs="Calibri"/>
          <w:lang w:val="cs-CZ"/>
        </w:rPr>
        <w:t>6.</w:t>
      </w:r>
      <w:r w:rsidR="00186A0E">
        <w:rPr>
          <w:rFonts w:ascii="Calibri" w:hAnsi="Calibri" w:cs="Calibri"/>
          <w:lang w:val="cs-CZ"/>
        </w:rPr>
        <w:t>3</w:t>
      </w:r>
      <w:r w:rsidRPr="00272CF0">
        <w:rPr>
          <w:rFonts w:ascii="Calibri" w:hAnsi="Calibri" w:cs="Calibri"/>
          <w:lang w:val="cs-CZ"/>
        </w:rPr>
        <w:t xml:space="preserve"> </w:t>
      </w:r>
      <w:r w:rsidR="0006237A">
        <w:rPr>
          <w:rFonts w:ascii="Calibri" w:hAnsi="Calibri" w:cs="Calibri"/>
          <w:lang w:val="cs-CZ"/>
        </w:rPr>
        <w:t>Rozpis c</w:t>
      </w:r>
      <w:r w:rsidRPr="00272CF0">
        <w:rPr>
          <w:rFonts w:ascii="Calibri" w:hAnsi="Calibri" w:cs="Calibri"/>
          <w:lang w:val="cs-CZ"/>
        </w:rPr>
        <w:t>en</w:t>
      </w:r>
      <w:r w:rsidR="0006237A">
        <w:rPr>
          <w:rFonts w:ascii="Calibri" w:hAnsi="Calibri" w:cs="Calibri"/>
          <w:lang w:val="cs-CZ"/>
        </w:rPr>
        <w:t>y</w:t>
      </w:r>
      <w:r w:rsidRPr="00272CF0">
        <w:rPr>
          <w:rFonts w:ascii="Calibri" w:hAnsi="Calibri" w:cs="Calibri"/>
          <w:lang w:val="cs-CZ"/>
        </w:rPr>
        <w:t xml:space="preserve"> za dodávku licencí</w:t>
      </w:r>
      <w:r w:rsidR="0059194B" w:rsidRPr="00272CF0">
        <w:rPr>
          <w:rFonts w:ascii="Calibri" w:hAnsi="Calibri" w:cs="Calibri"/>
          <w:lang w:val="cs-CZ"/>
        </w:rPr>
        <w:t xml:space="preserve"> </w:t>
      </w:r>
      <w:r w:rsidRPr="00272CF0">
        <w:rPr>
          <w:rFonts w:ascii="Calibri" w:hAnsi="Calibri" w:cs="Calibri"/>
          <w:lang w:val="cs-CZ"/>
        </w:rPr>
        <w:t xml:space="preserve">podle čl. </w:t>
      </w:r>
      <w:r w:rsidR="00243BBC">
        <w:rPr>
          <w:rFonts w:ascii="Calibri" w:hAnsi="Calibri" w:cs="Calibri"/>
          <w:lang w:val="cs-CZ"/>
        </w:rPr>
        <w:t>3</w:t>
      </w:r>
      <w:r w:rsidR="0059194B" w:rsidRPr="00272CF0">
        <w:rPr>
          <w:rFonts w:ascii="Calibri" w:hAnsi="Calibri" w:cs="Calibri"/>
          <w:lang w:val="cs-CZ"/>
        </w:rPr>
        <w:t>.1</w:t>
      </w:r>
      <w:r w:rsidRPr="00272CF0">
        <w:rPr>
          <w:rFonts w:ascii="Calibri" w:hAnsi="Calibri" w:cs="Calibri"/>
          <w:lang w:val="cs-CZ"/>
        </w:rPr>
        <w:t xml:space="preserve"> </w:t>
      </w:r>
      <w:r w:rsidR="0006237A">
        <w:rPr>
          <w:rFonts w:ascii="Calibri" w:hAnsi="Calibri" w:cs="Calibri"/>
          <w:lang w:val="cs-CZ"/>
        </w:rPr>
        <w:t>je uveden</w:t>
      </w:r>
      <w:r w:rsidR="0059194B" w:rsidRPr="00272CF0">
        <w:rPr>
          <w:rFonts w:ascii="Calibri" w:hAnsi="Calibri" w:cs="Calibri"/>
          <w:lang w:val="cs-CZ"/>
        </w:rPr>
        <w:t xml:space="preserve"> </w:t>
      </w:r>
      <w:r w:rsidR="00E77ADC">
        <w:rPr>
          <w:rFonts w:ascii="Calibri" w:hAnsi="Calibri" w:cs="Calibri"/>
          <w:lang w:val="cs-CZ"/>
        </w:rPr>
        <w:t xml:space="preserve">v </w:t>
      </w:r>
      <w:r w:rsidRPr="00272CF0">
        <w:rPr>
          <w:rFonts w:ascii="Calibri" w:hAnsi="Calibri" w:cs="Calibri"/>
          <w:lang w:val="cs-CZ"/>
        </w:rPr>
        <w:t>Přílo</w:t>
      </w:r>
      <w:r w:rsidR="0006237A">
        <w:rPr>
          <w:rFonts w:ascii="Calibri" w:hAnsi="Calibri" w:cs="Calibri"/>
          <w:lang w:val="cs-CZ"/>
        </w:rPr>
        <w:t>ze</w:t>
      </w:r>
      <w:r w:rsidRPr="00272CF0">
        <w:rPr>
          <w:rFonts w:ascii="Calibri" w:hAnsi="Calibri" w:cs="Calibri"/>
          <w:lang w:val="cs-CZ"/>
        </w:rPr>
        <w:t xml:space="preserve"> A</w:t>
      </w:r>
      <w:r w:rsidR="00740B7E" w:rsidRPr="00272CF0">
        <w:rPr>
          <w:rFonts w:ascii="Calibri" w:hAnsi="Calibri" w:cs="Calibri"/>
          <w:lang w:val="cs-CZ"/>
        </w:rPr>
        <w:t xml:space="preserve"> čl. 1</w:t>
      </w:r>
      <w:r w:rsidRPr="00272CF0">
        <w:rPr>
          <w:rFonts w:ascii="Calibri" w:hAnsi="Calibri" w:cs="Calibri"/>
          <w:lang w:val="cs-CZ"/>
        </w:rPr>
        <w:t>.</w:t>
      </w:r>
    </w:p>
    <w:p w:rsidR="00740B7E" w:rsidRPr="00272CF0" w:rsidRDefault="0059194B" w:rsidP="00A56FF6">
      <w:pPr>
        <w:jc w:val="both"/>
        <w:rPr>
          <w:rFonts w:ascii="Calibri" w:hAnsi="Calibri" w:cs="Calibri"/>
          <w:lang w:val="cs-CZ"/>
        </w:rPr>
      </w:pPr>
      <w:r w:rsidRPr="00272CF0">
        <w:rPr>
          <w:rFonts w:ascii="Calibri" w:hAnsi="Calibri" w:cs="Calibri"/>
          <w:lang w:val="cs-CZ"/>
        </w:rPr>
        <w:t>6.</w:t>
      </w:r>
      <w:r w:rsidR="00186A0E">
        <w:rPr>
          <w:rFonts w:ascii="Calibri" w:hAnsi="Calibri" w:cs="Calibri"/>
          <w:lang w:val="cs-CZ"/>
        </w:rPr>
        <w:t>4</w:t>
      </w:r>
      <w:r w:rsidRPr="00272CF0">
        <w:rPr>
          <w:rFonts w:ascii="Calibri" w:hAnsi="Calibri" w:cs="Calibri"/>
          <w:lang w:val="cs-CZ"/>
        </w:rPr>
        <w:t xml:space="preserve"> </w:t>
      </w:r>
      <w:r w:rsidR="0006237A">
        <w:rPr>
          <w:rFonts w:ascii="Calibri" w:hAnsi="Calibri" w:cs="Calibri"/>
          <w:lang w:val="cs-CZ"/>
        </w:rPr>
        <w:t>Rozpis c</w:t>
      </w:r>
      <w:r w:rsidRPr="00272CF0">
        <w:rPr>
          <w:rFonts w:ascii="Calibri" w:hAnsi="Calibri" w:cs="Calibri"/>
          <w:lang w:val="cs-CZ"/>
        </w:rPr>
        <w:t xml:space="preserve">ena za prodloužení IBM technické podpory licencí podle čl. </w:t>
      </w:r>
      <w:r w:rsidR="00243BBC">
        <w:rPr>
          <w:rFonts w:ascii="Calibri" w:hAnsi="Calibri" w:cs="Calibri"/>
          <w:lang w:val="cs-CZ"/>
        </w:rPr>
        <w:t>3</w:t>
      </w:r>
      <w:r w:rsidRPr="00272CF0">
        <w:rPr>
          <w:rFonts w:ascii="Calibri" w:hAnsi="Calibri" w:cs="Calibri"/>
          <w:lang w:val="cs-CZ"/>
        </w:rPr>
        <w:t>.2 o další rok</w:t>
      </w:r>
      <w:r w:rsidR="00740B7E" w:rsidRPr="00272CF0">
        <w:rPr>
          <w:rFonts w:ascii="Calibri" w:hAnsi="Calibri" w:cs="Calibri"/>
          <w:lang w:val="cs-CZ"/>
        </w:rPr>
        <w:t xml:space="preserve"> </w:t>
      </w:r>
      <w:r w:rsidR="0006237A">
        <w:rPr>
          <w:rFonts w:ascii="Calibri" w:hAnsi="Calibri" w:cs="Calibri"/>
          <w:lang w:val="cs-CZ"/>
        </w:rPr>
        <w:t>je uveden</w:t>
      </w:r>
      <w:r w:rsidR="00740B7E" w:rsidRPr="00272CF0">
        <w:rPr>
          <w:rFonts w:ascii="Calibri" w:hAnsi="Calibri" w:cs="Calibri"/>
          <w:lang w:val="cs-CZ"/>
        </w:rPr>
        <w:t xml:space="preserve"> </w:t>
      </w:r>
      <w:r w:rsidR="0006237A">
        <w:rPr>
          <w:rFonts w:ascii="Calibri" w:hAnsi="Calibri" w:cs="Calibri"/>
          <w:lang w:val="cs-CZ"/>
        </w:rPr>
        <w:t xml:space="preserve">v </w:t>
      </w:r>
      <w:r w:rsidR="00740B7E" w:rsidRPr="00272CF0">
        <w:rPr>
          <w:rFonts w:ascii="Calibri" w:hAnsi="Calibri" w:cs="Calibri"/>
          <w:lang w:val="cs-CZ"/>
        </w:rPr>
        <w:t>Přílo</w:t>
      </w:r>
      <w:r w:rsidR="0006237A">
        <w:rPr>
          <w:rFonts w:ascii="Calibri" w:hAnsi="Calibri" w:cs="Calibri"/>
          <w:lang w:val="cs-CZ"/>
        </w:rPr>
        <w:t>ze</w:t>
      </w:r>
      <w:r w:rsidR="00740B7E" w:rsidRPr="00272CF0">
        <w:rPr>
          <w:rFonts w:ascii="Calibri" w:hAnsi="Calibri" w:cs="Calibri"/>
          <w:lang w:val="cs-CZ"/>
        </w:rPr>
        <w:t xml:space="preserve"> A čl. 2.</w:t>
      </w:r>
    </w:p>
    <w:p w:rsidR="00272CF0" w:rsidRPr="00272CF0" w:rsidRDefault="008805D7" w:rsidP="00A56FF6">
      <w:pPr>
        <w:jc w:val="both"/>
        <w:rPr>
          <w:rFonts w:ascii="Calibri" w:hAnsi="Calibri" w:cs="Calibri"/>
          <w:lang w:val="cs-CZ"/>
        </w:rPr>
      </w:pPr>
      <w:r w:rsidRPr="00272CF0">
        <w:rPr>
          <w:rFonts w:ascii="Calibri" w:hAnsi="Calibri" w:cs="Calibri"/>
          <w:lang w:val="cs-CZ"/>
        </w:rPr>
        <w:t>6.</w:t>
      </w:r>
      <w:r w:rsidR="00186A0E">
        <w:rPr>
          <w:rFonts w:ascii="Calibri" w:hAnsi="Calibri" w:cs="Calibri"/>
          <w:lang w:val="cs-CZ"/>
        </w:rPr>
        <w:t>5</w:t>
      </w:r>
      <w:r w:rsidRPr="00272CF0">
        <w:rPr>
          <w:rFonts w:ascii="Calibri" w:hAnsi="Calibri" w:cs="Calibri"/>
          <w:lang w:val="cs-CZ"/>
        </w:rPr>
        <w:t xml:space="preserve"> Cena za službu migrace</w:t>
      </w:r>
      <w:r w:rsidR="00272CF0" w:rsidRPr="00272CF0">
        <w:rPr>
          <w:rFonts w:ascii="Calibri" w:hAnsi="Calibri" w:cs="Calibri"/>
          <w:lang w:val="cs-CZ"/>
        </w:rPr>
        <w:t xml:space="preserve"> podle č</w:t>
      </w:r>
      <w:r w:rsidR="00B24177">
        <w:rPr>
          <w:rFonts w:ascii="Calibri" w:hAnsi="Calibri" w:cs="Calibri"/>
          <w:lang w:val="cs-CZ"/>
        </w:rPr>
        <w:t>l</w:t>
      </w:r>
      <w:r w:rsidR="00272CF0" w:rsidRPr="00272CF0">
        <w:rPr>
          <w:rFonts w:ascii="Calibri" w:hAnsi="Calibri" w:cs="Calibri"/>
          <w:lang w:val="cs-CZ"/>
        </w:rPr>
        <w:t xml:space="preserve">. </w:t>
      </w:r>
      <w:r w:rsidR="00243BBC">
        <w:rPr>
          <w:rFonts w:ascii="Calibri" w:hAnsi="Calibri" w:cs="Calibri"/>
          <w:lang w:val="cs-CZ"/>
        </w:rPr>
        <w:t>4</w:t>
      </w:r>
      <w:r w:rsidR="00243BBC" w:rsidRPr="00272CF0">
        <w:rPr>
          <w:rFonts w:ascii="Calibri" w:hAnsi="Calibri" w:cs="Calibri"/>
          <w:lang w:val="cs-CZ"/>
        </w:rPr>
        <w:t xml:space="preserve"> </w:t>
      </w:r>
      <w:r w:rsidR="0006237A">
        <w:rPr>
          <w:rFonts w:ascii="Calibri" w:hAnsi="Calibri" w:cs="Calibri"/>
          <w:lang w:val="cs-CZ"/>
        </w:rPr>
        <w:t>je uvedena v</w:t>
      </w:r>
      <w:r w:rsidR="00272CF0" w:rsidRPr="00272CF0">
        <w:rPr>
          <w:rFonts w:ascii="Calibri" w:hAnsi="Calibri" w:cs="Calibri"/>
          <w:lang w:val="cs-CZ"/>
        </w:rPr>
        <w:t xml:space="preserve"> Přílo</w:t>
      </w:r>
      <w:r w:rsidR="0006237A">
        <w:rPr>
          <w:rFonts w:ascii="Calibri" w:hAnsi="Calibri" w:cs="Calibri"/>
          <w:lang w:val="cs-CZ"/>
        </w:rPr>
        <w:t>ze</w:t>
      </w:r>
      <w:r w:rsidR="00272CF0" w:rsidRPr="00272CF0">
        <w:rPr>
          <w:rFonts w:ascii="Calibri" w:hAnsi="Calibri" w:cs="Calibri"/>
          <w:lang w:val="cs-CZ"/>
        </w:rPr>
        <w:t xml:space="preserve"> A čl. 3.</w:t>
      </w:r>
    </w:p>
    <w:p w:rsidR="00272CF0" w:rsidRPr="00272CF0" w:rsidRDefault="00272CF0" w:rsidP="00A56FF6">
      <w:pPr>
        <w:jc w:val="both"/>
        <w:rPr>
          <w:rFonts w:ascii="Calibri" w:hAnsi="Calibri" w:cs="Calibri"/>
          <w:lang w:val="cs-CZ"/>
        </w:rPr>
      </w:pPr>
      <w:r w:rsidRPr="00272CF0">
        <w:rPr>
          <w:rFonts w:ascii="Calibri" w:hAnsi="Calibri" w:cs="Calibri"/>
          <w:lang w:val="cs-CZ"/>
        </w:rPr>
        <w:t>6.</w:t>
      </w:r>
      <w:r w:rsidR="00186A0E">
        <w:rPr>
          <w:rFonts w:ascii="Calibri" w:hAnsi="Calibri" w:cs="Calibri"/>
          <w:lang w:val="cs-CZ"/>
        </w:rPr>
        <w:t>6</w:t>
      </w:r>
      <w:r w:rsidRPr="00272CF0">
        <w:rPr>
          <w:rFonts w:ascii="Calibri" w:hAnsi="Calibri" w:cs="Calibri"/>
          <w:lang w:val="cs-CZ"/>
        </w:rPr>
        <w:t xml:space="preserve"> Milníky pro fakturaci:</w:t>
      </w:r>
    </w:p>
    <w:p w:rsidR="00272CF0" w:rsidRPr="00272CF0" w:rsidRDefault="008805D7" w:rsidP="00A56FF6">
      <w:pPr>
        <w:pStyle w:val="Odstavecseseznamem"/>
      </w:pPr>
      <w:r w:rsidRPr="00272CF0">
        <w:t xml:space="preserve">Předání licencí / </w:t>
      </w:r>
      <w:proofErr w:type="spellStart"/>
      <w:r w:rsidRPr="00272CF0">
        <w:t>PoE</w:t>
      </w:r>
      <w:proofErr w:type="spellEnd"/>
      <w:r w:rsidRPr="00272CF0">
        <w:t xml:space="preserve"> (</w:t>
      </w:r>
      <w:proofErr w:type="spellStart"/>
      <w:r w:rsidRPr="00272CF0">
        <w:t>Proof</w:t>
      </w:r>
      <w:proofErr w:type="spellEnd"/>
      <w:r w:rsidRPr="00272CF0">
        <w:t xml:space="preserve"> </w:t>
      </w:r>
      <w:proofErr w:type="spellStart"/>
      <w:r w:rsidRPr="00272CF0">
        <w:t>of</w:t>
      </w:r>
      <w:proofErr w:type="spellEnd"/>
      <w:r w:rsidRPr="00272CF0">
        <w:t xml:space="preserve"> </w:t>
      </w:r>
      <w:proofErr w:type="spellStart"/>
      <w:r w:rsidRPr="00272CF0">
        <w:t>Entitlement</w:t>
      </w:r>
      <w:proofErr w:type="spellEnd"/>
      <w:r w:rsidRPr="00272CF0">
        <w:t>)</w:t>
      </w:r>
    </w:p>
    <w:p w:rsidR="00272CF0" w:rsidRPr="00272CF0" w:rsidRDefault="008805D7" w:rsidP="00A56FF6">
      <w:pPr>
        <w:pStyle w:val="Odstavecseseznamem"/>
      </w:pPr>
      <w:r w:rsidRPr="00272CF0">
        <w:t>Předání služby migrace (akceptační protokol)</w:t>
      </w:r>
    </w:p>
    <w:p w:rsidR="00272CF0" w:rsidRPr="00272CF0" w:rsidRDefault="008805D7" w:rsidP="00A56FF6">
      <w:pPr>
        <w:jc w:val="both"/>
        <w:rPr>
          <w:rFonts w:ascii="Calibri" w:hAnsi="Calibri" w:cs="Calibri"/>
          <w:lang w:val="cs-CZ"/>
        </w:rPr>
      </w:pPr>
      <w:r w:rsidRPr="00272CF0">
        <w:rPr>
          <w:rFonts w:ascii="Calibri" w:hAnsi="Calibri" w:cs="Calibri"/>
          <w:lang w:val="cs-CZ"/>
        </w:rPr>
        <w:t>6.</w:t>
      </w:r>
      <w:r w:rsidR="00186A0E">
        <w:rPr>
          <w:rFonts w:ascii="Calibri" w:hAnsi="Calibri" w:cs="Calibri"/>
          <w:lang w:val="cs-CZ"/>
        </w:rPr>
        <w:t>7</w:t>
      </w:r>
      <w:r w:rsidRPr="00272CF0">
        <w:rPr>
          <w:rFonts w:ascii="Calibri" w:hAnsi="Calibri" w:cs="Calibri"/>
          <w:lang w:val="cs-CZ"/>
        </w:rPr>
        <w:t xml:space="preserve"> </w:t>
      </w:r>
      <w:r w:rsidR="00272CF0" w:rsidRPr="00272CF0">
        <w:rPr>
          <w:rFonts w:ascii="Calibri" w:hAnsi="Calibri" w:cs="Calibri"/>
          <w:lang w:val="cs-CZ"/>
        </w:rPr>
        <w:t>Lhůta s</w:t>
      </w:r>
      <w:r w:rsidRPr="00272CF0">
        <w:rPr>
          <w:rFonts w:ascii="Calibri" w:hAnsi="Calibri" w:cs="Calibri"/>
          <w:lang w:val="cs-CZ"/>
        </w:rPr>
        <w:t>platnost</w:t>
      </w:r>
      <w:r w:rsidR="00272CF0" w:rsidRPr="00272CF0">
        <w:rPr>
          <w:rFonts w:ascii="Calibri" w:hAnsi="Calibri" w:cs="Calibri"/>
          <w:lang w:val="cs-CZ"/>
        </w:rPr>
        <w:t xml:space="preserve">i daňového dokladu je </w:t>
      </w:r>
      <w:r w:rsidRPr="00272CF0">
        <w:rPr>
          <w:rFonts w:ascii="Calibri" w:hAnsi="Calibri" w:cs="Calibri"/>
          <w:lang w:val="cs-CZ"/>
        </w:rPr>
        <w:t>30 dnů od data zdanitelného plnění; DPH dle právních předpisů k datu plnění.</w:t>
      </w:r>
    </w:p>
    <w:p w:rsidR="00272CF0" w:rsidRDefault="00272CF0" w:rsidP="00A56FF6">
      <w:pPr>
        <w:jc w:val="both"/>
        <w:rPr>
          <w:rFonts w:ascii="Calibri" w:hAnsi="Calibri" w:cs="Calibri"/>
          <w:lang w:val="cs-CZ" w:eastAsia="cs-CZ"/>
        </w:rPr>
      </w:pPr>
      <w:r w:rsidRPr="00272CF0">
        <w:rPr>
          <w:rFonts w:ascii="Calibri" w:hAnsi="Calibri" w:cs="Calibri"/>
          <w:lang w:val="cs-CZ"/>
        </w:rPr>
        <w:lastRenderedPageBreak/>
        <w:t>6.</w:t>
      </w:r>
      <w:r w:rsidR="00186A0E">
        <w:rPr>
          <w:rFonts w:ascii="Calibri" w:hAnsi="Calibri" w:cs="Calibri"/>
          <w:lang w:val="cs-CZ"/>
        </w:rPr>
        <w:t>8</w:t>
      </w:r>
      <w:r w:rsidRPr="00272CF0">
        <w:rPr>
          <w:rFonts w:ascii="Calibri" w:hAnsi="Calibri" w:cs="Calibri"/>
          <w:lang w:val="cs-CZ"/>
        </w:rPr>
        <w:t xml:space="preserve"> </w:t>
      </w:r>
      <w:r w:rsidRPr="00272CF0">
        <w:rPr>
          <w:rFonts w:ascii="Calibri" w:hAnsi="Calibri" w:cs="Calibri"/>
          <w:lang w:val="cs-CZ" w:eastAsia="cs-CZ"/>
        </w:rPr>
        <w:t xml:space="preserve">Cena za předmět plnění je splatná na základě fakturace Dodavatele zaslané v elektronické formě Objednateli.  </w:t>
      </w:r>
    </w:p>
    <w:p w:rsidR="00D21687" w:rsidRPr="00BE7AC8" w:rsidRDefault="00186A0E">
      <w:pPr>
        <w:pStyle w:val="Nadpis3"/>
        <w:rPr>
          <w:rFonts w:ascii="Calibri" w:hAnsi="Calibri" w:cs="Calibri"/>
          <w:b/>
          <w:bCs/>
          <w:color w:val="215E99" w:themeColor="text2" w:themeTint="BF"/>
          <w:lang w:val="cs-CZ"/>
        </w:rPr>
      </w:pPr>
      <w:bookmarkStart w:id="7" w:name="součinnost-a-předpoklady"/>
      <w:bookmarkEnd w:id="6"/>
      <w:r>
        <w:rPr>
          <w:rFonts w:ascii="Calibri" w:hAnsi="Calibri" w:cs="Calibri"/>
          <w:b/>
          <w:bCs/>
          <w:color w:val="215E99" w:themeColor="text2" w:themeTint="BF"/>
          <w:lang w:val="cs-CZ"/>
        </w:rPr>
        <w:t>7</w:t>
      </w:r>
      <w:r w:rsidRPr="00BE7AC8">
        <w:rPr>
          <w:rFonts w:ascii="Calibri" w:hAnsi="Calibri" w:cs="Calibri"/>
          <w:b/>
          <w:bCs/>
          <w:color w:val="215E99" w:themeColor="text2" w:themeTint="BF"/>
          <w:lang w:val="cs-CZ"/>
        </w:rPr>
        <w:t>. Součinnost a předpoklady</w:t>
      </w:r>
    </w:p>
    <w:p w:rsidR="00D21687" w:rsidRPr="00C76534" w:rsidRDefault="008805D7" w:rsidP="00EC10E1">
      <w:pPr>
        <w:pStyle w:val="Compact"/>
        <w:numPr>
          <w:ilvl w:val="0"/>
          <w:numId w:val="24"/>
        </w:numPr>
        <w:rPr>
          <w:rFonts w:ascii="Calibri" w:hAnsi="Calibri" w:cs="Calibri"/>
          <w:lang w:val="cs-CZ"/>
        </w:rPr>
      </w:pPr>
      <w:r w:rsidRPr="00C76534">
        <w:rPr>
          <w:rFonts w:ascii="Calibri" w:hAnsi="Calibri" w:cs="Calibri"/>
          <w:lang w:val="cs-CZ"/>
        </w:rPr>
        <w:t>Přístupy a oprávnění.</w:t>
      </w:r>
      <w:r w:rsidRPr="00C76534">
        <w:rPr>
          <w:rFonts w:ascii="Calibri" w:hAnsi="Calibri" w:cs="Calibri"/>
          <w:lang w:val="cs-CZ"/>
        </w:rPr>
        <w:br/>
      </w:r>
    </w:p>
    <w:p w:rsidR="00D21687" w:rsidRPr="00C76534" w:rsidRDefault="008805D7" w:rsidP="00EC10E1">
      <w:pPr>
        <w:pStyle w:val="Compact"/>
        <w:numPr>
          <w:ilvl w:val="0"/>
          <w:numId w:val="24"/>
        </w:numPr>
        <w:rPr>
          <w:rFonts w:ascii="Calibri" w:hAnsi="Calibri" w:cs="Calibri"/>
          <w:lang w:val="cs-CZ"/>
        </w:rPr>
      </w:pPr>
      <w:r w:rsidRPr="00C76534">
        <w:rPr>
          <w:rFonts w:ascii="Calibri" w:hAnsi="Calibri" w:cs="Calibri"/>
          <w:lang w:val="cs-CZ"/>
        </w:rPr>
        <w:t xml:space="preserve">Připravenost cílového prostředí (OS, síť, </w:t>
      </w:r>
      <w:proofErr w:type="spellStart"/>
      <w:r w:rsidRPr="00C76534">
        <w:rPr>
          <w:rFonts w:ascii="Calibri" w:hAnsi="Calibri" w:cs="Calibri"/>
          <w:lang w:val="cs-CZ"/>
        </w:rPr>
        <w:t>storage</w:t>
      </w:r>
      <w:proofErr w:type="spellEnd"/>
      <w:r w:rsidRPr="00C76534">
        <w:rPr>
          <w:rFonts w:ascii="Calibri" w:hAnsi="Calibri" w:cs="Calibri"/>
          <w:lang w:val="cs-CZ"/>
        </w:rPr>
        <w:t>).</w:t>
      </w:r>
      <w:r w:rsidRPr="00C76534">
        <w:rPr>
          <w:rFonts w:ascii="Calibri" w:hAnsi="Calibri" w:cs="Calibri"/>
          <w:lang w:val="cs-CZ"/>
        </w:rPr>
        <w:br/>
      </w:r>
    </w:p>
    <w:p w:rsidR="00D21687" w:rsidRPr="00E77ADC" w:rsidRDefault="0006237A" w:rsidP="00E77ADC">
      <w:pPr>
        <w:pStyle w:val="Compact"/>
        <w:numPr>
          <w:ilvl w:val="0"/>
          <w:numId w:val="24"/>
        </w:numPr>
        <w:rPr>
          <w:rFonts w:ascii="Calibri" w:hAnsi="Calibri" w:cs="Calibri"/>
          <w:lang w:val="cs-CZ"/>
        </w:rPr>
      </w:pPr>
      <w:r w:rsidRPr="00E77ADC">
        <w:rPr>
          <w:rFonts w:ascii="Calibri" w:hAnsi="Calibri" w:cs="Calibri"/>
          <w:lang w:val="cs-CZ"/>
        </w:rPr>
        <w:t>Připravenost týmu Objednatele.</w:t>
      </w:r>
      <w:r w:rsidRPr="00E77ADC">
        <w:rPr>
          <w:rFonts w:ascii="Calibri" w:hAnsi="Calibri" w:cs="Calibri"/>
          <w:lang w:val="cs-CZ"/>
        </w:rPr>
        <w:br/>
      </w:r>
    </w:p>
    <w:p w:rsidR="00D21687" w:rsidRPr="00BE7AC8" w:rsidRDefault="00186A0E">
      <w:pPr>
        <w:pStyle w:val="Nadpis3"/>
        <w:rPr>
          <w:rFonts w:ascii="Calibri" w:hAnsi="Calibri" w:cs="Calibri"/>
          <w:b/>
          <w:bCs/>
          <w:color w:val="215E99" w:themeColor="text2" w:themeTint="BF"/>
          <w:lang w:val="cs-CZ"/>
        </w:rPr>
      </w:pPr>
      <w:bookmarkStart w:id="8" w:name="odpovědnost-záruky-mlčenlivost-základ"/>
      <w:bookmarkEnd w:id="7"/>
      <w:r>
        <w:rPr>
          <w:rFonts w:ascii="Calibri" w:hAnsi="Calibri" w:cs="Calibri"/>
          <w:b/>
          <w:bCs/>
          <w:color w:val="215E99" w:themeColor="text2" w:themeTint="BF"/>
          <w:lang w:val="cs-CZ"/>
        </w:rPr>
        <w:t>8</w:t>
      </w:r>
      <w:r w:rsidRPr="00BE7AC8">
        <w:rPr>
          <w:rFonts w:ascii="Calibri" w:hAnsi="Calibri" w:cs="Calibri"/>
          <w:b/>
          <w:bCs/>
          <w:color w:val="215E99" w:themeColor="text2" w:themeTint="BF"/>
          <w:lang w:val="cs-CZ"/>
        </w:rPr>
        <w:t>. Odpovědnost, záruky, mlčenlivost</w:t>
      </w:r>
    </w:p>
    <w:p w:rsidR="0006237A" w:rsidRPr="0006237A" w:rsidRDefault="00186A0E" w:rsidP="00A56FF6">
      <w:pPr>
        <w:jc w:val="both"/>
        <w:rPr>
          <w:rFonts w:ascii="Calibri" w:hAnsi="Calibri" w:cs="Calibri"/>
          <w:lang w:val="cs-CZ"/>
        </w:rPr>
      </w:pPr>
      <w:r>
        <w:rPr>
          <w:rFonts w:ascii="Calibri" w:hAnsi="Calibri" w:cs="Calibri"/>
          <w:lang w:val="cs-CZ"/>
        </w:rPr>
        <w:t>8</w:t>
      </w:r>
      <w:r w:rsidR="0006237A">
        <w:rPr>
          <w:rFonts w:ascii="Calibri" w:hAnsi="Calibri" w:cs="Calibri"/>
          <w:lang w:val="cs-CZ"/>
        </w:rPr>
        <w:t xml:space="preserve">.1 </w:t>
      </w:r>
      <w:r w:rsidRPr="0006237A">
        <w:rPr>
          <w:rFonts w:ascii="Calibri" w:hAnsi="Calibri" w:cs="Calibri"/>
          <w:lang w:val="cs-CZ"/>
        </w:rPr>
        <w:t>Záruka na práce: 30 dní od akceptace.</w:t>
      </w:r>
    </w:p>
    <w:p w:rsidR="0006237A" w:rsidRDefault="00186A0E" w:rsidP="00A56FF6">
      <w:pPr>
        <w:jc w:val="both"/>
        <w:rPr>
          <w:rFonts w:ascii="Calibri" w:hAnsi="Calibri" w:cs="Calibri"/>
          <w:lang w:val="cs-CZ"/>
        </w:rPr>
      </w:pPr>
      <w:r>
        <w:rPr>
          <w:rFonts w:ascii="Calibri" w:hAnsi="Calibri" w:cs="Calibri"/>
          <w:lang w:val="cs-CZ"/>
        </w:rPr>
        <w:t>8</w:t>
      </w:r>
      <w:r w:rsidR="0006237A">
        <w:rPr>
          <w:rFonts w:ascii="Calibri" w:hAnsi="Calibri" w:cs="Calibri"/>
          <w:lang w:val="cs-CZ"/>
        </w:rPr>
        <w:t xml:space="preserve">.2 </w:t>
      </w:r>
      <w:r w:rsidRPr="0006237A">
        <w:rPr>
          <w:rFonts w:ascii="Calibri" w:hAnsi="Calibri" w:cs="Calibri"/>
          <w:lang w:val="cs-CZ"/>
        </w:rPr>
        <w:t>Limitace odpovědnosti: do výše ceny díla; vyloučení následných škod.</w:t>
      </w:r>
      <w:r w:rsidR="008D0BC9">
        <w:rPr>
          <w:rFonts w:ascii="Calibri" w:hAnsi="Calibri" w:cs="Calibri"/>
          <w:lang w:val="cs-CZ"/>
        </w:rPr>
        <w:t xml:space="preserve"> Zhotovitel ručí za kvalitu a úplnost prací dle standardů a požadavků objednatele v rozsahu prací uvedených v čl. 4.</w:t>
      </w:r>
    </w:p>
    <w:p w:rsidR="00D21687" w:rsidRPr="0006237A" w:rsidRDefault="00186A0E" w:rsidP="00A56FF6">
      <w:pPr>
        <w:jc w:val="both"/>
        <w:rPr>
          <w:rFonts w:ascii="Calibri" w:hAnsi="Calibri" w:cs="Calibri"/>
          <w:lang w:val="cs-CZ"/>
        </w:rPr>
      </w:pPr>
      <w:r>
        <w:rPr>
          <w:rFonts w:ascii="Calibri" w:hAnsi="Calibri" w:cs="Calibri"/>
          <w:lang w:val="cs-CZ"/>
        </w:rPr>
        <w:t>8</w:t>
      </w:r>
      <w:r w:rsidR="0006237A">
        <w:rPr>
          <w:rFonts w:ascii="Calibri" w:hAnsi="Calibri" w:cs="Calibri"/>
          <w:lang w:val="cs-CZ"/>
        </w:rPr>
        <w:t xml:space="preserve">.3 </w:t>
      </w:r>
      <w:r w:rsidRPr="0006237A">
        <w:rPr>
          <w:rFonts w:ascii="Calibri" w:hAnsi="Calibri" w:cs="Calibri"/>
          <w:lang w:val="cs-CZ"/>
        </w:rPr>
        <w:t>Mlčenlivost o neveřejných informacích.</w:t>
      </w:r>
      <w:r w:rsidR="00E61E3B">
        <w:rPr>
          <w:rFonts w:ascii="Calibri" w:hAnsi="Calibri" w:cs="Calibri"/>
          <w:lang w:val="cs-CZ"/>
        </w:rPr>
        <w:t xml:space="preserve"> Smluvní strany sjednávají, že veškeré informace, které se v průběhu spolupráce dozví jsou pouze pro potřeby plnění této smlouvy a nelze tyto sdělovat třetím stranám, vyjma informací veřejně dostupných či známých</w:t>
      </w:r>
      <w:r w:rsidR="002A43B0">
        <w:rPr>
          <w:rFonts w:ascii="Calibri" w:hAnsi="Calibri" w:cs="Calibri"/>
          <w:lang w:val="cs-CZ"/>
        </w:rPr>
        <w:t>, či nezbytných pro naplnění této smlouvy</w:t>
      </w:r>
      <w:r w:rsidR="00E61E3B">
        <w:rPr>
          <w:rFonts w:ascii="Calibri" w:hAnsi="Calibri" w:cs="Calibri"/>
          <w:lang w:val="cs-CZ"/>
        </w:rPr>
        <w:t>. V případě porušení povinnosti</w:t>
      </w:r>
      <w:r w:rsidR="002A43B0">
        <w:rPr>
          <w:rFonts w:ascii="Calibri" w:hAnsi="Calibri" w:cs="Calibri"/>
          <w:lang w:val="cs-CZ"/>
        </w:rPr>
        <w:t xml:space="preserve"> mlčenlivosti smluvní stranou</w:t>
      </w:r>
      <w:r w:rsidR="00E61E3B">
        <w:rPr>
          <w:rFonts w:ascii="Calibri" w:hAnsi="Calibri" w:cs="Calibri"/>
          <w:lang w:val="cs-CZ"/>
        </w:rPr>
        <w:t xml:space="preserve"> odpovíd</w:t>
      </w:r>
      <w:r w:rsidR="002A43B0">
        <w:rPr>
          <w:rFonts w:ascii="Calibri" w:hAnsi="Calibri" w:cs="Calibri"/>
          <w:lang w:val="cs-CZ"/>
        </w:rPr>
        <w:t>á tato</w:t>
      </w:r>
      <w:r w:rsidR="00E61E3B">
        <w:rPr>
          <w:rFonts w:ascii="Calibri" w:hAnsi="Calibri" w:cs="Calibri"/>
          <w:lang w:val="cs-CZ"/>
        </w:rPr>
        <w:t xml:space="preserve"> druhé smluvní straně za škodu, která </w:t>
      </w:r>
      <w:r w:rsidR="002A43B0">
        <w:rPr>
          <w:rFonts w:ascii="Calibri" w:hAnsi="Calibri" w:cs="Calibri"/>
          <w:lang w:val="cs-CZ"/>
        </w:rPr>
        <w:t>porušením</w:t>
      </w:r>
      <w:r w:rsidR="00E61E3B">
        <w:rPr>
          <w:rFonts w:ascii="Calibri" w:hAnsi="Calibri" w:cs="Calibri"/>
          <w:lang w:val="cs-CZ"/>
        </w:rPr>
        <w:t xml:space="preserve"> vznikne. </w:t>
      </w:r>
      <w:r w:rsidR="002A43B0">
        <w:rPr>
          <w:rFonts w:ascii="Calibri" w:hAnsi="Calibri" w:cs="Calibri"/>
          <w:lang w:val="cs-CZ"/>
        </w:rPr>
        <w:t>V případě, že smluvní strana poruší povinnost mlčenlivosti je povinna uhradit druhé smluvní straně 50.000 Kč za každé jednotlivé porušení uvedené povinnosti, tím není vyloučena povinnost náhrady vzniklé škody podle věty předchozí. Povinnost mlčenlivosti platí i po ukončení této smlouvy.</w:t>
      </w:r>
    </w:p>
    <w:p w:rsidR="00186A0E" w:rsidRDefault="00186A0E">
      <w:pPr>
        <w:rPr>
          <w:rFonts w:ascii="Calibri" w:hAnsi="Calibri" w:cs="Calibri"/>
          <w:lang w:val="cs-CZ"/>
        </w:rPr>
      </w:pPr>
    </w:p>
    <w:p w:rsidR="00186A0E" w:rsidRDefault="00186A0E" w:rsidP="00186A0E">
      <w:pPr>
        <w:pStyle w:val="Nadpis3"/>
        <w:rPr>
          <w:rFonts w:ascii="Calibri" w:hAnsi="Calibri" w:cs="Calibri"/>
          <w:b/>
          <w:bCs/>
          <w:color w:val="215E99" w:themeColor="text2" w:themeTint="BF"/>
          <w:lang w:val="cs-CZ"/>
        </w:rPr>
      </w:pPr>
      <w:r>
        <w:rPr>
          <w:rFonts w:ascii="Calibri" w:hAnsi="Calibri" w:cs="Calibri"/>
          <w:b/>
          <w:bCs/>
          <w:color w:val="215E99" w:themeColor="text2" w:themeTint="BF"/>
          <w:lang w:val="cs-CZ"/>
        </w:rPr>
        <w:t>9</w:t>
      </w:r>
      <w:r w:rsidRPr="00BE7AC8">
        <w:rPr>
          <w:rFonts w:ascii="Calibri" w:hAnsi="Calibri" w:cs="Calibri"/>
          <w:b/>
          <w:bCs/>
          <w:color w:val="215E99" w:themeColor="text2" w:themeTint="BF"/>
          <w:lang w:val="cs-CZ"/>
        </w:rPr>
        <w:t xml:space="preserve">. </w:t>
      </w:r>
      <w:r>
        <w:rPr>
          <w:rFonts w:ascii="Calibri" w:hAnsi="Calibri" w:cs="Calibri"/>
          <w:b/>
          <w:bCs/>
          <w:color w:val="215E99" w:themeColor="text2" w:themeTint="BF"/>
          <w:lang w:val="cs-CZ"/>
        </w:rPr>
        <w:t>Doba trvání a ukončení smlouvy</w:t>
      </w:r>
    </w:p>
    <w:p w:rsidR="00EC10E1" w:rsidRPr="00EC10E1" w:rsidRDefault="00EC10E1" w:rsidP="00A56FF6">
      <w:pPr>
        <w:jc w:val="both"/>
        <w:rPr>
          <w:rFonts w:ascii="Calibri" w:eastAsia="Calibri" w:hAnsi="Calibri" w:cs="Calibri"/>
          <w:lang w:val="cs-CZ"/>
        </w:rPr>
      </w:pPr>
      <w:r w:rsidRPr="00EC10E1">
        <w:rPr>
          <w:rFonts w:ascii="Calibri" w:eastAsia="Calibri" w:hAnsi="Calibri" w:cs="Calibri"/>
          <w:lang w:val="cs-CZ"/>
        </w:rPr>
        <w:t>9.</w:t>
      </w:r>
      <w:r>
        <w:rPr>
          <w:rFonts w:ascii="Calibri" w:eastAsia="Calibri" w:hAnsi="Calibri" w:cs="Calibri"/>
          <w:lang w:val="cs-CZ"/>
        </w:rPr>
        <w:t xml:space="preserve">1 </w:t>
      </w:r>
      <w:r w:rsidRPr="00EC10E1">
        <w:rPr>
          <w:rFonts w:ascii="Calibri" w:eastAsia="Calibri" w:hAnsi="Calibri" w:cs="Calibri"/>
          <w:lang w:val="cs-CZ"/>
        </w:rPr>
        <w:t xml:space="preserve">Tato </w:t>
      </w:r>
      <w:r w:rsidR="00E77ADC">
        <w:rPr>
          <w:rFonts w:ascii="Calibri" w:eastAsia="Calibri" w:hAnsi="Calibri" w:cs="Calibri"/>
          <w:lang w:val="cs-CZ"/>
        </w:rPr>
        <w:t>S</w:t>
      </w:r>
      <w:r w:rsidRPr="00EC10E1">
        <w:rPr>
          <w:rFonts w:ascii="Calibri" w:eastAsia="Calibri" w:hAnsi="Calibri" w:cs="Calibri"/>
          <w:lang w:val="cs-CZ"/>
        </w:rPr>
        <w:t>mlouva nabývá platnosti dnem jejího podpisu oběma Smluvními stranami a účinnosti dnem jejího zveřejnění v souladu se zákonem č. 340/2015 Sb., o zvláštních podmínkách účinnosti některých smluv, uveřejňování těchto smluv a o registru smluv (zákon o registru smluv), v registru smluv, ve znění pozdějších předpisů.</w:t>
      </w:r>
    </w:p>
    <w:p w:rsidR="00EC10E1" w:rsidRPr="00EC10E1" w:rsidRDefault="00EC10E1" w:rsidP="00A56FF6">
      <w:pPr>
        <w:jc w:val="both"/>
        <w:rPr>
          <w:rFonts w:ascii="Calibri" w:eastAsia="Calibri" w:hAnsi="Calibri" w:cs="Calibri"/>
          <w:lang w:val="cs-CZ"/>
        </w:rPr>
      </w:pPr>
      <w:r w:rsidRPr="00EC10E1">
        <w:rPr>
          <w:rFonts w:ascii="Calibri" w:eastAsia="Calibri" w:hAnsi="Calibri" w:cs="Calibri"/>
          <w:lang w:val="cs-CZ"/>
        </w:rPr>
        <w:t>9.</w:t>
      </w:r>
      <w:r>
        <w:rPr>
          <w:rFonts w:ascii="Calibri" w:eastAsia="Calibri" w:hAnsi="Calibri" w:cs="Calibri"/>
          <w:lang w:val="cs-CZ"/>
        </w:rPr>
        <w:t xml:space="preserve">2 </w:t>
      </w:r>
      <w:r w:rsidRPr="00EC10E1">
        <w:rPr>
          <w:rFonts w:ascii="Calibri" w:eastAsia="Calibri" w:hAnsi="Calibri" w:cs="Calibri"/>
          <w:lang w:val="cs-CZ"/>
        </w:rPr>
        <w:t xml:space="preserve">Tato </w:t>
      </w:r>
      <w:r w:rsidR="00E77ADC">
        <w:rPr>
          <w:rFonts w:ascii="Calibri" w:eastAsia="Calibri" w:hAnsi="Calibri" w:cs="Calibri"/>
          <w:lang w:val="cs-CZ"/>
        </w:rPr>
        <w:t>S</w:t>
      </w:r>
      <w:r w:rsidRPr="00EC10E1">
        <w:rPr>
          <w:rFonts w:ascii="Calibri" w:eastAsia="Calibri" w:hAnsi="Calibri" w:cs="Calibri"/>
          <w:lang w:val="cs-CZ"/>
        </w:rPr>
        <w:t>mlouva může být ukončena výhradně následujícími způsoby:</w:t>
      </w:r>
    </w:p>
    <w:p w:rsidR="00EC10E1" w:rsidRPr="00EC10E1" w:rsidRDefault="00EC10E1" w:rsidP="00A56FF6">
      <w:pPr>
        <w:pStyle w:val="Odstavecseseznamem"/>
        <w:numPr>
          <w:ilvl w:val="0"/>
          <w:numId w:val="23"/>
        </w:numPr>
        <w:rPr>
          <w:rFonts w:eastAsia="Calibri"/>
        </w:rPr>
      </w:pPr>
      <w:r w:rsidRPr="00EC10E1">
        <w:rPr>
          <w:rFonts w:eastAsia="Calibri"/>
        </w:rPr>
        <w:t>uplynutím doby její účinnosti;</w:t>
      </w:r>
      <w:r>
        <w:rPr>
          <w:rFonts w:eastAsia="Calibri"/>
        </w:rPr>
        <w:t xml:space="preserve"> nebo</w:t>
      </w:r>
    </w:p>
    <w:p w:rsidR="00EC10E1" w:rsidRPr="00EC10E1" w:rsidRDefault="00EC10E1" w:rsidP="00A56FF6">
      <w:pPr>
        <w:pStyle w:val="Odstavecseseznamem"/>
        <w:numPr>
          <w:ilvl w:val="0"/>
          <w:numId w:val="23"/>
        </w:numPr>
        <w:rPr>
          <w:rFonts w:eastAsia="Calibri"/>
        </w:rPr>
      </w:pPr>
      <w:r w:rsidRPr="00EC10E1">
        <w:rPr>
          <w:rFonts w:eastAsia="Calibri"/>
        </w:rPr>
        <w:t>písemnou dohodou Smluvních stran</w:t>
      </w:r>
      <w:r>
        <w:rPr>
          <w:rFonts w:eastAsia="Calibri"/>
        </w:rPr>
        <w:t>.</w:t>
      </w:r>
    </w:p>
    <w:p w:rsidR="00EC10E1" w:rsidRPr="00EC10E1" w:rsidRDefault="00EC10E1" w:rsidP="00A56FF6">
      <w:pPr>
        <w:jc w:val="both"/>
        <w:rPr>
          <w:rFonts w:ascii="Calibri" w:hAnsi="Calibri" w:cs="Calibri"/>
          <w:lang w:val="cs-CZ"/>
        </w:rPr>
      </w:pPr>
      <w:r>
        <w:rPr>
          <w:rFonts w:ascii="Calibri" w:hAnsi="Calibri" w:cs="Calibri"/>
          <w:lang w:val="cs-CZ"/>
        </w:rPr>
        <w:t xml:space="preserve">9.3 </w:t>
      </w:r>
      <w:r w:rsidRPr="00EC10E1">
        <w:rPr>
          <w:rFonts w:ascii="Calibri" w:hAnsi="Calibri" w:cs="Calibri"/>
          <w:lang w:val="cs-CZ"/>
        </w:rPr>
        <w:t xml:space="preserve">Objednatel může od této </w:t>
      </w:r>
      <w:r w:rsidR="00E77ADC">
        <w:rPr>
          <w:rFonts w:ascii="Calibri" w:hAnsi="Calibri" w:cs="Calibri"/>
          <w:lang w:val="cs-CZ"/>
        </w:rPr>
        <w:t>S</w:t>
      </w:r>
      <w:r w:rsidRPr="00EC10E1">
        <w:rPr>
          <w:rFonts w:ascii="Calibri" w:hAnsi="Calibri" w:cs="Calibri"/>
          <w:lang w:val="cs-CZ"/>
        </w:rPr>
        <w:t>mlouvy okamžitě odstoupit, pokud:</w:t>
      </w:r>
    </w:p>
    <w:p w:rsidR="00EC10E1" w:rsidRPr="00EC10E1" w:rsidRDefault="00EC10E1" w:rsidP="00A56FF6">
      <w:pPr>
        <w:pStyle w:val="Odstavecseseznamem"/>
        <w:rPr>
          <w:rFonts w:eastAsia="Calibri" w:cs="Calibri"/>
        </w:rPr>
      </w:pPr>
      <w:r w:rsidRPr="00EC10E1">
        <w:rPr>
          <w:rFonts w:eastAsia="Calibri"/>
        </w:rPr>
        <w:t xml:space="preserve">Dodavatel je v prodlení s poskytnutím jakéhokoliv plnění dle této </w:t>
      </w:r>
      <w:r w:rsidR="00E77ADC">
        <w:rPr>
          <w:rFonts w:eastAsia="Calibri"/>
        </w:rPr>
        <w:t>S</w:t>
      </w:r>
      <w:r w:rsidRPr="00EC10E1">
        <w:rPr>
          <w:rFonts w:eastAsia="Calibri"/>
        </w:rPr>
        <w:t xml:space="preserve">mlouvy po dobu delší než patnáct (15) </w:t>
      </w:r>
      <w:r w:rsidR="00E77ADC">
        <w:rPr>
          <w:rFonts w:eastAsia="Calibri"/>
        </w:rPr>
        <w:t>kalendářních</w:t>
      </w:r>
      <w:r>
        <w:rPr>
          <w:rFonts w:eastAsia="Calibri"/>
        </w:rPr>
        <w:t xml:space="preserve"> </w:t>
      </w:r>
      <w:r w:rsidRPr="00EC10E1">
        <w:rPr>
          <w:rFonts w:eastAsia="Calibri"/>
        </w:rPr>
        <w:t>dnů; nebo</w:t>
      </w:r>
    </w:p>
    <w:p w:rsidR="00EC10E1" w:rsidRPr="00EC10E1" w:rsidRDefault="00EC10E1" w:rsidP="00A56FF6">
      <w:pPr>
        <w:pStyle w:val="Odstavecseseznamem"/>
        <w:rPr>
          <w:rFonts w:eastAsia="Calibri"/>
        </w:rPr>
      </w:pPr>
      <w:r w:rsidRPr="00EC10E1">
        <w:rPr>
          <w:rFonts w:eastAsia="Calibri"/>
        </w:rPr>
        <w:t xml:space="preserve">Dodavatel je déle než patnáct (15) </w:t>
      </w:r>
      <w:r w:rsidR="00E77ADC">
        <w:rPr>
          <w:rFonts w:eastAsia="Calibri"/>
        </w:rPr>
        <w:t>kalendářních</w:t>
      </w:r>
      <w:r>
        <w:rPr>
          <w:rFonts w:eastAsia="Calibri"/>
        </w:rPr>
        <w:t xml:space="preserve"> </w:t>
      </w:r>
      <w:r w:rsidRPr="00EC10E1">
        <w:rPr>
          <w:rFonts w:eastAsia="Calibri"/>
        </w:rPr>
        <w:t xml:space="preserve">dnů v prodlení s odstraněním vad plnění dle této </w:t>
      </w:r>
      <w:r w:rsidR="00E77ADC">
        <w:rPr>
          <w:rFonts w:eastAsia="Calibri"/>
        </w:rPr>
        <w:t>S</w:t>
      </w:r>
      <w:r w:rsidRPr="00EC10E1">
        <w:rPr>
          <w:rFonts w:eastAsia="Calibri"/>
        </w:rPr>
        <w:t>mlouvy</w:t>
      </w:r>
      <w:r>
        <w:rPr>
          <w:rFonts w:eastAsia="Calibri"/>
        </w:rPr>
        <w:t>.</w:t>
      </w:r>
    </w:p>
    <w:p w:rsidR="00EC10E1" w:rsidRPr="00EC10E1" w:rsidRDefault="00EC10E1" w:rsidP="00A56FF6">
      <w:pPr>
        <w:jc w:val="both"/>
        <w:rPr>
          <w:rFonts w:ascii="Calibri" w:eastAsia="Calibri" w:hAnsi="Calibri" w:cs="Calibri"/>
          <w:lang w:val="cs-CZ"/>
        </w:rPr>
      </w:pPr>
      <w:r w:rsidRPr="00EC10E1">
        <w:rPr>
          <w:rFonts w:ascii="Calibri" w:eastAsia="Calibri" w:hAnsi="Calibri" w:cs="Calibri"/>
          <w:lang w:val="cs-CZ"/>
        </w:rPr>
        <w:lastRenderedPageBreak/>
        <w:t>9</w:t>
      </w:r>
      <w:r>
        <w:rPr>
          <w:rFonts w:ascii="Calibri" w:eastAsia="Calibri" w:hAnsi="Calibri" w:cs="Calibri"/>
          <w:lang w:val="cs-CZ"/>
        </w:rPr>
        <w:t xml:space="preserve">.4 </w:t>
      </w:r>
      <w:r w:rsidRPr="00EC10E1">
        <w:rPr>
          <w:rFonts w:ascii="Calibri" w:eastAsia="Calibri" w:hAnsi="Calibri" w:cs="Calibri"/>
          <w:lang w:val="cs-CZ"/>
        </w:rPr>
        <w:t xml:space="preserve">Dodavatel může od této </w:t>
      </w:r>
      <w:r w:rsidR="00E77ADC">
        <w:rPr>
          <w:rFonts w:ascii="Calibri" w:eastAsia="Calibri" w:hAnsi="Calibri" w:cs="Calibri"/>
          <w:lang w:val="cs-CZ"/>
        </w:rPr>
        <w:t>S</w:t>
      </w:r>
      <w:r w:rsidRPr="00EC10E1">
        <w:rPr>
          <w:rFonts w:ascii="Calibri" w:eastAsia="Calibri" w:hAnsi="Calibri" w:cs="Calibri"/>
          <w:lang w:val="cs-CZ"/>
        </w:rPr>
        <w:t>mlouvy okamžitě odstoupit v případě:</w:t>
      </w:r>
    </w:p>
    <w:p w:rsidR="00EC10E1" w:rsidRPr="00EC10E1" w:rsidRDefault="00EC10E1" w:rsidP="00A56FF6">
      <w:pPr>
        <w:pStyle w:val="Odstavecseseznamem"/>
        <w:rPr>
          <w:rFonts w:eastAsia="Calibri"/>
        </w:rPr>
      </w:pPr>
      <w:r w:rsidRPr="00EC10E1">
        <w:rPr>
          <w:rFonts w:eastAsia="Calibri"/>
        </w:rPr>
        <w:t xml:space="preserve">prodlení Objednatele s úhradou ceny plnění dle této </w:t>
      </w:r>
      <w:r w:rsidR="00E77ADC">
        <w:rPr>
          <w:rFonts w:eastAsia="Calibri"/>
        </w:rPr>
        <w:t>S</w:t>
      </w:r>
      <w:r w:rsidRPr="00EC10E1">
        <w:rPr>
          <w:rFonts w:eastAsia="Calibri"/>
        </w:rPr>
        <w:t xml:space="preserve">mlouvy nebo její části po dobu delší než </w:t>
      </w:r>
      <w:r w:rsidR="00E77ADC">
        <w:rPr>
          <w:rFonts w:eastAsia="Calibri"/>
        </w:rPr>
        <w:t>patnáct</w:t>
      </w:r>
      <w:r w:rsidRPr="00EC10E1">
        <w:rPr>
          <w:rFonts w:eastAsia="Calibri"/>
        </w:rPr>
        <w:t xml:space="preserve"> (1</w:t>
      </w:r>
      <w:r w:rsidR="00E77ADC">
        <w:rPr>
          <w:rFonts w:eastAsia="Calibri"/>
        </w:rPr>
        <w:t>5</w:t>
      </w:r>
      <w:r w:rsidRPr="00EC10E1">
        <w:rPr>
          <w:rFonts w:eastAsia="Calibri"/>
        </w:rPr>
        <w:t xml:space="preserve">) </w:t>
      </w:r>
      <w:r w:rsidR="00E77ADC">
        <w:rPr>
          <w:rFonts w:eastAsia="Calibri"/>
        </w:rPr>
        <w:t xml:space="preserve">kalendářních </w:t>
      </w:r>
      <w:r w:rsidRPr="00EC10E1">
        <w:rPr>
          <w:rFonts w:eastAsia="Calibri"/>
        </w:rPr>
        <w:t>dnů;</w:t>
      </w:r>
    </w:p>
    <w:p w:rsidR="00EC10E1" w:rsidRPr="00E77ADC" w:rsidRDefault="00EC10E1" w:rsidP="00A56FF6">
      <w:pPr>
        <w:pStyle w:val="Odstavecseseznamem"/>
        <w:rPr>
          <w:rFonts w:eastAsia="Calibri" w:cs="Calibri"/>
          <w:szCs w:val="24"/>
          <w:lang w:eastAsia="en-US"/>
        </w:rPr>
      </w:pPr>
      <w:r w:rsidRPr="00EC10E1">
        <w:rPr>
          <w:rFonts w:eastAsia="Calibri"/>
        </w:rPr>
        <w:t xml:space="preserve">porušení licenčních podmínek ze strany Objednatele, vymezených v příslušných licenčních podmínkách společnosti IBM, kdy Objednatel nezjedná nápravu ani do třiceti (30) </w:t>
      </w:r>
      <w:r w:rsidR="00E77ADC">
        <w:rPr>
          <w:rFonts w:eastAsia="Calibri"/>
        </w:rPr>
        <w:t>kalendářních</w:t>
      </w:r>
      <w:r w:rsidR="00E77ADC" w:rsidRPr="00EC10E1">
        <w:rPr>
          <w:rFonts w:eastAsia="Calibri"/>
        </w:rPr>
        <w:t xml:space="preserve"> </w:t>
      </w:r>
      <w:r w:rsidRPr="00EC10E1">
        <w:rPr>
          <w:rFonts w:eastAsia="Calibri"/>
        </w:rPr>
        <w:t xml:space="preserve">dnů ode dne obdržení písemného upozornění Dodavatele na takové </w:t>
      </w:r>
      <w:r w:rsidRPr="00E77ADC">
        <w:rPr>
          <w:rFonts w:eastAsia="Calibri" w:cs="Calibri"/>
          <w:szCs w:val="24"/>
          <w:lang w:eastAsia="en-US"/>
        </w:rPr>
        <w:t>porušení.</w:t>
      </w:r>
    </w:p>
    <w:p w:rsidR="00EC10E1" w:rsidRPr="00E77ADC" w:rsidRDefault="00E77ADC" w:rsidP="00A56FF6">
      <w:pPr>
        <w:jc w:val="both"/>
        <w:rPr>
          <w:rFonts w:ascii="Calibri" w:eastAsia="Calibri" w:hAnsi="Calibri" w:cs="Calibri"/>
          <w:lang w:val="cs-CZ"/>
        </w:rPr>
      </w:pPr>
      <w:r>
        <w:rPr>
          <w:rFonts w:ascii="Calibri" w:eastAsia="Calibri" w:hAnsi="Calibri" w:cs="Calibri"/>
          <w:lang w:val="cs-CZ"/>
        </w:rPr>
        <w:t xml:space="preserve">9.5 </w:t>
      </w:r>
      <w:r w:rsidR="00EC10E1" w:rsidRPr="00E77ADC">
        <w:rPr>
          <w:rFonts w:ascii="Calibri" w:eastAsia="Calibri" w:hAnsi="Calibri" w:cs="Calibri"/>
          <w:lang w:val="cs-CZ"/>
        </w:rPr>
        <w:t xml:space="preserve">Jakýkoliv úkon, vedoucí k ukončení této smlouvy, musí být učiněn v písemné formě a je účinný okamžikem jeho doručení Dodavateli. </w:t>
      </w:r>
    </w:p>
    <w:p w:rsidR="00EC10E1" w:rsidRPr="003F6171" w:rsidRDefault="00EC10E1" w:rsidP="00EC10E1">
      <w:pPr>
        <w:pStyle w:val="Zkladntext"/>
        <w:rPr>
          <w:rFonts w:ascii="Calibri" w:hAnsi="Calibri" w:cs="Calibri"/>
          <w:lang w:val="cs-CZ"/>
        </w:rPr>
      </w:pPr>
    </w:p>
    <w:p w:rsidR="00E77ADC" w:rsidRDefault="00E77ADC" w:rsidP="00E77ADC">
      <w:pPr>
        <w:pStyle w:val="Nadpis3"/>
        <w:rPr>
          <w:rFonts w:ascii="Calibri" w:hAnsi="Calibri" w:cs="Calibri"/>
          <w:b/>
          <w:bCs/>
          <w:color w:val="215E99" w:themeColor="text2" w:themeTint="BF"/>
          <w:lang w:val="cs-CZ"/>
        </w:rPr>
      </w:pPr>
      <w:r w:rsidRPr="003F6171">
        <w:rPr>
          <w:rFonts w:ascii="Calibri" w:hAnsi="Calibri" w:cs="Calibri"/>
          <w:b/>
          <w:bCs/>
          <w:color w:val="215E99" w:themeColor="text2" w:themeTint="BF"/>
          <w:lang w:val="cs-CZ"/>
        </w:rPr>
        <w:t>10</w:t>
      </w:r>
      <w:r w:rsidRPr="00BE7AC8">
        <w:rPr>
          <w:rFonts w:ascii="Calibri" w:hAnsi="Calibri" w:cs="Calibri"/>
          <w:b/>
          <w:bCs/>
          <w:color w:val="215E99" w:themeColor="text2" w:themeTint="BF"/>
          <w:lang w:val="cs-CZ"/>
        </w:rPr>
        <w:t xml:space="preserve">. </w:t>
      </w:r>
      <w:r>
        <w:rPr>
          <w:rFonts w:ascii="Calibri" w:hAnsi="Calibri" w:cs="Calibri"/>
          <w:b/>
          <w:bCs/>
          <w:color w:val="215E99" w:themeColor="text2" w:themeTint="BF"/>
          <w:lang w:val="cs-CZ"/>
        </w:rPr>
        <w:t>Ostatní ujednání</w:t>
      </w:r>
    </w:p>
    <w:p w:rsidR="00A56FF6" w:rsidRDefault="00A56FF6" w:rsidP="00A56FF6">
      <w:pPr>
        <w:tabs>
          <w:tab w:val="num" w:pos="360"/>
        </w:tabs>
        <w:spacing w:after="120" w:line="288" w:lineRule="auto"/>
        <w:ind w:left="360" w:hanging="360"/>
        <w:jc w:val="both"/>
        <w:rPr>
          <w:rFonts w:ascii="Calibri" w:eastAsia="Calibri" w:hAnsi="Calibri" w:cs="Calibri"/>
          <w:lang w:val="cs-CZ" w:eastAsia="cs-CZ"/>
        </w:rPr>
      </w:pPr>
      <w:r w:rsidRPr="00A56FF6">
        <w:rPr>
          <w:rFonts w:ascii="Calibri" w:eastAsia="Calibri" w:hAnsi="Calibri" w:cs="Calibri"/>
          <w:lang w:val="cs-CZ" w:eastAsia="cs-CZ"/>
        </w:rPr>
        <w:t xml:space="preserve">10.1 Tato Smlouva je uzavírána </w:t>
      </w:r>
      <w:r>
        <w:rPr>
          <w:rFonts w:ascii="Calibri" w:eastAsia="Calibri" w:hAnsi="Calibri" w:cs="Calibri"/>
          <w:lang w:val="cs-CZ" w:eastAsia="cs-CZ"/>
        </w:rPr>
        <w:t>S</w:t>
      </w:r>
      <w:r w:rsidRPr="00A56FF6">
        <w:rPr>
          <w:rFonts w:ascii="Calibri" w:eastAsia="Calibri" w:hAnsi="Calibri" w:cs="Calibri"/>
          <w:lang w:val="cs-CZ" w:eastAsia="cs-CZ"/>
        </w:rPr>
        <w:t>mluvními stranami elektronicky.</w:t>
      </w:r>
    </w:p>
    <w:p w:rsidR="00A56FF6" w:rsidRDefault="00A56FF6" w:rsidP="00A56FF6">
      <w:pPr>
        <w:tabs>
          <w:tab w:val="num" w:pos="360"/>
        </w:tabs>
        <w:spacing w:after="120" w:line="288" w:lineRule="auto"/>
        <w:ind w:left="360" w:hanging="360"/>
        <w:jc w:val="both"/>
        <w:rPr>
          <w:rFonts w:ascii="Calibri" w:eastAsia="Calibri" w:hAnsi="Calibri" w:cs="Calibri"/>
          <w:lang w:val="cs-CZ" w:eastAsia="cs-CZ"/>
        </w:rPr>
      </w:pPr>
      <w:r>
        <w:rPr>
          <w:rFonts w:ascii="Calibri" w:eastAsia="Calibri" w:hAnsi="Calibri" w:cs="Calibri"/>
          <w:lang w:val="cs-CZ" w:eastAsia="cs-CZ"/>
        </w:rPr>
        <w:t>10.2 Nedílnou součástí této Smlouvy je následující příloha:</w:t>
      </w:r>
    </w:p>
    <w:p w:rsidR="00A56FF6" w:rsidRPr="00A56FF6" w:rsidRDefault="00A56FF6" w:rsidP="00A56FF6">
      <w:pPr>
        <w:pStyle w:val="Odstavecseseznamem"/>
        <w:rPr>
          <w:rFonts w:eastAsia="Calibri"/>
          <w:szCs w:val="24"/>
        </w:rPr>
      </w:pPr>
      <w:r w:rsidRPr="00A56FF6">
        <w:t>Příloha A: Rozpis licencí, technických podpor a cen</w:t>
      </w:r>
    </w:p>
    <w:p w:rsidR="00A56FF6" w:rsidRPr="00A56FF6" w:rsidRDefault="00A56FF6" w:rsidP="00A56FF6">
      <w:pPr>
        <w:tabs>
          <w:tab w:val="num" w:pos="360"/>
        </w:tabs>
        <w:spacing w:after="120" w:line="288" w:lineRule="auto"/>
        <w:ind w:left="360" w:hanging="360"/>
        <w:jc w:val="both"/>
        <w:rPr>
          <w:rFonts w:ascii="Calibri" w:eastAsia="Calibri" w:hAnsi="Calibri" w:cs="Calibri"/>
          <w:lang w:val="cs-CZ" w:eastAsia="cs-CZ"/>
        </w:rPr>
      </w:pPr>
      <w:r w:rsidRPr="00A56FF6">
        <w:rPr>
          <w:rFonts w:ascii="Calibri" w:eastAsia="Calibri" w:hAnsi="Calibri" w:cs="Calibri"/>
          <w:lang w:val="cs-CZ" w:eastAsia="cs-CZ"/>
        </w:rPr>
        <w:t>10</w:t>
      </w:r>
      <w:r>
        <w:rPr>
          <w:rFonts w:ascii="Calibri" w:eastAsia="Calibri" w:hAnsi="Calibri" w:cs="Calibri"/>
          <w:lang w:val="cs-CZ" w:eastAsia="cs-CZ"/>
        </w:rPr>
        <w:t xml:space="preserve">.3 </w:t>
      </w:r>
      <w:r w:rsidRPr="00A56FF6">
        <w:rPr>
          <w:rFonts w:ascii="Calibri" w:eastAsia="Calibri" w:hAnsi="Calibri" w:cs="Calibri"/>
          <w:lang w:val="cs-CZ" w:eastAsia="cs-CZ"/>
        </w:rPr>
        <w:t xml:space="preserve">Na důkaz toho, že Smluvní strany s obsahem této </w:t>
      </w:r>
      <w:r>
        <w:rPr>
          <w:rFonts w:ascii="Calibri" w:eastAsia="Calibri" w:hAnsi="Calibri" w:cs="Calibri"/>
          <w:lang w:val="cs-CZ" w:eastAsia="cs-CZ"/>
        </w:rPr>
        <w:t>S</w:t>
      </w:r>
      <w:r w:rsidRPr="00A56FF6">
        <w:rPr>
          <w:rFonts w:ascii="Calibri" w:eastAsia="Calibri" w:hAnsi="Calibri" w:cs="Calibri"/>
          <w:lang w:val="cs-CZ" w:eastAsia="cs-CZ"/>
        </w:rPr>
        <w:t xml:space="preserve">mlouvy souhlasí, rozumí jí a zavazují se k jejímu plnění, připojují své podpisy a prohlašují, že tato </w:t>
      </w:r>
      <w:r>
        <w:rPr>
          <w:rFonts w:ascii="Calibri" w:eastAsia="Calibri" w:hAnsi="Calibri" w:cs="Calibri"/>
          <w:lang w:val="cs-CZ" w:eastAsia="cs-CZ"/>
        </w:rPr>
        <w:t>S</w:t>
      </w:r>
      <w:r w:rsidRPr="00A56FF6">
        <w:rPr>
          <w:rFonts w:ascii="Calibri" w:eastAsia="Calibri" w:hAnsi="Calibri" w:cs="Calibri"/>
          <w:lang w:val="cs-CZ" w:eastAsia="cs-CZ"/>
        </w:rPr>
        <w:t>mlouva byla uzavřena podle jejich svobodné a vážné vůle prosté tísně.</w:t>
      </w:r>
    </w:p>
    <w:p w:rsidR="00A56FF6" w:rsidRPr="00A56FF6" w:rsidRDefault="00A56FF6" w:rsidP="00A56FF6">
      <w:pPr>
        <w:spacing w:after="0" w:line="288" w:lineRule="auto"/>
        <w:jc w:val="both"/>
        <w:rPr>
          <w:rFonts w:ascii="Calibri" w:eastAsia="Calibri" w:hAnsi="Calibri" w:cs="Calibri"/>
          <w:b/>
          <w:lang w:val="cs-CZ" w:eastAsia="cs-CZ"/>
        </w:rPr>
      </w:pPr>
    </w:p>
    <w:p w:rsidR="00A56FF6" w:rsidRPr="00A56FF6" w:rsidRDefault="00A56FF6" w:rsidP="00A56FF6">
      <w:pPr>
        <w:spacing w:after="0" w:line="288" w:lineRule="auto"/>
        <w:jc w:val="both"/>
        <w:rPr>
          <w:rFonts w:ascii="Calibri" w:eastAsia="Calibri" w:hAnsi="Calibri" w:cs="Calibri"/>
          <w:b/>
          <w:lang w:val="cs-CZ" w:eastAsia="cs-CZ"/>
        </w:rPr>
      </w:pPr>
    </w:p>
    <w:p w:rsidR="00A56FF6" w:rsidRPr="003F6171" w:rsidRDefault="00A56FF6" w:rsidP="00A56FF6">
      <w:pPr>
        <w:spacing w:after="0" w:line="288" w:lineRule="auto"/>
        <w:jc w:val="both"/>
        <w:rPr>
          <w:rFonts w:ascii="Calibri" w:eastAsia="Calibri" w:hAnsi="Calibri" w:cs="Calibri"/>
          <w:b/>
          <w:lang w:val="cs-CZ" w:eastAsia="cs-CZ"/>
        </w:rPr>
      </w:pPr>
      <w:r w:rsidRPr="003F6171">
        <w:rPr>
          <w:rFonts w:ascii="Calibri" w:eastAsia="Calibri" w:hAnsi="Calibri" w:cs="Calibri"/>
          <w:b/>
          <w:lang w:val="cs-CZ" w:eastAsia="cs-CZ"/>
        </w:rPr>
        <w:t>Objednatel</w:t>
      </w:r>
      <w:r w:rsidRPr="003F6171">
        <w:rPr>
          <w:rFonts w:ascii="Calibri" w:eastAsia="Calibri" w:hAnsi="Calibri" w:cs="Calibri"/>
          <w:b/>
          <w:lang w:val="cs-CZ" w:eastAsia="cs-CZ"/>
        </w:rPr>
        <w:tab/>
      </w:r>
      <w:r w:rsidRPr="003F6171">
        <w:rPr>
          <w:rFonts w:ascii="Calibri" w:eastAsia="Calibri" w:hAnsi="Calibri" w:cs="Calibri"/>
          <w:b/>
          <w:lang w:val="cs-CZ" w:eastAsia="cs-CZ"/>
        </w:rPr>
        <w:tab/>
      </w:r>
      <w:r w:rsidRPr="003F6171">
        <w:rPr>
          <w:rFonts w:ascii="Calibri" w:eastAsia="Calibri" w:hAnsi="Calibri" w:cs="Calibri"/>
          <w:b/>
          <w:lang w:val="cs-CZ" w:eastAsia="cs-CZ"/>
        </w:rPr>
        <w:tab/>
      </w:r>
      <w:r w:rsidRPr="003F6171">
        <w:rPr>
          <w:rFonts w:ascii="Calibri" w:eastAsia="Calibri" w:hAnsi="Calibri" w:cs="Calibri"/>
          <w:b/>
          <w:lang w:val="cs-CZ" w:eastAsia="cs-CZ"/>
        </w:rPr>
        <w:tab/>
      </w:r>
      <w:r w:rsidRPr="003F6171">
        <w:rPr>
          <w:rFonts w:ascii="Calibri" w:eastAsia="Calibri" w:hAnsi="Calibri" w:cs="Calibri"/>
          <w:b/>
          <w:lang w:val="cs-CZ" w:eastAsia="cs-CZ"/>
        </w:rPr>
        <w:tab/>
      </w:r>
      <w:r w:rsidRPr="003F6171">
        <w:rPr>
          <w:rFonts w:ascii="Calibri" w:eastAsia="Calibri" w:hAnsi="Calibri" w:cs="Calibri"/>
          <w:b/>
          <w:lang w:val="cs-CZ" w:eastAsia="cs-CZ"/>
        </w:rPr>
        <w:tab/>
        <w:t>Dodavatel</w:t>
      </w:r>
    </w:p>
    <w:p w:rsidR="00A56FF6" w:rsidRPr="003F6171" w:rsidRDefault="00A56FF6" w:rsidP="00A56FF6">
      <w:pPr>
        <w:spacing w:after="0" w:line="288" w:lineRule="auto"/>
        <w:jc w:val="both"/>
        <w:rPr>
          <w:rFonts w:ascii="Calibri" w:eastAsia="Calibri" w:hAnsi="Calibri" w:cs="Calibri"/>
          <w:lang w:val="cs-CZ" w:eastAsia="cs-CZ"/>
        </w:rPr>
      </w:pPr>
      <w:r w:rsidRPr="003F6171">
        <w:rPr>
          <w:rFonts w:ascii="Calibri" w:eastAsia="Calibri" w:hAnsi="Calibri" w:cs="Calibri"/>
          <w:lang w:val="cs-CZ" w:eastAsia="cs-CZ"/>
        </w:rPr>
        <w:t xml:space="preserve">V Mladé Boleslavi dne: dle el. podpisu       </w:t>
      </w:r>
      <w:r w:rsidRPr="003F6171">
        <w:rPr>
          <w:rFonts w:ascii="Calibri" w:eastAsia="Calibri" w:hAnsi="Calibri" w:cs="Calibri"/>
          <w:lang w:val="cs-CZ" w:eastAsia="cs-CZ"/>
        </w:rPr>
        <w:tab/>
      </w:r>
      <w:r w:rsidRPr="003F6171">
        <w:rPr>
          <w:rFonts w:ascii="Calibri" w:eastAsia="Calibri" w:hAnsi="Calibri" w:cs="Calibri"/>
          <w:lang w:val="cs-CZ" w:eastAsia="cs-CZ"/>
        </w:rPr>
        <w:tab/>
        <w:t>V Praze dne: dle el. podpisu</w:t>
      </w:r>
      <w:r w:rsidRPr="003F6171">
        <w:rPr>
          <w:rFonts w:ascii="Calibri" w:eastAsia="Calibri" w:hAnsi="Calibri" w:cs="Calibri"/>
          <w:lang w:val="cs-CZ" w:eastAsia="cs-CZ"/>
        </w:rPr>
        <w:tab/>
      </w:r>
    </w:p>
    <w:p w:rsidR="00A56FF6" w:rsidRPr="003F6171" w:rsidRDefault="00A56FF6" w:rsidP="00A56FF6">
      <w:pPr>
        <w:spacing w:after="0" w:line="288" w:lineRule="auto"/>
        <w:jc w:val="both"/>
        <w:rPr>
          <w:rFonts w:ascii="Calibri" w:eastAsia="Calibri" w:hAnsi="Calibri" w:cs="Calibri"/>
          <w:lang w:val="cs-CZ" w:eastAsia="cs-CZ"/>
        </w:rPr>
      </w:pPr>
    </w:p>
    <w:p w:rsidR="00A56FF6" w:rsidRPr="003F6171" w:rsidRDefault="00A56FF6" w:rsidP="00A56FF6">
      <w:pPr>
        <w:spacing w:after="0" w:line="288" w:lineRule="auto"/>
        <w:jc w:val="both"/>
        <w:rPr>
          <w:rFonts w:ascii="Calibri" w:eastAsia="Calibri" w:hAnsi="Calibri" w:cs="Calibri"/>
          <w:lang w:val="cs-CZ" w:eastAsia="cs-CZ"/>
        </w:rPr>
      </w:pPr>
    </w:p>
    <w:p w:rsidR="00A56FF6" w:rsidRPr="003F6171" w:rsidRDefault="00A56FF6" w:rsidP="00A56FF6">
      <w:pPr>
        <w:spacing w:after="0" w:line="288" w:lineRule="auto"/>
        <w:jc w:val="both"/>
        <w:rPr>
          <w:rFonts w:ascii="Calibri" w:eastAsia="Calibri" w:hAnsi="Calibri" w:cs="Calibri"/>
          <w:lang w:val="cs-CZ" w:eastAsia="cs-CZ"/>
        </w:rPr>
      </w:pPr>
    </w:p>
    <w:p w:rsidR="00A56FF6" w:rsidRPr="003F6171" w:rsidRDefault="00A56FF6" w:rsidP="00A56FF6">
      <w:pPr>
        <w:spacing w:after="0" w:line="288" w:lineRule="auto"/>
        <w:jc w:val="both"/>
        <w:rPr>
          <w:rFonts w:ascii="Calibri" w:eastAsia="Calibri" w:hAnsi="Calibri" w:cs="Calibri"/>
          <w:lang w:val="cs-CZ" w:eastAsia="cs-CZ"/>
        </w:rPr>
      </w:pPr>
    </w:p>
    <w:p w:rsidR="00A56FF6" w:rsidRPr="003F6171" w:rsidRDefault="00A56FF6" w:rsidP="00A56FF6">
      <w:pPr>
        <w:spacing w:after="0" w:line="288" w:lineRule="auto"/>
        <w:jc w:val="both"/>
        <w:rPr>
          <w:rFonts w:ascii="Calibri" w:eastAsia="Calibri" w:hAnsi="Calibri" w:cs="Calibri"/>
          <w:lang w:val="cs-CZ" w:eastAsia="cs-CZ"/>
        </w:rPr>
      </w:pPr>
    </w:p>
    <w:p w:rsidR="00A56FF6" w:rsidRPr="007C109D" w:rsidRDefault="00A56FF6" w:rsidP="00A56FF6">
      <w:pPr>
        <w:spacing w:after="0" w:line="288" w:lineRule="auto"/>
        <w:jc w:val="both"/>
        <w:rPr>
          <w:rFonts w:ascii="Calibri" w:eastAsia="Calibri" w:hAnsi="Calibri" w:cs="Calibri"/>
          <w:lang w:val="it-IT" w:eastAsia="cs-CZ"/>
        </w:rPr>
      </w:pPr>
      <w:r w:rsidRPr="007C109D">
        <w:rPr>
          <w:rFonts w:ascii="Calibri" w:eastAsia="Calibri" w:hAnsi="Calibri" w:cs="Calibri"/>
          <w:lang w:val="it-IT" w:eastAsia="cs-CZ"/>
        </w:rPr>
        <w:t>.......................................</w:t>
      </w:r>
      <w:r w:rsidRPr="007C109D">
        <w:rPr>
          <w:rFonts w:ascii="Calibri" w:eastAsia="Calibri" w:hAnsi="Calibri" w:cs="Calibri"/>
          <w:lang w:val="it-IT" w:eastAsia="cs-CZ"/>
        </w:rPr>
        <w:tab/>
      </w:r>
      <w:r w:rsidRPr="007C109D">
        <w:rPr>
          <w:rFonts w:ascii="Calibri" w:eastAsia="Calibri" w:hAnsi="Calibri" w:cs="Calibri"/>
          <w:lang w:val="it-IT" w:eastAsia="cs-CZ"/>
        </w:rPr>
        <w:tab/>
      </w:r>
      <w:r w:rsidRPr="007C109D">
        <w:rPr>
          <w:rFonts w:ascii="Calibri" w:eastAsia="Calibri" w:hAnsi="Calibri" w:cs="Calibri"/>
          <w:lang w:val="it-IT" w:eastAsia="cs-CZ"/>
        </w:rPr>
        <w:tab/>
      </w:r>
      <w:r w:rsidRPr="007C109D">
        <w:rPr>
          <w:rFonts w:ascii="Calibri" w:eastAsia="Calibri" w:hAnsi="Calibri" w:cs="Calibri"/>
          <w:lang w:val="it-IT" w:eastAsia="cs-CZ"/>
        </w:rPr>
        <w:tab/>
        <w:t>......................................</w:t>
      </w:r>
    </w:p>
    <w:p w:rsidR="00A56FF6" w:rsidRPr="007C109D" w:rsidRDefault="0009272C" w:rsidP="00A56FF6">
      <w:pPr>
        <w:spacing w:after="0" w:line="288" w:lineRule="auto"/>
        <w:jc w:val="both"/>
        <w:rPr>
          <w:rFonts w:ascii="Calibri" w:eastAsia="Calibri" w:hAnsi="Calibri" w:cs="Calibri"/>
          <w:lang w:val="it-IT" w:eastAsia="cs-CZ"/>
        </w:rPr>
      </w:pPr>
      <w:r>
        <w:rPr>
          <w:rFonts w:ascii="Calibri" w:eastAsia="Calibri" w:hAnsi="Calibri" w:cs="Calibri"/>
          <w:lang w:val="it-IT" w:eastAsia="cs-CZ"/>
        </w:rPr>
        <w:t>XXXXXXXXXXXXXXXXXXXXXX</w:t>
      </w:r>
      <w:r w:rsidR="00A56FF6" w:rsidRPr="007C109D">
        <w:rPr>
          <w:rFonts w:ascii="Calibri" w:eastAsia="Calibri" w:hAnsi="Calibri" w:cs="Calibri"/>
          <w:lang w:val="it-IT" w:eastAsia="cs-CZ"/>
        </w:rPr>
        <w:t xml:space="preserve">   </w:t>
      </w:r>
      <w:r w:rsidR="00A56FF6" w:rsidRPr="007C109D">
        <w:rPr>
          <w:rFonts w:ascii="Calibri" w:eastAsia="Calibri" w:hAnsi="Calibri" w:cs="Calibri"/>
          <w:lang w:val="it-IT" w:eastAsia="cs-CZ"/>
        </w:rPr>
        <w:tab/>
      </w:r>
      <w:r w:rsidR="00A56FF6" w:rsidRPr="007C109D">
        <w:rPr>
          <w:rFonts w:ascii="Calibri" w:eastAsia="Calibri" w:hAnsi="Calibri" w:cs="Calibri"/>
          <w:lang w:val="it-IT" w:eastAsia="cs-CZ"/>
        </w:rPr>
        <w:tab/>
      </w:r>
      <w:r w:rsidR="00A56FF6" w:rsidRPr="007C109D">
        <w:rPr>
          <w:rFonts w:ascii="Calibri" w:eastAsia="Calibri" w:hAnsi="Calibri" w:cs="Calibri"/>
          <w:lang w:val="it-IT" w:eastAsia="cs-CZ"/>
        </w:rPr>
        <w:tab/>
      </w:r>
      <w:r>
        <w:rPr>
          <w:rFonts w:ascii="Calibri" w:eastAsia="Calibri" w:hAnsi="Calibri" w:cs="Calibri"/>
          <w:lang w:val="it-IT" w:eastAsia="cs-CZ"/>
        </w:rPr>
        <w:t>XXXXXXXXXXXXXXXXXXXXX</w:t>
      </w:r>
    </w:p>
    <w:p w:rsidR="00A56FF6" w:rsidRPr="00A56FF6" w:rsidRDefault="007C109D" w:rsidP="00A56FF6">
      <w:pPr>
        <w:spacing w:after="0" w:line="288" w:lineRule="auto"/>
        <w:jc w:val="both"/>
        <w:rPr>
          <w:rFonts w:ascii="Calibri" w:eastAsia="Calibri" w:hAnsi="Calibri" w:cs="Calibri"/>
          <w:lang w:val="it-IT" w:eastAsia="cs-CZ"/>
        </w:rPr>
      </w:pPr>
      <w:r w:rsidRPr="00925C54">
        <w:rPr>
          <w:rFonts w:ascii="Calibri" w:eastAsia="Calibri" w:hAnsi="Calibri" w:cs="Calibri"/>
          <w:lang w:val="it-IT" w:eastAsia="cs-CZ"/>
        </w:rPr>
        <w:t>ředitelka ZPŠ</w:t>
      </w:r>
      <w:r w:rsidR="00A56FF6" w:rsidRPr="007C109D">
        <w:rPr>
          <w:rFonts w:ascii="Calibri" w:eastAsia="Calibri" w:hAnsi="Calibri" w:cs="Calibri"/>
          <w:lang w:val="it-IT" w:eastAsia="cs-CZ"/>
        </w:rPr>
        <w:tab/>
      </w:r>
      <w:r w:rsidR="00A56FF6" w:rsidRPr="007C109D">
        <w:rPr>
          <w:rFonts w:ascii="Calibri" w:eastAsia="Calibri" w:hAnsi="Calibri" w:cs="Calibri"/>
          <w:lang w:val="it-IT" w:eastAsia="cs-CZ"/>
        </w:rPr>
        <w:tab/>
      </w:r>
      <w:r w:rsidR="00A56FF6" w:rsidRPr="007C109D">
        <w:rPr>
          <w:rFonts w:ascii="Calibri" w:eastAsia="Calibri" w:hAnsi="Calibri" w:cs="Calibri"/>
          <w:lang w:val="it-IT" w:eastAsia="cs-CZ"/>
        </w:rPr>
        <w:tab/>
        <w:t xml:space="preserve">     </w:t>
      </w:r>
      <w:r w:rsidR="00A56FF6" w:rsidRPr="007C109D">
        <w:rPr>
          <w:rFonts w:ascii="Calibri" w:eastAsia="Calibri" w:hAnsi="Calibri" w:cs="Calibri"/>
          <w:lang w:val="it-IT" w:eastAsia="cs-CZ"/>
        </w:rPr>
        <w:tab/>
      </w:r>
      <w:r w:rsidR="00A56FF6" w:rsidRPr="007C109D">
        <w:rPr>
          <w:rFonts w:ascii="Calibri" w:eastAsia="Calibri" w:hAnsi="Calibri" w:cs="Calibri"/>
          <w:lang w:val="it-IT" w:eastAsia="cs-CZ"/>
        </w:rPr>
        <w:tab/>
      </w:r>
      <w:r w:rsidRPr="007C109D">
        <w:rPr>
          <w:rFonts w:ascii="Calibri" w:eastAsia="Calibri" w:hAnsi="Calibri" w:cs="Calibri"/>
          <w:lang w:val="it-IT" w:eastAsia="cs-CZ"/>
        </w:rPr>
        <w:tab/>
      </w:r>
      <w:r w:rsidR="00A56FF6" w:rsidRPr="007C109D">
        <w:rPr>
          <w:rFonts w:ascii="Calibri" w:eastAsia="Calibri" w:hAnsi="Calibri" w:cs="Calibri"/>
          <w:lang w:val="it-IT" w:eastAsia="cs-CZ"/>
        </w:rPr>
        <w:t>Jednatelka</w:t>
      </w:r>
    </w:p>
    <w:p w:rsidR="00A56FF6" w:rsidRPr="00A56FF6" w:rsidRDefault="00A56FF6" w:rsidP="00A56FF6">
      <w:pPr>
        <w:pStyle w:val="Zkladntext"/>
        <w:rPr>
          <w:lang w:val="cs-CZ"/>
        </w:rPr>
      </w:pPr>
    </w:p>
    <w:p w:rsidR="00E77ADC" w:rsidRPr="00A56FF6" w:rsidRDefault="00E77ADC" w:rsidP="00EC10E1">
      <w:pPr>
        <w:pStyle w:val="Zkladntext"/>
        <w:rPr>
          <w:rFonts w:ascii="Calibri" w:hAnsi="Calibri" w:cs="Calibri"/>
          <w:lang w:val="it-IT"/>
        </w:rPr>
      </w:pPr>
    </w:p>
    <w:p w:rsidR="00BE7AC8" w:rsidRPr="00EC10E1" w:rsidRDefault="00BE7AC8">
      <w:pPr>
        <w:rPr>
          <w:rFonts w:ascii="Calibri" w:hAnsi="Calibri" w:cs="Calibri"/>
          <w:lang w:val="cs-CZ"/>
        </w:rPr>
      </w:pPr>
      <w:r w:rsidRPr="00EC10E1">
        <w:rPr>
          <w:rFonts w:ascii="Calibri" w:hAnsi="Calibri" w:cs="Calibri"/>
          <w:lang w:val="cs-CZ"/>
        </w:rPr>
        <w:br w:type="page"/>
      </w:r>
    </w:p>
    <w:p w:rsidR="00BE7AC8" w:rsidRPr="00E77ADC" w:rsidRDefault="008805D7" w:rsidP="00E77ADC">
      <w:pPr>
        <w:pStyle w:val="Nadpis3"/>
        <w:rPr>
          <w:rFonts w:ascii="Calibri" w:hAnsi="Calibri" w:cs="Calibri"/>
          <w:b/>
          <w:bCs/>
          <w:color w:val="215E99" w:themeColor="text2" w:themeTint="BF"/>
          <w:lang w:val="cs-CZ"/>
        </w:rPr>
      </w:pPr>
      <w:bookmarkStart w:id="9" w:name="přílohy"/>
      <w:bookmarkEnd w:id="8"/>
      <w:r w:rsidRPr="00BE7AC8">
        <w:rPr>
          <w:rFonts w:ascii="Calibri" w:hAnsi="Calibri" w:cs="Calibri"/>
          <w:b/>
          <w:bCs/>
          <w:color w:val="215E99" w:themeColor="text2" w:themeTint="BF"/>
          <w:lang w:val="cs-CZ"/>
        </w:rPr>
        <w:lastRenderedPageBreak/>
        <w:t>Příloh</w:t>
      </w:r>
      <w:r w:rsidR="00E77ADC">
        <w:rPr>
          <w:rFonts w:ascii="Calibri" w:hAnsi="Calibri" w:cs="Calibri"/>
          <w:b/>
          <w:bCs/>
          <w:color w:val="215E99" w:themeColor="text2" w:themeTint="BF"/>
          <w:lang w:val="cs-CZ"/>
        </w:rPr>
        <w:t xml:space="preserve">a </w:t>
      </w:r>
      <w:r w:rsidRPr="00E77ADC">
        <w:rPr>
          <w:rFonts w:ascii="Calibri" w:hAnsi="Calibri" w:cs="Calibri"/>
          <w:b/>
          <w:bCs/>
          <w:color w:val="215E99" w:themeColor="text2" w:themeTint="BF"/>
          <w:lang w:val="cs-CZ"/>
        </w:rPr>
        <w:t>A: Rozpis licencí</w:t>
      </w:r>
      <w:r w:rsidR="00740B7E" w:rsidRPr="00E77ADC">
        <w:rPr>
          <w:rFonts w:ascii="Calibri" w:hAnsi="Calibri" w:cs="Calibri"/>
          <w:b/>
          <w:bCs/>
          <w:color w:val="215E99" w:themeColor="text2" w:themeTint="BF"/>
          <w:lang w:val="cs-CZ"/>
        </w:rPr>
        <w:t>, technických podpor a cen</w:t>
      </w:r>
    </w:p>
    <w:p w:rsidR="00BE7AC8" w:rsidRPr="00740B7E" w:rsidRDefault="006E1FC8" w:rsidP="003F6171">
      <w:pPr>
        <w:ind w:left="360"/>
      </w:pPr>
      <w:r w:rsidRPr="006E1FC8">
        <w:rPr>
          <w:b/>
        </w:rPr>
        <w:t>1.</w:t>
      </w:r>
      <w:r>
        <w:t xml:space="preserve"> </w:t>
      </w:r>
      <w:proofErr w:type="spellStart"/>
      <w:r w:rsidR="00BE7AC8" w:rsidRPr="00740B7E">
        <w:t>Licence</w:t>
      </w:r>
      <w:proofErr w:type="spellEnd"/>
    </w:p>
    <w:tbl>
      <w:tblPr>
        <w:tblpPr w:leftFromText="141" w:rightFromText="141" w:vertAnchor="text" w:horzAnchor="margin" w:tblpXSpec="center" w:tblpY="116"/>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1242"/>
        <w:gridCol w:w="4395"/>
        <w:gridCol w:w="1304"/>
        <w:gridCol w:w="1985"/>
      </w:tblGrid>
      <w:tr w:rsidR="00BE7AC8" w:rsidRPr="00BE7AC8" w:rsidTr="00740B7E">
        <w:trPr>
          <w:trHeight w:val="349"/>
        </w:trPr>
        <w:tc>
          <w:tcPr>
            <w:tcW w:w="1242" w:type="dxa"/>
            <w:tcBorders>
              <w:top w:val="single" w:sz="36" w:space="0" w:color="95ADCA"/>
              <w:bottom w:val="single" w:sz="36" w:space="0" w:color="95ADCA"/>
            </w:tcBorders>
            <w:shd w:val="clear" w:color="auto" w:fill="D9D9D9"/>
            <w:vAlign w:val="center"/>
          </w:tcPr>
          <w:p w:rsidR="00BE7AC8" w:rsidRPr="00BE7AC8" w:rsidRDefault="00BE7AC8" w:rsidP="00033CFD">
            <w:pPr>
              <w:spacing w:after="0"/>
              <w:rPr>
                <w:rFonts w:ascii="Calibri" w:hAnsi="Calibri" w:cs="Calibri"/>
                <w:b/>
                <w:bCs/>
              </w:rPr>
            </w:pPr>
            <w:proofErr w:type="spellStart"/>
            <w:r w:rsidRPr="00BE7AC8">
              <w:rPr>
                <w:rFonts w:ascii="Calibri" w:hAnsi="Calibri" w:cs="Calibri"/>
                <w:b/>
                <w:bCs/>
              </w:rPr>
              <w:t>Kód</w:t>
            </w:r>
            <w:proofErr w:type="spellEnd"/>
          </w:p>
        </w:tc>
        <w:tc>
          <w:tcPr>
            <w:tcW w:w="4395" w:type="dxa"/>
            <w:tcBorders>
              <w:top w:val="single" w:sz="36" w:space="0" w:color="95ADCA"/>
              <w:bottom w:val="single" w:sz="36" w:space="0" w:color="95ADCA"/>
            </w:tcBorders>
            <w:shd w:val="clear" w:color="auto" w:fill="D9D9D9"/>
            <w:vAlign w:val="center"/>
          </w:tcPr>
          <w:p w:rsidR="00BE7AC8" w:rsidRPr="00BE7AC8" w:rsidRDefault="00BE7AC8" w:rsidP="00033CFD">
            <w:pPr>
              <w:spacing w:after="0"/>
              <w:rPr>
                <w:rFonts w:ascii="Calibri" w:hAnsi="Calibri" w:cs="Calibri"/>
                <w:b/>
                <w:bCs/>
              </w:rPr>
            </w:pPr>
            <w:proofErr w:type="spellStart"/>
            <w:r w:rsidRPr="00BE7AC8">
              <w:rPr>
                <w:rFonts w:ascii="Calibri" w:hAnsi="Calibri" w:cs="Calibri"/>
                <w:b/>
                <w:bCs/>
              </w:rPr>
              <w:t>Název</w:t>
            </w:r>
            <w:proofErr w:type="spellEnd"/>
            <w:r w:rsidRPr="00BE7AC8">
              <w:rPr>
                <w:rFonts w:ascii="Calibri" w:hAnsi="Calibri" w:cs="Calibri"/>
                <w:b/>
                <w:bCs/>
              </w:rPr>
              <w:t xml:space="preserve"> </w:t>
            </w:r>
            <w:proofErr w:type="spellStart"/>
            <w:r w:rsidR="00740B7E">
              <w:rPr>
                <w:rFonts w:ascii="Calibri" w:hAnsi="Calibri" w:cs="Calibri"/>
                <w:b/>
                <w:bCs/>
              </w:rPr>
              <w:t>produktu</w:t>
            </w:r>
            <w:proofErr w:type="spellEnd"/>
          </w:p>
        </w:tc>
        <w:tc>
          <w:tcPr>
            <w:tcW w:w="1304" w:type="dxa"/>
            <w:tcBorders>
              <w:top w:val="single" w:sz="36" w:space="0" w:color="95ADCA"/>
              <w:bottom w:val="single" w:sz="36" w:space="0" w:color="95ADCA"/>
            </w:tcBorders>
            <w:shd w:val="clear" w:color="auto" w:fill="D9D9D9"/>
            <w:vAlign w:val="center"/>
          </w:tcPr>
          <w:p w:rsidR="00BE7AC8" w:rsidRPr="00BE7AC8" w:rsidRDefault="00BE7AC8" w:rsidP="00033CFD">
            <w:pPr>
              <w:spacing w:after="0"/>
              <w:rPr>
                <w:rFonts w:ascii="Calibri" w:hAnsi="Calibri" w:cs="Calibri"/>
                <w:b/>
                <w:bCs/>
              </w:rPr>
            </w:pPr>
            <w:proofErr w:type="spellStart"/>
            <w:r w:rsidRPr="00BE7AC8">
              <w:rPr>
                <w:rFonts w:ascii="Calibri" w:hAnsi="Calibri" w:cs="Calibri"/>
                <w:b/>
                <w:bCs/>
              </w:rPr>
              <w:t>Množství</w:t>
            </w:r>
            <w:proofErr w:type="spellEnd"/>
          </w:p>
        </w:tc>
        <w:tc>
          <w:tcPr>
            <w:tcW w:w="1985" w:type="dxa"/>
            <w:tcBorders>
              <w:top w:val="single" w:sz="36" w:space="0" w:color="95ADCA"/>
              <w:bottom w:val="single" w:sz="36" w:space="0" w:color="95ADCA"/>
            </w:tcBorders>
            <w:shd w:val="clear" w:color="auto" w:fill="D9D9D9"/>
          </w:tcPr>
          <w:p w:rsidR="00BE7AC8" w:rsidRPr="00BE7AC8" w:rsidRDefault="00BE7AC8" w:rsidP="00033CFD">
            <w:pPr>
              <w:spacing w:after="0"/>
              <w:rPr>
                <w:rFonts w:ascii="Calibri" w:hAnsi="Calibri" w:cs="Calibri"/>
                <w:b/>
                <w:bCs/>
              </w:rPr>
            </w:pPr>
            <w:r w:rsidRPr="00BE7AC8">
              <w:rPr>
                <w:rFonts w:ascii="Calibri" w:hAnsi="Calibri" w:cs="Calibri"/>
                <w:b/>
                <w:bCs/>
              </w:rPr>
              <w:t>Cena/</w:t>
            </w:r>
            <w:proofErr w:type="spellStart"/>
            <w:r w:rsidRPr="00BE7AC8">
              <w:rPr>
                <w:rFonts w:ascii="Calibri" w:hAnsi="Calibri" w:cs="Calibri"/>
                <w:b/>
                <w:bCs/>
              </w:rPr>
              <w:t>položku</w:t>
            </w:r>
            <w:proofErr w:type="spellEnd"/>
            <w:r w:rsidRPr="00BE7AC8">
              <w:rPr>
                <w:rFonts w:ascii="Calibri" w:hAnsi="Calibri" w:cs="Calibri"/>
                <w:b/>
                <w:bCs/>
              </w:rPr>
              <w:t xml:space="preserve"> bez DPH </w:t>
            </w:r>
          </w:p>
        </w:tc>
      </w:tr>
      <w:tr w:rsidR="00BE7AC8" w:rsidRPr="00BE7AC8" w:rsidTr="00740B7E">
        <w:trPr>
          <w:trHeight w:val="935"/>
        </w:trPr>
        <w:tc>
          <w:tcPr>
            <w:tcW w:w="1242" w:type="dxa"/>
            <w:tcBorders>
              <w:top w:val="single" w:sz="36" w:space="0" w:color="95ADCA"/>
              <w:bottom w:val="single" w:sz="36" w:space="0" w:color="95ADCA"/>
            </w:tcBorders>
            <w:shd w:val="clear" w:color="auto" w:fill="FFFFFF"/>
          </w:tcPr>
          <w:p w:rsidR="00BE7AC8" w:rsidRPr="00BE7AC8" w:rsidRDefault="00BE7AC8" w:rsidP="00033CFD">
            <w:pPr>
              <w:spacing w:after="0"/>
              <w:rPr>
                <w:rFonts w:ascii="Calibri" w:hAnsi="Calibri" w:cs="Calibri"/>
              </w:rPr>
            </w:pPr>
            <w:r w:rsidRPr="00BE7AC8">
              <w:rPr>
                <w:rFonts w:ascii="Calibri" w:hAnsi="Calibri" w:cs="Calibri"/>
              </w:rPr>
              <w:t>D0BNHLL</w:t>
            </w:r>
          </w:p>
        </w:tc>
        <w:tc>
          <w:tcPr>
            <w:tcW w:w="4395" w:type="dxa"/>
            <w:tcBorders>
              <w:top w:val="single" w:sz="36" w:space="0" w:color="95ADCA"/>
              <w:bottom w:val="single" w:sz="36" w:space="0" w:color="95ADCA"/>
            </w:tcBorders>
            <w:shd w:val="clear" w:color="auto" w:fill="FFFFFF"/>
            <w:vAlign w:val="center"/>
          </w:tcPr>
          <w:p w:rsidR="00BE7AC8" w:rsidRPr="00BE7AC8" w:rsidRDefault="00BE7AC8" w:rsidP="00033CFD">
            <w:pPr>
              <w:spacing w:after="0"/>
              <w:rPr>
                <w:rFonts w:ascii="Calibri" w:hAnsi="Calibri" w:cs="Calibri"/>
              </w:rPr>
            </w:pPr>
            <w:r w:rsidRPr="00BE7AC8">
              <w:rPr>
                <w:rFonts w:ascii="Calibri" w:hAnsi="Calibri" w:cs="Calibri"/>
              </w:rPr>
              <w:t>IBM Informix 4GL Compiler Runtime Option for IDS Workgroup Edition Limited Use Socket License + SW Subscription &amp; Support 12 Months</w:t>
            </w:r>
          </w:p>
        </w:tc>
        <w:tc>
          <w:tcPr>
            <w:tcW w:w="1304" w:type="dxa"/>
            <w:tcBorders>
              <w:top w:val="single" w:sz="36" w:space="0" w:color="95ADCA"/>
              <w:bottom w:val="single" w:sz="36" w:space="0" w:color="95ADCA"/>
            </w:tcBorders>
            <w:shd w:val="clear" w:color="auto" w:fill="FFFFFF"/>
            <w:vAlign w:val="center"/>
          </w:tcPr>
          <w:p w:rsidR="00BE7AC8" w:rsidRPr="00BE7AC8" w:rsidRDefault="00BE7AC8" w:rsidP="00033CFD">
            <w:pPr>
              <w:spacing w:after="0"/>
              <w:ind w:right="175"/>
              <w:jc w:val="right"/>
              <w:rPr>
                <w:rFonts w:ascii="Calibri" w:hAnsi="Calibri" w:cs="Calibri"/>
              </w:rPr>
            </w:pPr>
            <w:r w:rsidRPr="00BE7AC8">
              <w:rPr>
                <w:rFonts w:ascii="Calibri" w:hAnsi="Calibri" w:cs="Calibri"/>
              </w:rPr>
              <w:t>1</w:t>
            </w:r>
          </w:p>
        </w:tc>
        <w:tc>
          <w:tcPr>
            <w:tcW w:w="1985" w:type="dxa"/>
            <w:tcBorders>
              <w:top w:val="single" w:sz="36" w:space="0" w:color="95ADCA"/>
              <w:bottom w:val="single" w:sz="36" w:space="0" w:color="95ADCA"/>
            </w:tcBorders>
            <w:shd w:val="clear" w:color="auto" w:fill="FFFFFF"/>
            <w:vAlign w:val="center"/>
          </w:tcPr>
          <w:p w:rsidR="00BE7AC8" w:rsidRPr="00BE7AC8" w:rsidRDefault="00BE7AC8" w:rsidP="00033CFD">
            <w:pPr>
              <w:spacing w:after="0"/>
              <w:jc w:val="right"/>
              <w:rPr>
                <w:rFonts w:ascii="Calibri" w:hAnsi="Calibri" w:cs="Calibri"/>
              </w:rPr>
            </w:pPr>
            <w:r w:rsidRPr="00BE7AC8">
              <w:rPr>
                <w:rFonts w:ascii="Calibri" w:hAnsi="Calibri" w:cs="Calibri"/>
              </w:rPr>
              <w:t xml:space="preserve">444.991,00 </w:t>
            </w:r>
            <w:proofErr w:type="spellStart"/>
            <w:r w:rsidRPr="00BE7AC8">
              <w:rPr>
                <w:rFonts w:ascii="Calibri" w:hAnsi="Calibri" w:cs="Calibri"/>
              </w:rPr>
              <w:t>Kč</w:t>
            </w:r>
            <w:proofErr w:type="spellEnd"/>
          </w:p>
        </w:tc>
      </w:tr>
      <w:tr w:rsidR="00BE7AC8" w:rsidRPr="00BE7AC8" w:rsidTr="00740B7E">
        <w:trPr>
          <w:trHeight w:val="970"/>
        </w:trPr>
        <w:tc>
          <w:tcPr>
            <w:tcW w:w="1242" w:type="dxa"/>
            <w:tcBorders>
              <w:top w:val="single" w:sz="36" w:space="0" w:color="95ADCA"/>
              <w:bottom w:val="single" w:sz="36" w:space="0" w:color="95ADCA"/>
            </w:tcBorders>
          </w:tcPr>
          <w:p w:rsidR="00BE7AC8" w:rsidRPr="00BE7AC8" w:rsidRDefault="00BE7AC8" w:rsidP="00033CFD">
            <w:pPr>
              <w:spacing w:after="0"/>
              <w:rPr>
                <w:rFonts w:ascii="Calibri" w:hAnsi="Calibri" w:cs="Calibri"/>
              </w:rPr>
            </w:pPr>
            <w:r w:rsidRPr="00BE7AC8">
              <w:rPr>
                <w:rFonts w:ascii="Calibri" w:hAnsi="Calibri" w:cs="Calibri"/>
              </w:rPr>
              <w:t>D6DFPLL</w:t>
            </w:r>
          </w:p>
        </w:tc>
        <w:tc>
          <w:tcPr>
            <w:tcW w:w="4395" w:type="dxa"/>
            <w:tcBorders>
              <w:top w:val="single" w:sz="36" w:space="0" w:color="95ADCA"/>
              <w:bottom w:val="single" w:sz="36" w:space="0" w:color="95ADCA"/>
            </w:tcBorders>
            <w:vAlign w:val="center"/>
          </w:tcPr>
          <w:p w:rsidR="00BE7AC8" w:rsidRPr="00BE7AC8" w:rsidRDefault="00BE7AC8" w:rsidP="00033CFD">
            <w:pPr>
              <w:spacing w:after="0"/>
              <w:rPr>
                <w:rFonts w:ascii="Calibri" w:hAnsi="Calibri" w:cs="Calibri"/>
              </w:rPr>
            </w:pPr>
            <w:r w:rsidRPr="00BE7AC8">
              <w:rPr>
                <w:rFonts w:ascii="Calibri" w:hAnsi="Calibri" w:cs="Calibri"/>
              </w:rPr>
              <w:t>IBM Informix 4GL Compiler Development Authorized User SW Subscription &amp; Support Reinstatement 12 Months</w:t>
            </w:r>
          </w:p>
        </w:tc>
        <w:tc>
          <w:tcPr>
            <w:tcW w:w="1304" w:type="dxa"/>
            <w:tcBorders>
              <w:top w:val="single" w:sz="36" w:space="0" w:color="95ADCA"/>
              <w:bottom w:val="single" w:sz="36" w:space="0" w:color="95ADCA"/>
            </w:tcBorders>
            <w:vAlign w:val="center"/>
          </w:tcPr>
          <w:p w:rsidR="00BE7AC8" w:rsidRPr="00BE7AC8" w:rsidRDefault="00BE7AC8" w:rsidP="00033CFD">
            <w:pPr>
              <w:spacing w:after="0"/>
              <w:ind w:right="175"/>
              <w:jc w:val="right"/>
              <w:rPr>
                <w:rFonts w:ascii="Calibri" w:hAnsi="Calibri" w:cs="Calibri"/>
              </w:rPr>
            </w:pPr>
            <w:r w:rsidRPr="00BE7AC8">
              <w:rPr>
                <w:rFonts w:ascii="Calibri" w:hAnsi="Calibri" w:cs="Calibri"/>
              </w:rPr>
              <w:t>3</w:t>
            </w:r>
          </w:p>
        </w:tc>
        <w:tc>
          <w:tcPr>
            <w:tcW w:w="1985" w:type="dxa"/>
            <w:tcBorders>
              <w:top w:val="single" w:sz="36" w:space="0" w:color="95ADCA"/>
              <w:bottom w:val="single" w:sz="36" w:space="0" w:color="95ADCA"/>
            </w:tcBorders>
            <w:vAlign w:val="center"/>
          </w:tcPr>
          <w:p w:rsidR="00BE7AC8" w:rsidRPr="00BE7AC8" w:rsidRDefault="00BE7AC8" w:rsidP="00033CFD">
            <w:pPr>
              <w:spacing w:after="0"/>
              <w:jc w:val="right"/>
              <w:rPr>
                <w:rFonts w:ascii="Calibri" w:hAnsi="Calibri" w:cs="Calibri"/>
              </w:rPr>
            </w:pPr>
            <w:r w:rsidRPr="00BE7AC8">
              <w:rPr>
                <w:rFonts w:ascii="Calibri" w:hAnsi="Calibri" w:cs="Calibri"/>
              </w:rPr>
              <w:t xml:space="preserve">37.017,00 </w:t>
            </w:r>
            <w:proofErr w:type="spellStart"/>
            <w:r w:rsidRPr="00BE7AC8">
              <w:rPr>
                <w:rFonts w:ascii="Calibri" w:hAnsi="Calibri" w:cs="Calibri"/>
              </w:rPr>
              <w:t>Kč</w:t>
            </w:r>
            <w:proofErr w:type="spellEnd"/>
          </w:p>
        </w:tc>
      </w:tr>
      <w:tr w:rsidR="00BE7AC8" w:rsidRPr="00BE7AC8" w:rsidTr="00740B7E">
        <w:trPr>
          <w:trHeight w:val="349"/>
        </w:trPr>
        <w:tc>
          <w:tcPr>
            <w:tcW w:w="1242" w:type="dxa"/>
            <w:tcBorders>
              <w:top w:val="single" w:sz="36" w:space="0" w:color="95ADCA"/>
              <w:bottom w:val="single" w:sz="36" w:space="0" w:color="95ADCA"/>
            </w:tcBorders>
          </w:tcPr>
          <w:p w:rsidR="00BE7AC8" w:rsidRPr="00BE7AC8" w:rsidRDefault="00BE7AC8" w:rsidP="00033CFD">
            <w:pPr>
              <w:spacing w:after="0"/>
              <w:rPr>
                <w:rFonts w:ascii="Calibri" w:hAnsi="Calibri" w:cs="Calibri"/>
              </w:rPr>
            </w:pPr>
          </w:p>
        </w:tc>
        <w:tc>
          <w:tcPr>
            <w:tcW w:w="5699" w:type="dxa"/>
            <w:gridSpan w:val="2"/>
            <w:tcBorders>
              <w:top w:val="single" w:sz="36" w:space="0" w:color="95ADCA"/>
              <w:bottom w:val="single" w:sz="36" w:space="0" w:color="95ADCA"/>
            </w:tcBorders>
            <w:vAlign w:val="center"/>
          </w:tcPr>
          <w:p w:rsidR="00BE7AC8" w:rsidRPr="00BE7AC8" w:rsidRDefault="00BE7AC8" w:rsidP="00033CFD">
            <w:pPr>
              <w:spacing w:after="0"/>
              <w:jc w:val="right"/>
              <w:rPr>
                <w:rFonts w:ascii="Calibri" w:hAnsi="Calibri" w:cs="Calibri"/>
                <w:b/>
              </w:rPr>
            </w:pPr>
            <w:r w:rsidRPr="00BE7AC8">
              <w:rPr>
                <w:rFonts w:ascii="Calibri" w:hAnsi="Calibri" w:cs="Calibri"/>
                <w:b/>
              </w:rPr>
              <w:t xml:space="preserve">Cena </w:t>
            </w:r>
            <w:proofErr w:type="spellStart"/>
            <w:r w:rsidRPr="00BE7AC8">
              <w:rPr>
                <w:rFonts w:ascii="Calibri" w:hAnsi="Calibri" w:cs="Calibri"/>
                <w:b/>
              </w:rPr>
              <w:t>celkem</w:t>
            </w:r>
            <w:proofErr w:type="spellEnd"/>
            <w:r w:rsidRPr="00BE7AC8">
              <w:rPr>
                <w:rFonts w:ascii="Calibri" w:hAnsi="Calibri" w:cs="Calibri"/>
                <w:b/>
              </w:rPr>
              <w:t xml:space="preserve"> bez DPH:</w:t>
            </w:r>
          </w:p>
        </w:tc>
        <w:tc>
          <w:tcPr>
            <w:tcW w:w="1985" w:type="dxa"/>
            <w:tcBorders>
              <w:top w:val="single" w:sz="36" w:space="0" w:color="95ADCA"/>
              <w:bottom w:val="single" w:sz="36" w:space="0" w:color="95ADCA"/>
            </w:tcBorders>
            <w:vAlign w:val="center"/>
          </w:tcPr>
          <w:p w:rsidR="00BE7AC8" w:rsidRPr="00BE7AC8" w:rsidRDefault="00BE7AC8" w:rsidP="00033CFD">
            <w:pPr>
              <w:spacing w:after="0"/>
              <w:jc w:val="right"/>
              <w:rPr>
                <w:rFonts w:ascii="Calibri" w:hAnsi="Calibri" w:cs="Calibri"/>
                <w:b/>
              </w:rPr>
            </w:pPr>
            <w:r w:rsidRPr="00BE7AC8">
              <w:rPr>
                <w:rFonts w:ascii="Calibri" w:hAnsi="Calibri" w:cs="Calibri"/>
                <w:b/>
              </w:rPr>
              <w:t xml:space="preserve">482.008,00 </w:t>
            </w:r>
            <w:proofErr w:type="spellStart"/>
            <w:r w:rsidRPr="00BE7AC8">
              <w:rPr>
                <w:rFonts w:ascii="Calibri" w:hAnsi="Calibri" w:cs="Calibri"/>
                <w:b/>
              </w:rPr>
              <w:t>Kč</w:t>
            </w:r>
            <w:proofErr w:type="spellEnd"/>
          </w:p>
        </w:tc>
      </w:tr>
      <w:tr w:rsidR="00BE7AC8" w:rsidRPr="00BE7AC8" w:rsidTr="00740B7E">
        <w:trPr>
          <w:trHeight w:val="349"/>
        </w:trPr>
        <w:tc>
          <w:tcPr>
            <w:tcW w:w="1242" w:type="dxa"/>
            <w:tcBorders>
              <w:top w:val="single" w:sz="36" w:space="0" w:color="95ADCA"/>
              <w:bottom w:val="single" w:sz="36" w:space="0" w:color="95ADCA"/>
            </w:tcBorders>
          </w:tcPr>
          <w:p w:rsidR="00BE7AC8" w:rsidRPr="00BE7AC8" w:rsidRDefault="00BE7AC8" w:rsidP="00033CFD">
            <w:pPr>
              <w:spacing w:after="0"/>
              <w:rPr>
                <w:rFonts w:ascii="Calibri" w:hAnsi="Calibri" w:cs="Calibri"/>
              </w:rPr>
            </w:pPr>
          </w:p>
        </w:tc>
        <w:tc>
          <w:tcPr>
            <w:tcW w:w="5699" w:type="dxa"/>
            <w:gridSpan w:val="2"/>
            <w:tcBorders>
              <w:top w:val="single" w:sz="36" w:space="0" w:color="95ADCA"/>
              <w:bottom w:val="single" w:sz="36" w:space="0" w:color="95ADCA"/>
            </w:tcBorders>
            <w:vAlign w:val="center"/>
          </w:tcPr>
          <w:p w:rsidR="00BE7AC8" w:rsidRPr="00BE7AC8" w:rsidRDefault="00BE7AC8" w:rsidP="00033CFD">
            <w:pPr>
              <w:spacing w:after="0"/>
              <w:jc w:val="right"/>
              <w:rPr>
                <w:rFonts w:ascii="Calibri" w:hAnsi="Calibri" w:cs="Calibri"/>
                <w:b/>
              </w:rPr>
            </w:pPr>
            <w:r w:rsidRPr="00BE7AC8">
              <w:rPr>
                <w:rFonts w:ascii="Calibri" w:hAnsi="Calibri" w:cs="Calibri"/>
                <w:b/>
              </w:rPr>
              <w:t xml:space="preserve">Cena </w:t>
            </w:r>
            <w:proofErr w:type="spellStart"/>
            <w:r w:rsidRPr="00BE7AC8">
              <w:rPr>
                <w:rFonts w:ascii="Calibri" w:hAnsi="Calibri" w:cs="Calibri"/>
                <w:b/>
              </w:rPr>
              <w:t>celkem</w:t>
            </w:r>
            <w:proofErr w:type="spellEnd"/>
            <w:r w:rsidRPr="00BE7AC8">
              <w:rPr>
                <w:rFonts w:ascii="Calibri" w:hAnsi="Calibri" w:cs="Calibri"/>
                <w:b/>
              </w:rPr>
              <w:t xml:space="preserve"> </w:t>
            </w:r>
            <w:r w:rsidR="00272CF0">
              <w:rPr>
                <w:rFonts w:ascii="Calibri" w:hAnsi="Calibri" w:cs="Calibri"/>
                <w:b/>
              </w:rPr>
              <w:t>s</w:t>
            </w:r>
            <w:r w:rsidRPr="00BE7AC8">
              <w:rPr>
                <w:rFonts w:ascii="Calibri" w:hAnsi="Calibri" w:cs="Calibri"/>
                <w:b/>
              </w:rPr>
              <w:t xml:space="preserve"> DPH:</w:t>
            </w:r>
          </w:p>
        </w:tc>
        <w:tc>
          <w:tcPr>
            <w:tcW w:w="1985" w:type="dxa"/>
            <w:tcBorders>
              <w:top w:val="single" w:sz="36" w:space="0" w:color="95ADCA"/>
              <w:bottom w:val="single" w:sz="36" w:space="0" w:color="95ADCA"/>
            </w:tcBorders>
            <w:vAlign w:val="center"/>
          </w:tcPr>
          <w:p w:rsidR="00BE7AC8" w:rsidRPr="00BE7AC8" w:rsidRDefault="00BE7AC8" w:rsidP="00033CFD">
            <w:pPr>
              <w:spacing w:after="0"/>
              <w:jc w:val="right"/>
              <w:rPr>
                <w:rFonts w:ascii="Calibri" w:hAnsi="Calibri" w:cs="Calibri"/>
                <w:b/>
              </w:rPr>
            </w:pPr>
            <w:r w:rsidRPr="00BE7AC8">
              <w:rPr>
                <w:rFonts w:ascii="Calibri" w:hAnsi="Calibri" w:cs="Calibri"/>
                <w:b/>
              </w:rPr>
              <w:t xml:space="preserve">583.229,68 </w:t>
            </w:r>
            <w:proofErr w:type="spellStart"/>
            <w:r w:rsidRPr="00BE7AC8">
              <w:rPr>
                <w:rFonts w:ascii="Calibri" w:hAnsi="Calibri" w:cs="Calibri"/>
                <w:b/>
              </w:rPr>
              <w:t>Kč</w:t>
            </w:r>
            <w:proofErr w:type="spellEnd"/>
          </w:p>
        </w:tc>
      </w:tr>
    </w:tbl>
    <w:p w:rsidR="00740B7E" w:rsidRPr="00740B7E" w:rsidRDefault="00740B7E" w:rsidP="00740B7E"/>
    <w:p w:rsidR="00D21687" w:rsidRPr="00740B7E" w:rsidRDefault="006E1FC8" w:rsidP="006E1FC8">
      <w:pPr>
        <w:ind w:left="360"/>
      </w:pPr>
      <w:r>
        <w:rPr>
          <w:b/>
        </w:rPr>
        <w:t>2</w:t>
      </w:r>
      <w:r w:rsidRPr="006E1FC8">
        <w:rPr>
          <w:b/>
        </w:rPr>
        <w:t>.</w:t>
      </w:r>
      <w:r>
        <w:t xml:space="preserve"> </w:t>
      </w:r>
      <w:proofErr w:type="spellStart"/>
      <w:r w:rsidR="00740B7E" w:rsidRPr="00740B7E">
        <w:t>Prodloužení</w:t>
      </w:r>
      <w:proofErr w:type="spellEnd"/>
      <w:r w:rsidR="00740B7E" w:rsidRPr="00740B7E">
        <w:t xml:space="preserve"> IBM </w:t>
      </w:r>
      <w:proofErr w:type="spellStart"/>
      <w:r w:rsidR="00740B7E" w:rsidRPr="00740B7E">
        <w:t>technické</w:t>
      </w:r>
      <w:proofErr w:type="spellEnd"/>
      <w:r w:rsidR="00740B7E" w:rsidRPr="00740B7E">
        <w:t xml:space="preserve"> </w:t>
      </w:r>
      <w:proofErr w:type="spellStart"/>
      <w:r w:rsidR="00740B7E" w:rsidRPr="00740B7E">
        <w:t>podpory</w:t>
      </w:r>
      <w:proofErr w:type="spellEnd"/>
      <w:r w:rsidR="00740B7E" w:rsidRPr="00740B7E">
        <w:t xml:space="preserve"> </w:t>
      </w:r>
      <w:proofErr w:type="spellStart"/>
      <w:r w:rsidR="00740B7E" w:rsidRPr="00740B7E">
        <w:t>licencí</w:t>
      </w:r>
      <w:proofErr w:type="spellEnd"/>
      <w:r w:rsidR="00740B7E" w:rsidRPr="00740B7E">
        <w:t xml:space="preserve"> o </w:t>
      </w:r>
      <w:proofErr w:type="spellStart"/>
      <w:r w:rsidR="00740B7E" w:rsidRPr="00740B7E">
        <w:t>další</w:t>
      </w:r>
      <w:proofErr w:type="spellEnd"/>
      <w:r w:rsidR="00740B7E" w:rsidRPr="00740B7E">
        <w:t xml:space="preserve"> </w:t>
      </w:r>
      <w:proofErr w:type="spellStart"/>
      <w:r w:rsidR="00740B7E" w:rsidRPr="00740B7E">
        <w:t>rok</w:t>
      </w:r>
      <w:proofErr w:type="spellEnd"/>
    </w:p>
    <w:tbl>
      <w:tblPr>
        <w:tblpPr w:leftFromText="141" w:rightFromText="141" w:vertAnchor="text" w:horzAnchor="margin" w:tblpXSpec="center" w:tblpY="116"/>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1242"/>
        <w:gridCol w:w="4395"/>
        <w:gridCol w:w="1304"/>
        <w:gridCol w:w="2011"/>
      </w:tblGrid>
      <w:tr w:rsidR="00BE7AC8" w:rsidRPr="00357AAC" w:rsidTr="00740B7E">
        <w:trPr>
          <w:trHeight w:val="349"/>
        </w:trPr>
        <w:tc>
          <w:tcPr>
            <w:tcW w:w="1242" w:type="dxa"/>
            <w:tcBorders>
              <w:top w:val="single" w:sz="36" w:space="0" w:color="95ADCA"/>
              <w:bottom w:val="single" w:sz="36" w:space="0" w:color="95ADCA"/>
            </w:tcBorders>
            <w:shd w:val="clear" w:color="auto" w:fill="D9D9D9"/>
            <w:vAlign w:val="center"/>
          </w:tcPr>
          <w:p w:rsidR="00BE7AC8" w:rsidRPr="00E77ADC" w:rsidRDefault="00BE7AC8" w:rsidP="00033CFD">
            <w:pPr>
              <w:spacing w:after="0"/>
              <w:rPr>
                <w:rFonts w:ascii="Calibri" w:hAnsi="Calibri" w:cs="Calibri"/>
                <w:b/>
                <w:bCs/>
              </w:rPr>
            </w:pPr>
            <w:proofErr w:type="spellStart"/>
            <w:r w:rsidRPr="00E77ADC">
              <w:rPr>
                <w:rFonts w:ascii="Calibri" w:hAnsi="Calibri" w:cs="Calibri"/>
                <w:b/>
                <w:bCs/>
              </w:rPr>
              <w:t>Kód</w:t>
            </w:r>
            <w:proofErr w:type="spellEnd"/>
          </w:p>
        </w:tc>
        <w:tc>
          <w:tcPr>
            <w:tcW w:w="4395" w:type="dxa"/>
            <w:tcBorders>
              <w:top w:val="single" w:sz="36" w:space="0" w:color="95ADCA"/>
              <w:bottom w:val="single" w:sz="36" w:space="0" w:color="95ADCA"/>
            </w:tcBorders>
            <w:shd w:val="clear" w:color="auto" w:fill="D9D9D9"/>
            <w:vAlign w:val="center"/>
          </w:tcPr>
          <w:p w:rsidR="00BE7AC8" w:rsidRPr="00E77ADC" w:rsidRDefault="00BE7AC8" w:rsidP="00033CFD">
            <w:pPr>
              <w:spacing w:after="0"/>
              <w:rPr>
                <w:rFonts w:ascii="Calibri" w:hAnsi="Calibri" w:cs="Calibri"/>
                <w:b/>
                <w:bCs/>
              </w:rPr>
            </w:pPr>
            <w:proofErr w:type="spellStart"/>
            <w:r w:rsidRPr="00E77ADC">
              <w:rPr>
                <w:rFonts w:ascii="Calibri" w:hAnsi="Calibri" w:cs="Calibri"/>
                <w:b/>
                <w:bCs/>
              </w:rPr>
              <w:t>Název</w:t>
            </w:r>
            <w:proofErr w:type="spellEnd"/>
            <w:r w:rsidRPr="00E77ADC">
              <w:rPr>
                <w:rFonts w:ascii="Calibri" w:hAnsi="Calibri" w:cs="Calibri"/>
                <w:b/>
                <w:bCs/>
              </w:rPr>
              <w:t xml:space="preserve"> </w:t>
            </w:r>
            <w:proofErr w:type="spellStart"/>
            <w:r w:rsidR="00740B7E" w:rsidRPr="00E77ADC">
              <w:rPr>
                <w:rFonts w:ascii="Calibri" w:hAnsi="Calibri" w:cs="Calibri"/>
                <w:b/>
                <w:bCs/>
              </w:rPr>
              <w:t>produktu</w:t>
            </w:r>
            <w:proofErr w:type="spellEnd"/>
          </w:p>
        </w:tc>
        <w:tc>
          <w:tcPr>
            <w:tcW w:w="1304" w:type="dxa"/>
            <w:tcBorders>
              <w:top w:val="single" w:sz="36" w:space="0" w:color="95ADCA"/>
              <w:bottom w:val="single" w:sz="36" w:space="0" w:color="95ADCA"/>
            </w:tcBorders>
            <w:shd w:val="clear" w:color="auto" w:fill="D9D9D9"/>
            <w:vAlign w:val="center"/>
          </w:tcPr>
          <w:p w:rsidR="00BE7AC8" w:rsidRPr="00E77ADC" w:rsidRDefault="00BE7AC8" w:rsidP="00033CFD">
            <w:pPr>
              <w:spacing w:after="0"/>
              <w:rPr>
                <w:rFonts w:ascii="Calibri" w:hAnsi="Calibri" w:cs="Calibri"/>
                <w:b/>
                <w:bCs/>
              </w:rPr>
            </w:pPr>
            <w:proofErr w:type="spellStart"/>
            <w:r w:rsidRPr="00E77ADC">
              <w:rPr>
                <w:rFonts w:ascii="Calibri" w:hAnsi="Calibri" w:cs="Calibri"/>
                <w:b/>
                <w:bCs/>
              </w:rPr>
              <w:t>Množství</w:t>
            </w:r>
            <w:proofErr w:type="spellEnd"/>
          </w:p>
        </w:tc>
        <w:tc>
          <w:tcPr>
            <w:tcW w:w="2011" w:type="dxa"/>
            <w:tcBorders>
              <w:top w:val="single" w:sz="36" w:space="0" w:color="95ADCA"/>
              <w:bottom w:val="single" w:sz="36" w:space="0" w:color="95ADCA"/>
            </w:tcBorders>
            <w:shd w:val="clear" w:color="auto" w:fill="D9D9D9"/>
          </w:tcPr>
          <w:p w:rsidR="00BE7AC8" w:rsidRPr="00E77ADC" w:rsidRDefault="00BE7AC8" w:rsidP="00033CFD">
            <w:pPr>
              <w:spacing w:after="0"/>
              <w:rPr>
                <w:rFonts w:ascii="Calibri" w:hAnsi="Calibri" w:cs="Calibri"/>
                <w:b/>
                <w:bCs/>
              </w:rPr>
            </w:pPr>
            <w:r w:rsidRPr="00E77ADC">
              <w:rPr>
                <w:rFonts w:ascii="Calibri" w:hAnsi="Calibri" w:cs="Calibri"/>
                <w:b/>
                <w:bCs/>
              </w:rPr>
              <w:t>Cena/</w:t>
            </w:r>
            <w:proofErr w:type="spellStart"/>
            <w:r w:rsidRPr="00E77ADC">
              <w:rPr>
                <w:rFonts w:ascii="Calibri" w:hAnsi="Calibri" w:cs="Calibri"/>
                <w:b/>
                <w:bCs/>
              </w:rPr>
              <w:t>položku</w:t>
            </w:r>
            <w:proofErr w:type="spellEnd"/>
            <w:r w:rsidRPr="00E77ADC">
              <w:rPr>
                <w:rFonts w:ascii="Calibri" w:hAnsi="Calibri" w:cs="Calibri"/>
                <w:b/>
                <w:bCs/>
              </w:rPr>
              <w:t xml:space="preserve"> bez DPH </w:t>
            </w:r>
          </w:p>
        </w:tc>
      </w:tr>
      <w:tr w:rsidR="00BE7AC8" w:rsidRPr="00BA2FC3" w:rsidTr="00740B7E">
        <w:trPr>
          <w:trHeight w:val="953"/>
        </w:trPr>
        <w:tc>
          <w:tcPr>
            <w:tcW w:w="1242" w:type="dxa"/>
            <w:tcBorders>
              <w:top w:val="single" w:sz="36" w:space="0" w:color="95ADCA"/>
              <w:bottom w:val="single" w:sz="36" w:space="0" w:color="95ADCA"/>
            </w:tcBorders>
          </w:tcPr>
          <w:p w:rsidR="00BE7AC8" w:rsidRPr="00E77ADC" w:rsidRDefault="00BE7AC8" w:rsidP="00033CFD">
            <w:pPr>
              <w:spacing w:after="0"/>
              <w:rPr>
                <w:rFonts w:ascii="Calibri" w:hAnsi="Calibri" w:cs="Calibri"/>
              </w:rPr>
            </w:pPr>
            <w:r w:rsidRPr="00E77ADC">
              <w:rPr>
                <w:rFonts w:ascii="Calibri" w:hAnsi="Calibri" w:cs="Calibri"/>
              </w:rPr>
              <w:t>E085KLL</w:t>
            </w:r>
          </w:p>
        </w:tc>
        <w:tc>
          <w:tcPr>
            <w:tcW w:w="4395" w:type="dxa"/>
            <w:tcBorders>
              <w:top w:val="single" w:sz="36" w:space="0" w:color="95ADCA"/>
              <w:bottom w:val="single" w:sz="36" w:space="0" w:color="95ADCA"/>
            </w:tcBorders>
            <w:vAlign w:val="center"/>
          </w:tcPr>
          <w:p w:rsidR="00BE7AC8" w:rsidRPr="00E77ADC" w:rsidRDefault="00BE7AC8" w:rsidP="00033CFD">
            <w:pPr>
              <w:spacing w:after="0"/>
              <w:rPr>
                <w:rFonts w:ascii="Calibri" w:hAnsi="Calibri" w:cs="Calibri"/>
              </w:rPr>
            </w:pPr>
            <w:r w:rsidRPr="00E77ADC">
              <w:rPr>
                <w:rFonts w:ascii="Calibri" w:hAnsi="Calibri" w:cs="Calibri"/>
              </w:rPr>
              <w:t>IBM Informix 4GL Compiler Runtime Option for IDS Workgroup Edition Limited Use Socket Annual SW Subscription &amp; Support Renewal</w:t>
            </w:r>
          </w:p>
        </w:tc>
        <w:tc>
          <w:tcPr>
            <w:tcW w:w="1304" w:type="dxa"/>
            <w:tcBorders>
              <w:top w:val="single" w:sz="36" w:space="0" w:color="95ADCA"/>
              <w:bottom w:val="single" w:sz="36" w:space="0" w:color="95ADCA"/>
            </w:tcBorders>
            <w:vAlign w:val="center"/>
          </w:tcPr>
          <w:p w:rsidR="00BE7AC8" w:rsidRPr="00E77ADC" w:rsidRDefault="00BE7AC8" w:rsidP="00033CFD">
            <w:pPr>
              <w:spacing w:after="0"/>
              <w:ind w:right="175"/>
              <w:jc w:val="right"/>
              <w:rPr>
                <w:rFonts w:ascii="Calibri" w:hAnsi="Calibri" w:cs="Calibri"/>
              </w:rPr>
            </w:pPr>
            <w:r w:rsidRPr="00E77ADC">
              <w:rPr>
                <w:rFonts w:ascii="Calibri" w:hAnsi="Calibri" w:cs="Calibri"/>
              </w:rPr>
              <w:t>1</w:t>
            </w:r>
          </w:p>
        </w:tc>
        <w:tc>
          <w:tcPr>
            <w:tcW w:w="2011" w:type="dxa"/>
            <w:tcBorders>
              <w:top w:val="single" w:sz="36" w:space="0" w:color="95ADCA"/>
              <w:bottom w:val="single" w:sz="36" w:space="0" w:color="95ADCA"/>
            </w:tcBorders>
            <w:vAlign w:val="center"/>
          </w:tcPr>
          <w:p w:rsidR="00BE7AC8" w:rsidRPr="00E77ADC" w:rsidRDefault="00BE7AC8" w:rsidP="00033CFD">
            <w:pPr>
              <w:spacing w:after="0"/>
              <w:jc w:val="right"/>
              <w:rPr>
                <w:rFonts w:ascii="Calibri" w:hAnsi="Calibri" w:cs="Calibri"/>
              </w:rPr>
            </w:pPr>
            <w:r w:rsidRPr="00E77ADC">
              <w:rPr>
                <w:rFonts w:ascii="Calibri" w:hAnsi="Calibri" w:cs="Calibri"/>
              </w:rPr>
              <w:t xml:space="preserve">102.463,00 </w:t>
            </w:r>
            <w:proofErr w:type="spellStart"/>
            <w:r w:rsidRPr="00E77ADC">
              <w:rPr>
                <w:rFonts w:ascii="Calibri" w:hAnsi="Calibri" w:cs="Calibri"/>
              </w:rPr>
              <w:t>Kč</w:t>
            </w:r>
            <w:proofErr w:type="spellEnd"/>
          </w:p>
        </w:tc>
      </w:tr>
      <w:tr w:rsidR="00BE7AC8" w:rsidRPr="00BA2FC3" w:rsidTr="00740B7E">
        <w:trPr>
          <w:trHeight w:val="349"/>
        </w:trPr>
        <w:tc>
          <w:tcPr>
            <w:tcW w:w="1242" w:type="dxa"/>
            <w:tcBorders>
              <w:top w:val="single" w:sz="36" w:space="0" w:color="95ADCA"/>
              <w:bottom w:val="single" w:sz="36" w:space="0" w:color="95ADCA"/>
            </w:tcBorders>
          </w:tcPr>
          <w:p w:rsidR="00BE7AC8" w:rsidRPr="00E77ADC" w:rsidRDefault="00BE7AC8" w:rsidP="00033CFD">
            <w:pPr>
              <w:spacing w:after="0"/>
              <w:rPr>
                <w:rFonts w:ascii="Calibri" w:hAnsi="Calibri" w:cs="Calibri"/>
              </w:rPr>
            </w:pPr>
            <w:r w:rsidRPr="00E77ADC">
              <w:rPr>
                <w:rFonts w:ascii="Calibri" w:hAnsi="Calibri" w:cs="Calibri"/>
              </w:rPr>
              <w:t>E2DFNLL</w:t>
            </w:r>
          </w:p>
        </w:tc>
        <w:tc>
          <w:tcPr>
            <w:tcW w:w="4395" w:type="dxa"/>
            <w:tcBorders>
              <w:top w:val="single" w:sz="36" w:space="0" w:color="95ADCA"/>
              <w:bottom w:val="single" w:sz="36" w:space="0" w:color="95ADCA"/>
            </w:tcBorders>
            <w:vAlign w:val="center"/>
          </w:tcPr>
          <w:p w:rsidR="00BE7AC8" w:rsidRPr="00E77ADC" w:rsidRDefault="00BE7AC8" w:rsidP="00033CFD">
            <w:pPr>
              <w:spacing w:after="0"/>
              <w:rPr>
                <w:rFonts w:ascii="Calibri" w:hAnsi="Calibri" w:cs="Calibri"/>
              </w:rPr>
            </w:pPr>
            <w:r w:rsidRPr="00E77ADC">
              <w:rPr>
                <w:rFonts w:ascii="Calibri" w:hAnsi="Calibri" w:cs="Calibri"/>
              </w:rPr>
              <w:t>IBM Informix 4GL Compiler Development Authorized User Annual SW Subscription &amp; Support Renewal</w:t>
            </w:r>
          </w:p>
        </w:tc>
        <w:tc>
          <w:tcPr>
            <w:tcW w:w="1304" w:type="dxa"/>
            <w:tcBorders>
              <w:top w:val="single" w:sz="36" w:space="0" w:color="95ADCA"/>
              <w:bottom w:val="single" w:sz="36" w:space="0" w:color="95ADCA"/>
            </w:tcBorders>
            <w:vAlign w:val="center"/>
          </w:tcPr>
          <w:p w:rsidR="00BE7AC8" w:rsidRPr="00E77ADC" w:rsidRDefault="00BE7AC8" w:rsidP="00033CFD">
            <w:pPr>
              <w:spacing w:after="0"/>
              <w:ind w:right="175"/>
              <w:jc w:val="right"/>
              <w:rPr>
                <w:rFonts w:ascii="Calibri" w:hAnsi="Calibri" w:cs="Calibri"/>
              </w:rPr>
            </w:pPr>
            <w:r w:rsidRPr="00E77ADC">
              <w:rPr>
                <w:rFonts w:ascii="Calibri" w:hAnsi="Calibri" w:cs="Calibri"/>
              </w:rPr>
              <w:t>3</w:t>
            </w:r>
          </w:p>
        </w:tc>
        <w:tc>
          <w:tcPr>
            <w:tcW w:w="2011" w:type="dxa"/>
            <w:tcBorders>
              <w:top w:val="single" w:sz="36" w:space="0" w:color="95ADCA"/>
              <w:bottom w:val="single" w:sz="36" w:space="0" w:color="95ADCA"/>
            </w:tcBorders>
            <w:vAlign w:val="center"/>
          </w:tcPr>
          <w:p w:rsidR="00BE7AC8" w:rsidRPr="00E77ADC" w:rsidRDefault="00BE7AC8" w:rsidP="00033CFD">
            <w:pPr>
              <w:spacing w:after="0"/>
              <w:jc w:val="right"/>
              <w:rPr>
                <w:rFonts w:ascii="Calibri" w:hAnsi="Calibri" w:cs="Calibri"/>
              </w:rPr>
            </w:pPr>
            <w:r w:rsidRPr="00E77ADC">
              <w:rPr>
                <w:rFonts w:ascii="Calibri" w:hAnsi="Calibri" w:cs="Calibri"/>
              </w:rPr>
              <w:t xml:space="preserve">13.874,00 </w:t>
            </w:r>
            <w:proofErr w:type="spellStart"/>
            <w:r w:rsidRPr="00E77ADC">
              <w:rPr>
                <w:rFonts w:ascii="Calibri" w:hAnsi="Calibri" w:cs="Calibri"/>
              </w:rPr>
              <w:t>Kč</w:t>
            </w:r>
            <w:proofErr w:type="spellEnd"/>
          </w:p>
        </w:tc>
      </w:tr>
      <w:tr w:rsidR="00BE7AC8" w:rsidRPr="00BA2FC3" w:rsidTr="00740B7E">
        <w:trPr>
          <w:trHeight w:val="349"/>
        </w:trPr>
        <w:tc>
          <w:tcPr>
            <w:tcW w:w="1242" w:type="dxa"/>
            <w:tcBorders>
              <w:top w:val="single" w:sz="36" w:space="0" w:color="95ADCA"/>
              <w:bottom w:val="single" w:sz="36" w:space="0" w:color="95ADCA"/>
            </w:tcBorders>
          </w:tcPr>
          <w:p w:rsidR="00BE7AC8" w:rsidRPr="00E77ADC" w:rsidRDefault="00BE7AC8" w:rsidP="00033CFD">
            <w:pPr>
              <w:spacing w:after="0"/>
              <w:rPr>
                <w:rFonts w:ascii="Calibri" w:hAnsi="Calibri" w:cs="Calibri"/>
              </w:rPr>
            </w:pPr>
          </w:p>
        </w:tc>
        <w:tc>
          <w:tcPr>
            <w:tcW w:w="5699" w:type="dxa"/>
            <w:gridSpan w:val="2"/>
            <w:tcBorders>
              <w:top w:val="single" w:sz="36" w:space="0" w:color="95ADCA"/>
              <w:bottom w:val="single" w:sz="36" w:space="0" w:color="95ADCA"/>
            </w:tcBorders>
            <w:vAlign w:val="center"/>
          </w:tcPr>
          <w:p w:rsidR="00BE7AC8" w:rsidRPr="00E77ADC" w:rsidRDefault="00BE7AC8" w:rsidP="00033CFD">
            <w:pPr>
              <w:spacing w:after="0"/>
              <w:jc w:val="right"/>
              <w:rPr>
                <w:rFonts w:ascii="Calibri" w:hAnsi="Calibri" w:cs="Calibri"/>
                <w:b/>
              </w:rPr>
            </w:pPr>
            <w:r w:rsidRPr="00E77ADC">
              <w:rPr>
                <w:rFonts w:ascii="Calibri" w:hAnsi="Calibri" w:cs="Calibri"/>
                <w:b/>
              </w:rPr>
              <w:t xml:space="preserve">Cena </w:t>
            </w:r>
            <w:proofErr w:type="spellStart"/>
            <w:r w:rsidRPr="00E77ADC">
              <w:rPr>
                <w:rFonts w:ascii="Calibri" w:hAnsi="Calibri" w:cs="Calibri"/>
                <w:b/>
              </w:rPr>
              <w:t>celkem</w:t>
            </w:r>
            <w:proofErr w:type="spellEnd"/>
            <w:r w:rsidRPr="00E77ADC">
              <w:rPr>
                <w:rFonts w:ascii="Calibri" w:hAnsi="Calibri" w:cs="Calibri"/>
                <w:b/>
              </w:rPr>
              <w:t xml:space="preserve"> bez DPH:</w:t>
            </w:r>
          </w:p>
        </w:tc>
        <w:tc>
          <w:tcPr>
            <w:tcW w:w="2011" w:type="dxa"/>
            <w:tcBorders>
              <w:top w:val="single" w:sz="36" w:space="0" w:color="95ADCA"/>
              <w:bottom w:val="single" w:sz="36" w:space="0" w:color="95ADCA"/>
            </w:tcBorders>
            <w:vAlign w:val="center"/>
          </w:tcPr>
          <w:p w:rsidR="00BE7AC8" w:rsidRPr="00E77ADC" w:rsidRDefault="00BE7AC8" w:rsidP="00033CFD">
            <w:pPr>
              <w:spacing w:after="0"/>
              <w:jc w:val="right"/>
              <w:rPr>
                <w:rFonts w:ascii="Calibri" w:hAnsi="Calibri" w:cs="Calibri"/>
                <w:b/>
              </w:rPr>
            </w:pPr>
            <w:r w:rsidRPr="00E77ADC">
              <w:rPr>
                <w:rFonts w:ascii="Calibri" w:hAnsi="Calibri" w:cs="Calibri"/>
                <w:b/>
              </w:rPr>
              <w:t xml:space="preserve">116.337,00 </w:t>
            </w:r>
            <w:proofErr w:type="spellStart"/>
            <w:r w:rsidRPr="00E77ADC">
              <w:rPr>
                <w:rFonts w:ascii="Calibri" w:hAnsi="Calibri" w:cs="Calibri"/>
                <w:b/>
              </w:rPr>
              <w:t>Kč</w:t>
            </w:r>
            <w:proofErr w:type="spellEnd"/>
          </w:p>
        </w:tc>
      </w:tr>
      <w:tr w:rsidR="00BE7AC8" w:rsidRPr="00BA2FC3" w:rsidTr="00740B7E">
        <w:trPr>
          <w:trHeight w:val="349"/>
        </w:trPr>
        <w:tc>
          <w:tcPr>
            <w:tcW w:w="1242" w:type="dxa"/>
            <w:tcBorders>
              <w:top w:val="single" w:sz="36" w:space="0" w:color="95ADCA"/>
              <w:bottom w:val="single" w:sz="36" w:space="0" w:color="95ADCA"/>
            </w:tcBorders>
          </w:tcPr>
          <w:p w:rsidR="00BE7AC8" w:rsidRPr="00E77ADC" w:rsidRDefault="00BE7AC8" w:rsidP="00033CFD">
            <w:pPr>
              <w:spacing w:after="0"/>
              <w:rPr>
                <w:rFonts w:ascii="Calibri" w:hAnsi="Calibri" w:cs="Calibri"/>
              </w:rPr>
            </w:pPr>
          </w:p>
        </w:tc>
        <w:tc>
          <w:tcPr>
            <w:tcW w:w="5699" w:type="dxa"/>
            <w:gridSpan w:val="2"/>
            <w:tcBorders>
              <w:top w:val="single" w:sz="36" w:space="0" w:color="95ADCA"/>
              <w:bottom w:val="single" w:sz="36" w:space="0" w:color="95ADCA"/>
            </w:tcBorders>
            <w:vAlign w:val="center"/>
          </w:tcPr>
          <w:p w:rsidR="00BE7AC8" w:rsidRPr="00E77ADC" w:rsidRDefault="00BE7AC8" w:rsidP="00033CFD">
            <w:pPr>
              <w:spacing w:after="0"/>
              <w:jc w:val="right"/>
              <w:rPr>
                <w:rFonts w:ascii="Calibri" w:hAnsi="Calibri" w:cs="Calibri"/>
                <w:b/>
              </w:rPr>
            </w:pPr>
            <w:r w:rsidRPr="00E77ADC">
              <w:rPr>
                <w:rFonts w:ascii="Calibri" w:hAnsi="Calibri" w:cs="Calibri"/>
                <w:b/>
              </w:rPr>
              <w:t xml:space="preserve">Cena </w:t>
            </w:r>
            <w:proofErr w:type="spellStart"/>
            <w:r w:rsidRPr="00E77ADC">
              <w:rPr>
                <w:rFonts w:ascii="Calibri" w:hAnsi="Calibri" w:cs="Calibri"/>
                <w:b/>
              </w:rPr>
              <w:t>celkem</w:t>
            </w:r>
            <w:proofErr w:type="spellEnd"/>
            <w:r w:rsidRPr="00E77ADC">
              <w:rPr>
                <w:rFonts w:ascii="Calibri" w:hAnsi="Calibri" w:cs="Calibri"/>
                <w:b/>
              </w:rPr>
              <w:t xml:space="preserve"> </w:t>
            </w:r>
            <w:r w:rsidR="00272CF0" w:rsidRPr="00E77ADC">
              <w:rPr>
                <w:rFonts w:ascii="Calibri" w:hAnsi="Calibri" w:cs="Calibri"/>
                <w:b/>
              </w:rPr>
              <w:t>s</w:t>
            </w:r>
            <w:r w:rsidRPr="00E77ADC">
              <w:rPr>
                <w:rFonts w:ascii="Calibri" w:hAnsi="Calibri" w:cs="Calibri"/>
                <w:b/>
              </w:rPr>
              <w:t xml:space="preserve"> DPH:</w:t>
            </w:r>
          </w:p>
        </w:tc>
        <w:tc>
          <w:tcPr>
            <w:tcW w:w="2011" w:type="dxa"/>
            <w:tcBorders>
              <w:top w:val="single" w:sz="36" w:space="0" w:color="95ADCA"/>
              <w:bottom w:val="single" w:sz="36" w:space="0" w:color="95ADCA"/>
            </w:tcBorders>
            <w:vAlign w:val="center"/>
          </w:tcPr>
          <w:p w:rsidR="00BE7AC8" w:rsidRPr="00E77ADC" w:rsidRDefault="00BE7AC8" w:rsidP="00033CFD">
            <w:pPr>
              <w:spacing w:after="0"/>
              <w:jc w:val="right"/>
              <w:rPr>
                <w:rFonts w:ascii="Calibri" w:hAnsi="Calibri" w:cs="Calibri"/>
                <w:b/>
              </w:rPr>
            </w:pPr>
            <w:r w:rsidRPr="00E77ADC">
              <w:rPr>
                <w:rFonts w:ascii="Calibri" w:hAnsi="Calibri" w:cs="Calibri"/>
                <w:b/>
              </w:rPr>
              <w:t xml:space="preserve">140.767,77 </w:t>
            </w:r>
            <w:proofErr w:type="spellStart"/>
            <w:r w:rsidRPr="00E77ADC">
              <w:rPr>
                <w:rFonts w:ascii="Calibri" w:hAnsi="Calibri" w:cs="Calibri"/>
                <w:b/>
              </w:rPr>
              <w:t>Kč</w:t>
            </w:r>
            <w:proofErr w:type="spellEnd"/>
          </w:p>
        </w:tc>
      </w:tr>
    </w:tbl>
    <w:p w:rsidR="00BE7AC8" w:rsidRDefault="00BE7AC8" w:rsidP="00BE7AC8">
      <w:pPr>
        <w:pStyle w:val="Compact"/>
        <w:rPr>
          <w:rFonts w:ascii="Calibri" w:hAnsi="Calibri" w:cs="Calibri"/>
          <w:lang w:val="cs-CZ"/>
        </w:rPr>
      </w:pPr>
    </w:p>
    <w:p w:rsidR="00740B7E" w:rsidRPr="00740B7E" w:rsidRDefault="006E1FC8" w:rsidP="006E1FC8">
      <w:pPr>
        <w:ind w:left="360"/>
      </w:pPr>
      <w:r>
        <w:rPr>
          <w:b/>
        </w:rPr>
        <w:t>3</w:t>
      </w:r>
      <w:r w:rsidRPr="006E1FC8">
        <w:rPr>
          <w:b/>
        </w:rPr>
        <w:t>.</w:t>
      </w:r>
      <w:r>
        <w:t xml:space="preserve"> </w:t>
      </w:r>
      <w:proofErr w:type="spellStart"/>
      <w:r w:rsidRPr="006E1FC8">
        <w:t>Služba</w:t>
      </w:r>
      <w:proofErr w:type="spellEnd"/>
      <w:r w:rsidRPr="006E1FC8">
        <w:t xml:space="preserve"> </w:t>
      </w:r>
      <w:proofErr w:type="spellStart"/>
      <w:r w:rsidRPr="006E1FC8">
        <w:t>migrace</w:t>
      </w:r>
      <w:proofErr w:type="spellEnd"/>
      <w:r w:rsidRPr="006E1FC8">
        <w:t xml:space="preserve"> IBM IDS</w:t>
      </w:r>
      <w:r>
        <w:t xml:space="preserve"> (</w:t>
      </w:r>
      <w:proofErr w:type="spellStart"/>
      <w:r>
        <w:t>specifikace</w:t>
      </w:r>
      <w:proofErr w:type="spellEnd"/>
      <w:r>
        <w:t xml:space="preserve"> viz </w:t>
      </w:r>
      <w:proofErr w:type="spellStart"/>
      <w:r>
        <w:t>čl</w:t>
      </w:r>
      <w:proofErr w:type="spellEnd"/>
      <w:r>
        <w:t xml:space="preserve">. 4) </w:t>
      </w:r>
    </w:p>
    <w:p w:rsidR="00740B7E" w:rsidRPr="00E77ADC" w:rsidRDefault="00740B7E" w:rsidP="00E77ADC">
      <w:pPr>
        <w:ind w:left="720"/>
        <w:rPr>
          <w:rFonts w:ascii="Calibri" w:hAnsi="Calibri" w:cs="Calibri"/>
          <w:b/>
          <w:bCs/>
          <w:lang w:val="cs-CZ"/>
        </w:rPr>
      </w:pPr>
      <w:r w:rsidRPr="00E77ADC">
        <w:rPr>
          <w:rFonts w:ascii="Calibri" w:hAnsi="Calibri" w:cs="Calibri"/>
          <w:b/>
          <w:bCs/>
          <w:lang w:val="cs-CZ"/>
        </w:rPr>
        <w:t>Cena za službu migrace: 349.600,00 Kč bez DPH.</w:t>
      </w:r>
    </w:p>
    <w:p w:rsidR="00740B7E" w:rsidRPr="00E77ADC" w:rsidRDefault="00740B7E" w:rsidP="00E77ADC">
      <w:pPr>
        <w:ind w:left="720"/>
        <w:rPr>
          <w:rFonts w:ascii="Calibri" w:hAnsi="Calibri" w:cs="Calibri"/>
          <w:b/>
          <w:bCs/>
          <w:lang w:val="cs-CZ"/>
        </w:rPr>
      </w:pPr>
      <w:r w:rsidRPr="00E77ADC">
        <w:rPr>
          <w:rFonts w:ascii="Calibri" w:hAnsi="Calibri" w:cs="Calibri"/>
          <w:b/>
          <w:bCs/>
          <w:lang w:val="cs-CZ"/>
        </w:rPr>
        <w:t xml:space="preserve">Cena za službu migrace: 423.016,00 Kč </w:t>
      </w:r>
      <w:r w:rsidR="00272CF0" w:rsidRPr="00E77ADC">
        <w:rPr>
          <w:rFonts w:ascii="Calibri" w:hAnsi="Calibri" w:cs="Calibri"/>
          <w:b/>
          <w:bCs/>
          <w:lang w:val="cs-CZ"/>
        </w:rPr>
        <w:t>s</w:t>
      </w:r>
      <w:r w:rsidRPr="00E77ADC">
        <w:rPr>
          <w:rFonts w:ascii="Calibri" w:hAnsi="Calibri" w:cs="Calibri"/>
          <w:b/>
          <w:bCs/>
          <w:lang w:val="cs-CZ"/>
        </w:rPr>
        <w:t xml:space="preserve"> DPH.</w:t>
      </w:r>
    </w:p>
    <w:bookmarkEnd w:id="0"/>
    <w:bookmarkEnd w:id="9"/>
    <w:p w:rsidR="00D21687" w:rsidRPr="00C76534" w:rsidRDefault="00D21687" w:rsidP="00740B7E">
      <w:pPr>
        <w:ind w:firstLine="284"/>
        <w:rPr>
          <w:rFonts w:ascii="Calibri" w:hAnsi="Calibri" w:cs="Calibri"/>
          <w:lang w:val="cs-CZ"/>
        </w:rPr>
      </w:pPr>
    </w:p>
    <w:sectPr w:rsidR="00D21687" w:rsidRPr="00C76534">
      <w:footnotePr>
        <w:numRestart w:val="eachSect"/>
      </w:footnotePr>
      <w:pgSz w:w="12240" w:h="15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onsolas">
    <w:panose1 w:val="020B0609020204030204"/>
    <w:charset w:val="EE"/>
    <w:family w:val="modern"/>
    <w:pitch w:val="fixed"/>
    <w:sig w:usb0="E00006FF" w:usb1="0000FCFF" w:usb2="00000001" w:usb3="00000000" w:csb0="0000019F"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djusted Arial Fallback">
    <w:altName w:val="Cambria"/>
    <w:panose1 w:val="00000000000000000000"/>
    <w:charset w:val="00"/>
    <w:family w:val="roman"/>
    <w:notTrueType/>
    <w:pitch w:val="default"/>
  </w:font>
  <w:font w:name="Cambria Math">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A990"/>
    <w:multiLevelType w:val="multilevel"/>
    <w:tmpl w:val="C7CC83A6"/>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03B0D146"/>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00A99422"/>
    <w:multiLevelType w:val="multilevel"/>
    <w:tmpl w:val="0F2C7EFC"/>
    <w:lvl w:ilvl="0">
      <w:start w:val="2"/>
      <w:numFmt w:val="decimal"/>
      <w:lvlText w:val="%1)"/>
      <w:lvlJc w:val="left"/>
      <w:pPr>
        <w:ind w:left="720" w:hanging="360"/>
      </w:pPr>
    </w:lvl>
    <w:lvl w:ilvl="1">
      <w:start w:val="2"/>
      <w:numFmt w:val="decimal"/>
      <w:lvlText w:val="%2)"/>
      <w:lvlJc w:val="left"/>
      <w:pPr>
        <w:ind w:left="1440" w:hanging="360"/>
      </w:pPr>
    </w:lvl>
    <w:lvl w:ilvl="2">
      <w:start w:val="2"/>
      <w:numFmt w:val="decimal"/>
      <w:lvlText w:val="%3)"/>
      <w:lvlJc w:val="left"/>
      <w:pPr>
        <w:ind w:left="2160" w:hanging="360"/>
      </w:pPr>
    </w:lvl>
    <w:lvl w:ilvl="3">
      <w:start w:val="2"/>
      <w:numFmt w:val="decimal"/>
      <w:lvlText w:val="%4)"/>
      <w:lvlJc w:val="left"/>
      <w:pPr>
        <w:ind w:left="2880" w:hanging="360"/>
      </w:pPr>
    </w:lvl>
    <w:lvl w:ilvl="4">
      <w:start w:val="2"/>
      <w:numFmt w:val="decimal"/>
      <w:lvlText w:val="%5)"/>
      <w:lvlJc w:val="left"/>
      <w:pPr>
        <w:ind w:left="3600" w:hanging="360"/>
      </w:pPr>
    </w:lvl>
    <w:lvl w:ilvl="5">
      <w:start w:val="2"/>
      <w:numFmt w:val="decimal"/>
      <w:lvlText w:val="%6)"/>
      <w:lvlJc w:val="left"/>
      <w:pPr>
        <w:ind w:left="4320" w:hanging="360"/>
      </w:pPr>
    </w:lvl>
    <w:lvl w:ilvl="6">
      <w:start w:val="2"/>
      <w:numFmt w:val="decimal"/>
      <w:lvlText w:val="%7)"/>
      <w:lvlJc w:val="left"/>
      <w:pPr>
        <w:ind w:left="5040" w:hanging="360"/>
      </w:pPr>
    </w:lvl>
    <w:lvl w:ilvl="7">
      <w:start w:val="2"/>
      <w:numFmt w:val="decimal"/>
      <w:lvlText w:val="%8)"/>
      <w:lvlJc w:val="left"/>
      <w:pPr>
        <w:ind w:left="5760" w:hanging="360"/>
      </w:pPr>
    </w:lvl>
    <w:lvl w:ilvl="8">
      <w:start w:val="2"/>
      <w:numFmt w:val="decimal"/>
      <w:lvlText w:val="%9)"/>
      <w:lvlJc w:val="left"/>
      <w:pPr>
        <w:ind w:left="6480" w:hanging="360"/>
      </w:pPr>
    </w:lvl>
  </w:abstractNum>
  <w:abstractNum w:abstractNumId="3" w15:restartNumberingAfterBreak="0">
    <w:nsid w:val="00EC05B3"/>
    <w:multiLevelType w:val="hybridMultilevel"/>
    <w:tmpl w:val="E5EE9842"/>
    <w:lvl w:ilvl="0" w:tplc="AE988B48">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22A286B"/>
    <w:multiLevelType w:val="multilevel"/>
    <w:tmpl w:val="B582E2A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8A97D4A"/>
    <w:multiLevelType w:val="multilevel"/>
    <w:tmpl w:val="C6B21842"/>
    <w:lvl w:ilvl="0">
      <w:start w:val="1"/>
      <w:numFmt w:val="decimal"/>
      <w:lvlText w:val="%1."/>
      <w:lvlJc w:val="left"/>
      <w:pPr>
        <w:tabs>
          <w:tab w:val="num" w:pos="-7200"/>
        </w:tabs>
        <w:ind w:left="-7200" w:hanging="360"/>
      </w:pPr>
    </w:lvl>
    <w:lvl w:ilvl="1">
      <w:start w:val="1"/>
      <w:numFmt w:val="bullet"/>
      <w:lvlText w:val="o"/>
      <w:lvlJc w:val="left"/>
      <w:pPr>
        <w:tabs>
          <w:tab w:val="num" w:pos="-6480"/>
        </w:tabs>
        <w:ind w:left="-6480" w:hanging="360"/>
      </w:pPr>
      <w:rPr>
        <w:rFonts w:ascii="Courier New" w:hAnsi="Courier New" w:cs="Times New Roman" w:hint="default"/>
        <w:sz w:val="20"/>
      </w:rPr>
    </w:lvl>
    <w:lvl w:ilvl="2">
      <w:start w:val="1"/>
      <w:numFmt w:val="bullet"/>
      <w:lvlText w:val=""/>
      <w:lvlJc w:val="left"/>
      <w:pPr>
        <w:ind w:left="-5760" w:hanging="360"/>
      </w:pPr>
      <w:rPr>
        <w:rFonts w:ascii="Wingdings" w:hAnsi="Wingdings" w:hint="default"/>
      </w:rPr>
    </w:lvl>
    <w:lvl w:ilvl="3">
      <w:start w:val="1"/>
      <w:numFmt w:val="decimal"/>
      <w:lvlText w:val="%4."/>
      <w:lvlJc w:val="left"/>
      <w:pPr>
        <w:tabs>
          <w:tab w:val="num" w:pos="-5040"/>
        </w:tabs>
        <w:ind w:left="-5040" w:hanging="360"/>
      </w:pPr>
    </w:lvl>
    <w:lvl w:ilvl="4">
      <w:start w:val="1"/>
      <w:numFmt w:val="decimal"/>
      <w:lvlText w:val="%5."/>
      <w:lvlJc w:val="left"/>
      <w:pPr>
        <w:tabs>
          <w:tab w:val="num" w:pos="-4320"/>
        </w:tabs>
        <w:ind w:left="-4320" w:hanging="360"/>
      </w:pPr>
    </w:lvl>
    <w:lvl w:ilvl="5">
      <w:start w:val="1"/>
      <w:numFmt w:val="decimal"/>
      <w:lvlText w:val="%6."/>
      <w:lvlJc w:val="left"/>
      <w:pPr>
        <w:tabs>
          <w:tab w:val="num" w:pos="-3600"/>
        </w:tabs>
        <w:ind w:left="-360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2160"/>
        </w:tabs>
        <w:ind w:left="-2160" w:hanging="360"/>
      </w:pPr>
    </w:lvl>
    <w:lvl w:ilvl="8">
      <w:start w:val="1"/>
      <w:numFmt w:val="decimal"/>
      <w:lvlText w:val="%9."/>
      <w:lvlJc w:val="left"/>
      <w:pPr>
        <w:tabs>
          <w:tab w:val="num" w:pos="-1440"/>
        </w:tabs>
        <w:ind w:left="-1440" w:hanging="360"/>
      </w:pPr>
    </w:lvl>
  </w:abstractNum>
  <w:abstractNum w:abstractNumId="6" w15:restartNumberingAfterBreak="0">
    <w:nsid w:val="10571BAF"/>
    <w:multiLevelType w:val="hybridMultilevel"/>
    <w:tmpl w:val="7DE2EB3A"/>
    <w:lvl w:ilvl="0" w:tplc="AF26D5C0">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2713F27"/>
    <w:multiLevelType w:val="hybridMultilevel"/>
    <w:tmpl w:val="5094C6D2"/>
    <w:lvl w:ilvl="0" w:tplc="04050003">
      <w:start w:val="1"/>
      <w:numFmt w:val="bullet"/>
      <w:lvlText w:val="o"/>
      <w:lvlJc w:val="left"/>
      <w:pPr>
        <w:ind w:left="1800" w:hanging="360"/>
      </w:pPr>
      <w:rPr>
        <w:rFonts w:ascii="Courier New" w:hAnsi="Courier New" w:cs="Courier New"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8" w15:restartNumberingAfterBreak="0">
    <w:nsid w:val="14A241A1"/>
    <w:multiLevelType w:val="multilevel"/>
    <w:tmpl w:val="8B9A1CAE"/>
    <w:lvl w:ilvl="0">
      <w:start w:val="1"/>
      <w:numFmt w:val="bullet"/>
      <w:pStyle w:val="Odstavecseseznamem"/>
      <w:lvlText w:val="o"/>
      <w:lvlJc w:val="left"/>
      <w:pPr>
        <w:ind w:left="720" w:hanging="360"/>
      </w:pPr>
      <w:rPr>
        <w:rFonts w:ascii="Courier New" w:hAnsi="Courier New" w:cs="Courier New"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 w15:restartNumberingAfterBreak="0">
    <w:nsid w:val="19D12594"/>
    <w:multiLevelType w:val="hybridMultilevel"/>
    <w:tmpl w:val="B34AC3F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15:restartNumberingAfterBreak="0">
    <w:nsid w:val="2C2E192B"/>
    <w:multiLevelType w:val="multilevel"/>
    <w:tmpl w:val="8398C43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F0C23B9"/>
    <w:multiLevelType w:val="hybridMultilevel"/>
    <w:tmpl w:val="6A641BF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2" w15:restartNumberingAfterBreak="0">
    <w:nsid w:val="3461307A"/>
    <w:multiLevelType w:val="hybridMultilevel"/>
    <w:tmpl w:val="B4C80D9C"/>
    <w:lvl w:ilvl="0" w:tplc="C914AE8A">
      <w:numFmt w:val="bullet"/>
      <w:lvlText w:val="•"/>
      <w:lvlJc w:val="left"/>
      <w:pPr>
        <w:ind w:left="720" w:hanging="360"/>
      </w:pPr>
      <w:rPr>
        <w:rFonts w:ascii="Calibri" w:eastAsia="Times New Roman" w:hAnsi="Calibri" w:cs="Times New Roman" w:hint="default"/>
      </w:rPr>
    </w:lvl>
    <w:lvl w:ilvl="1" w:tplc="0405000F">
      <w:start w:val="1"/>
      <w:numFmt w:val="decimal"/>
      <w:lvlText w:val="%2."/>
      <w:lvlJc w:val="left"/>
      <w:pPr>
        <w:ind w:left="1440" w:hanging="360"/>
      </w:pPr>
      <w:rPr>
        <w:rFonts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56469A1"/>
    <w:multiLevelType w:val="multilevel"/>
    <w:tmpl w:val="86B66A76"/>
    <w:lvl w:ilvl="0">
      <w:start w:val="1"/>
      <w:numFmt w:val="decimal"/>
      <w:lvlText w:val="%1)"/>
      <w:lvlJc w:val="left"/>
      <w:pPr>
        <w:ind w:left="644" w:hanging="360"/>
      </w:pPr>
    </w:lvl>
    <w:lvl w:ilvl="1">
      <w:start w:val="1"/>
      <w:numFmt w:val="lowerLetter"/>
      <w:lvlText w:val="%2)"/>
      <w:lvlJc w:val="left"/>
      <w:pPr>
        <w:ind w:left="1004" w:hanging="360"/>
      </w:pPr>
    </w:lvl>
    <w:lvl w:ilvl="2">
      <w:start w:val="1"/>
      <w:numFmt w:val="lowerRoman"/>
      <w:lvlText w:val="%3)"/>
      <w:lvlJc w:val="left"/>
      <w:pPr>
        <w:ind w:left="1364" w:hanging="360"/>
      </w:pPr>
    </w:lvl>
    <w:lvl w:ilvl="3">
      <w:start w:val="1"/>
      <w:numFmt w:val="decimal"/>
      <w:lvlText w:val="(%4)"/>
      <w:lvlJc w:val="left"/>
      <w:pPr>
        <w:ind w:left="1724" w:hanging="360"/>
      </w:pPr>
    </w:lvl>
    <w:lvl w:ilvl="4">
      <w:start w:val="1"/>
      <w:numFmt w:val="lowerLetter"/>
      <w:lvlText w:val="(%5)"/>
      <w:lvlJc w:val="left"/>
      <w:pPr>
        <w:ind w:left="2084" w:hanging="360"/>
      </w:p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14" w15:restartNumberingAfterBreak="0">
    <w:nsid w:val="43D34936"/>
    <w:multiLevelType w:val="hybridMultilevel"/>
    <w:tmpl w:val="1B82905C"/>
    <w:lvl w:ilvl="0" w:tplc="295C0084">
      <w:start w:val="1"/>
      <w:numFmt w:val="decimal"/>
      <w:pStyle w:val="CZodstavec"/>
      <w:lvlText w:val="%1."/>
      <w:lvlJc w:val="left"/>
      <w:pPr>
        <w:tabs>
          <w:tab w:val="num" w:pos="360"/>
        </w:tabs>
        <w:ind w:left="360" w:hanging="360"/>
      </w:pPr>
      <w:rPr>
        <w:rFonts w:ascii="Times New Roman" w:eastAsia="Calibri" w:hAnsi="Times New Roman" w:cs="Times New Roman" w:hint="default"/>
        <w:b w:val="0"/>
      </w:rPr>
    </w:lvl>
    <w:lvl w:ilvl="1" w:tplc="A85085DE">
      <w:start w:val="1"/>
      <w:numFmt w:val="lowerLetter"/>
      <w:lvlText w:val="%2)"/>
      <w:lvlJc w:val="left"/>
      <w:pPr>
        <w:tabs>
          <w:tab w:val="num" w:pos="927"/>
        </w:tabs>
        <w:ind w:left="927" w:hanging="360"/>
      </w:pPr>
      <w:rPr>
        <w:rFonts w:hint="default"/>
      </w:rPr>
    </w:lvl>
    <w:lvl w:ilvl="2" w:tplc="0A500DCC">
      <w:start w:val="1"/>
      <w:numFmt w:val="lowerRoman"/>
      <w:lvlText w:val="%3."/>
      <w:lvlJc w:val="right"/>
      <w:pPr>
        <w:tabs>
          <w:tab w:val="num" w:pos="1876"/>
        </w:tabs>
        <w:ind w:left="1876" w:hanging="180"/>
      </w:pPr>
    </w:lvl>
    <w:lvl w:ilvl="3" w:tplc="B666E436" w:tentative="1">
      <w:start w:val="1"/>
      <w:numFmt w:val="decimal"/>
      <w:lvlText w:val="%4."/>
      <w:lvlJc w:val="left"/>
      <w:pPr>
        <w:tabs>
          <w:tab w:val="num" w:pos="2596"/>
        </w:tabs>
        <w:ind w:left="2596" w:hanging="360"/>
      </w:pPr>
    </w:lvl>
    <w:lvl w:ilvl="4" w:tplc="8676FFD6" w:tentative="1">
      <w:start w:val="1"/>
      <w:numFmt w:val="lowerLetter"/>
      <w:lvlText w:val="%5."/>
      <w:lvlJc w:val="left"/>
      <w:pPr>
        <w:tabs>
          <w:tab w:val="num" w:pos="3316"/>
        </w:tabs>
        <w:ind w:left="3316" w:hanging="360"/>
      </w:pPr>
    </w:lvl>
    <w:lvl w:ilvl="5" w:tplc="3DAE9906" w:tentative="1">
      <w:start w:val="1"/>
      <w:numFmt w:val="lowerRoman"/>
      <w:lvlText w:val="%6."/>
      <w:lvlJc w:val="right"/>
      <w:pPr>
        <w:tabs>
          <w:tab w:val="num" w:pos="4036"/>
        </w:tabs>
        <w:ind w:left="4036" w:hanging="180"/>
      </w:pPr>
    </w:lvl>
    <w:lvl w:ilvl="6" w:tplc="08AE4B64" w:tentative="1">
      <w:start w:val="1"/>
      <w:numFmt w:val="decimal"/>
      <w:lvlText w:val="%7."/>
      <w:lvlJc w:val="left"/>
      <w:pPr>
        <w:tabs>
          <w:tab w:val="num" w:pos="4756"/>
        </w:tabs>
        <w:ind w:left="4756" w:hanging="360"/>
      </w:pPr>
    </w:lvl>
    <w:lvl w:ilvl="7" w:tplc="B9A800E6" w:tentative="1">
      <w:start w:val="1"/>
      <w:numFmt w:val="lowerLetter"/>
      <w:lvlText w:val="%8."/>
      <w:lvlJc w:val="left"/>
      <w:pPr>
        <w:tabs>
          <w:tab w:val="num" w:pos="5476"/>
        </w:tabs>
        <w:ind w:left="5476" w:hanging="360"/>
      </w:pPr>
    </w:lvl>
    <w:lvl w:ilvl="8" w:tplc="EB5CB506" w:tentative="1">
      <w:start w:val="1"/>
      <w:numFmt w:val="lowerRoman"/>
      <w:lvlText w:val="%9."/>
      <w:lvlJc w:val="right"/>
      <w:pPr>
        <w:tabs>
          <w:tab w:val="num" w:pos="6196"/>
        </w:tabs>
        <w:ind w:left="6196" w:hanging="180"/>
      </w:pPr>
    </w:lvl>
  </w:abstractNum>
  <w:abstractNum w:abstractNumId="15" w15:restartNumberingAfterBreak="0">
    <w:nsid w:val="4CDD0493"/>
    <w:multiLevelType w:val="hybridMultilevel"/>
    <w:tmpl w:val="B56222EA"/>
    <w:lvl w:ilvl="0" w:tplc="F33E210C">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2542319"/>
    <w:multiLevelType w:val="hybridMultilevel"/>
    <w:tmpl w:val="48A43A08"/>
    <w:lvl w:ilvl="0" w:tplc="040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5124E91"/>
    <w:multiLevelType w:val="multilevel"/>
    <w:tmpl w:val="7286FBF6"/>
    <w:lvl w:ilvl="0">
      <w:start w:val="1"/>
      <w:numFmt w:val="decimal"/>
      <w:lvlText w:val="%1."/>
      <w:lvlJc w:val="left"/>
      <w:pPr>
        <w:ind w:left="360" w:hanging="360"/>
      </w:pPr>
    </w:lvl>
    <w:lvl w:ilvl="1">
      <w:start w:val="1"/>
      <w:numFmt w:val="decimal"/>
      <w:pStyle w:val="Obsah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6A87E25"/>
    <w:multiLevelType w:val="hybridMultilevel"/>
    <w:tmpl w:val="65FE6174"/>
    <w:lvl w:ilvl="0" w:tplc="76B69FB8">
      <w:start w:val="1"/>
      <w:numFmt w:val="decimal"/>
      <w:lvlText w:val="%1."/>
      <w:lvlJc w:val="left"/>
      <w:pPr>
        <w:tabs>
          <w:tab w:val="num" w:pos="360"/>
        </w:tabs>
        <w:ind w:left="360" w:hanging="360"/>
      </w:pPr>
      <w:rPr>
        <w:rFonts w:ascii="Times New Roman" w:eastAsia="Calibri" w:hAnsi="Times New Roman" w:cs="Times New Roman"/>
        <w:b w:val="0"/>
      </w:rPr>
    </w:lvl>
    <w:lvl w:ilvl="1" w:tplc="51B60552">
      <w:start w:val="1"/>
      <w:numFmt w:val="decimal"/>
      <w:lvlText w:val="%2."/>
      <w:lvlJc w:val="left"/>
      <w:pPr>
        <w:tabs>
          <w:tab w:val="num" w:pos="927"/>
        </w:tabs>
        <w:ind w:left="927" w:hanging="360"/>
      </w:pPr>
      <w:rPr>
        <w:rFonts w:hint="default"/>
        <w:b w:val="0"/>
        <w:i w:val="0"/>
      </w:rPr>
    </w:lvl>
    <w:lvl w:ilvl="2" w:tplc="0A500DCC">
      <w:start w:val="1"/>
      <w:numFmt w:val="lowerRoman"/>
      <w:lvlText w:val="%3."/>
      <w:lvlJc w:val="right"/>
      <w:pPr>
        <w:tabs>
          <w:tab w:val="num" w:pos="1876"/>
        </w:tabs>
        <w:ind w:left="1876" w:hanging="180"/>
      </w:pPr>
    </w:lvl>
    <w:lvl w:ilvl="3" w:tplc="B666E436" w:tentative="1">
      <w:start w:val="1"/>
      <w:numFmt w:val="decimal"/>
      <w:lvlText w:val="%4."/>
      <w:lvlJc w:val="left"/>
      <w:pPr>
        <w:tabs>
          <w:tab w:val="num" w:pos="2596"/>
        </w:tabs>
        <w:ind w:left="2596" w:hanging="360"/>
      </w:pPr>
    </w:lvl>
    <w:lvl w:ilvl="4" w:tplc="8676FFD6" w:tentative="1">
      <w:start w:val="1"/>
      <w:numFmt w:val="lowerLetter"/>
      <w:lvlText w:val="%5."/>
      <w:lvlJc w:val="left"/>
      <w:pPr>
        <w:tabs>
          <w:tab w:val="num" w:pos="3316"/>
        </w:tabs>
        <w:ind w:left="3316" w:hanging="360"/>
      </w:pPr>
    </w:lvl>
    <w:lvl w:ilvl="5" w:tplc="3DAE9906" w:tentative="1">
      <w:start w:val="1"/>
      <w:numFmt w:val="lowerRoman"/>
      <w:lvlText w:val="%6."/>
      <w:lvlJc w:val="right"/>
      <w:pPr>
        <w:tabs>
          <w:tab w:val="num" w:pos="4036"/>
        </w:tabs>
        <w:ind w:left="4036" w:hanging="180"/>
      </w:pPr>
    </w:lvl>
    <w:lvl w:ilvl="6" w:tplc="08AE4B64" w:tentative="1">
      <w:start w:val="1"/>
      <w:numFmt w:val="decimal"/>
      <w:lvlText w:val="%7."/>
      <w:lvlJc w:val="left"/>
      <w:pPr>
        <w:tabs>
          <w:tab w:val="num" w:pos="4756"/>
        </w:tabs>
        <w:ind w:left="4756" w:hanging="360"/>
      </w:pPr>
    </w:lvl>
    <w:lvl w:ilvl="7" w:tplc="B9A800E6" w:tentative="1">
      <w:start w:val="1"/>
      <w:numFmt w:val="lowerLetter"/>
      <w:lvlText w:val="%8."/>
      <w:lvlJc w:val="left"/>
      <w:pPr>
        <w:tabs>
          <w:tab w:val="num" w:pos="5476"/>
        </w:tabs>
        <w:ind w:left="5476" w:hanging="360"/>
      </w:pPr>
    </w:lvl>
    <w:lvl w:ilvl="8" w:tplc="EB5CB506" w:tentative="1">
      <w:start w:val="1"/>
      <w:numFmt w:val="lowerRoman"/>
      <w:lvlText w:val="%9."/>
      <w:lvlJc w:val="right"/>
      <w:pPr>
        <w:tabs>
          <w:tab w:val="num" w:pos="6196"/>
        </w:tabs>
        <w:ind w:left="6196" w:hanging="180"/>
      </w:pPr>
    </w:lvl>
  </w:abstractNum>
  <w:abstractNum w:abstractNumId="19" w15:restartNumberingAfterBreak="0">
    <w:nsid w:val="676D7E3D"/>
    <w:multiLevelType w:val="multilevel"/>
    <w:tmpl w:val="C98C776A"/>
    <w:lvl w:ilvl="0">
      <w:start w:val="1"/>
      <w:numFmt w:val="bullet"/>
      <w:lvlText w:val="o"/>
      <w:lvlJc w:val="left"/>
      <w:pPr>
        <w:ind w:left="720" w:hanging="360"/>
      </w:pPr>
      <w:rPr>
        <w:rFonts w:ascii="Courier New" w:hAnsi="Courier New" w:cs="Courier New"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0" w15:restartNumberingAfterBreak="0">
    <w:nsid w:val="6F847282"/>
    <w:multiLevelType w:val="multilevel"/>
    <w:tmpl w:val="0F2C7EFC"/>
    <w:lvl w:ilvl="0">
      <w:start w:val="2"/>
      <w:numFmt w:val="decimal"/>
      <w:lvlText w:val="%1)"/>
      <w:lvlJc w:val="left"/>
      <w:pPr>
        <w:ind w:left="720" w:hanging="360"/>
      </w:pPr>
    </w:lvl>
    <w:lvl w:ilvl="1">
      <w:start w:val="2"/>
      <w:numFmt w:val="decimal"/>
      <w:lvlText w:val="%2)"/>
      <w:lvlJc w:val="left"/>
      <w:pPr>
        <w:ind w:left="1440" w:hanging="360"/>
      </w:pPr>
    </w:lvl>
    <w:lvl w:ilvl="2">
      <w:start w:val="2"/>
      <w:numFmt w:val="decimal"/>
      <w:lvlText w:val="%3)"/>
      <w:lvlJc w:val="left"/>
      <w:pPr>
        <w:ind w:left="2160" w:hanging="360"/>
      </w:pPr>
    </w:lvl>
    <w:lvl w:ilvl="3">
      <w:start w:val="2"/>
      <w:numFmt w:val="decimal"/>
      <w:lvlText w:val="%4)"/>
      <w:lvlJc w:val="left"/>
      <w:pPr>
        <w:ind w:left="2880" w:hanging="360"/>
      </w:pPr>
    </w:lvl>
    <w:lvl w:ilvl="4">
      <w:start w:val="2"/>
      <w:numFmt w:val="decimal"/>
      <w:lvlText w:val="%5)"/>
      <w:lvlJc w:val="left"/>
      <w:pPr>
        <w:ind w:left="3600" w:hanging="360"/>
      </w:pPr>
    </w:lvl>
    <w:lvl w:ilvl="5">
      <w:start w:val="2"/>
      <w:numFmt w:val="decimal"/>
      <w:lvlText w:val="%6)"/>
      <w:lvlJc w:val="left"/>
      <w:pPr>
        <w:ind w:left="4320" w:hanging="360"/>
      </w:pPr>
    </w:lvl>
    <w:lvl w:ilvl="6">
      <w:start w:val="2"/>
      <w:numFmt w:val="decimal"/>
      <w:lvlText w:val="%7)"/>
      <w:lvlJc w:val="left"/>
      <w:pPr>
        <w:ind w:left="5040" w:hanging="360"/>
      </w:pPr>
    </w:lvl>
    <w:lvl w:ilvl="7">
      <w:start w:val="2"/>
      <w:numFmt w:val="decimal"/>
      <w:lvlText w:val="%8)"/>
      <w:lvlJc w:val="left"/>
      <w:pPr>
        <w:ind w:left="5760" w:hanging="360"/>
      </w:pPr>
    </w:lvl>
    <w:lvl w:ilvl="8">
      <w:start w:val="2"/>
      <w:numFmt w:val="decimal"/>
      <w:lvlText w:val="%9)"/>
      <w:lvlJc w:val="left"/>
      <w:pPr>
        <w:ind w:left="6480" w:hanging="360"/>
      </w:pPr>
    </w:lvl>
  </w:abstractNum>
  <w:num w:numId="1">
    <w:abstractNumId w:val="0"/>
  </w:num>
  <w:num w:numId="2">
    <w:abstractNumId w:val="2"/>
    <w:lvlOverride w:ilvl="0">
      <w:startOverride w:val="1"/>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3">
    <w:abstractNumId w:val="1"/>
  </w:num>
  <w:num w:numId="4">
    <w:abstractNumId w:val="1"/>
  </w:num>
  <w:num w:numId="5">
    <w:abstractNumId w:val="1"/>
  </w:num>
  <w:num w:numId="6">
    <w:abstractNumId w:val="9"/>
  </w:num>
  <w:num w:numId="7">
    <w:abstractNumId w:val="12"/>
  </w:num>
  <w:num w:numId="8">
    <w:abstractNumId w:val="5"/>
  </w:num>
  <w:num w:numId="9">
    <w:abstractNumId w:val="20"/>
  </w:num>
  <w:num w:numId="10">
    <w:abstractNumId w:val="11"/>
  </w:num>
  <w:num w:numId="11">
    <w:abstractNumId w:val="7"/>
  </w:num>
  <w:num w:numId="12">
    <w:abstractNumId w:val="17"/>
  </w:num>
  <w:num w:numId="13">
    <w:abstractNumId w:val="13"/>
  </w:num>
  <w:num w:numId="14">
    <w:abstractNumId w:val="13"/>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10"/>
  </w:num>
  <w:num w:numId="18">
    <w:abstractNumId w:val="4"/>
  </w:num>
  <w:num w:numId="19">
    <w:abstractNumId w:val="14"/>
  </w:num>
  <w:num w:numId="20">
    <w:abstractNumId w:val="14"/>
    <w:lvlOverride w:ilvl="0">
      <w:startOverride w:val="1"/>
    </w:lvlOverride>
  </w:num>
  <w:num w:numId="21">
    <w:abstractNumId w:val="18"/>
  </w:num>
  <w:num w:numId="22">
    <w:abstractNumId w:val="14"/>
    <w:lvlOverride w:ilvl="0">
      <w:startOverride w:val="3"/>
    </w:lvlOverride>
  </w:num>
  <w:num w:numId="23">
    <w:abstractNumId w:val="16"/>
  </w:num>
  <w:num w:numId="24">
    <w:abstractNumId w:val="19"/>
  </w:num>
  <w:num w:numId="25">
    <w:abstractNumId w:val="3"/>
  </w:num>
  <w:num w:numId="26">
    <w:abstractNumId w:val="15"/>
  </w:num>
  <w:num w:numId="27">
    <w:abstractNumId w:val="15"/>
  </w:num>
  <w:num w:numId="28">
    <w:abstractNumId w:val="6"/>
  </w:num>
  <w:num w:numId="29">
    <w:abstractNumId w:val="6"/>
    <w:lvlOverride w:ilvl="0">
      <w:startOverride w:val="1"/>
    </w:lvlOverride>
  </w:num>
  <w:num w:numId="30">
    <w:abstractNumId w:val="6"/>
    <w:lvlOverride w:ilvl="0">
      <w:startOverride w:val="1"/>
    </w:lvlOverride>
  </w:num>
  <w:num w:numId="31">
    <w:abstractNumId w:val="6"/>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687"/>
    <w:rsid w:val="0006237A"/>
    <w:rsid w:val="0009272C"/>
    <w:rsid w:val="00186A0E"/>
    <w:rsid w:val="001979FF"/>
    <w:rsid w:val="00243BBC"/>
    <w:rsid w:val="00272CF0"/>
    <w:rsid w:val="002A43B0"/>
    <w:rsid w:val="003F6171"/>
    <w:rsid w:val="004029DC"/>
    <w:rsid w:val="004D2F36"/>
    <w:rsid w:val="0059194B"/>
    <w:rsid w:val="006E1FC8"/>
    <w:rsid w:val="00740B7E"/>
    <w:rsid w:val="007C109D"/>
    <w:rsid w:val="008805D7"/>
    <w:rsid w:val="008D0BC9"/>
    <w:rsid w:val="00903894"/>
    <w:rsid w:val="00925C54"/>
    <w:rsid w:val="00A30BC1"/>
    <w:rsid w:val="00A56FF6"/>
    <w:rsid w:val="00B24177"/>
    <w:rsid w:val="00B55D56"/>
    <w:rsid w:val="00B83828"/>
    <w:rsid w:val="00BE7AC8"/>
    <w:rsid w:val="00C76534"/>
    <w:rsid w:val="00D21687"/>
    <w:rsid w:val="00D801A0"/>
    <w:rsid w:val="00D9065F"/>
    <w:rsid w:val="00DB7D80"/>
    <w:rsid w:val="00E34CD9"/>
    <w:rsid w:val="00E53C0F"/>
    <w:rsid w:val="00E61E3B"/>
    <w:rsid w:val="00E64AD2"/>
    <w:rsid w:val="00E77ADC"/>
    <w:rsid w:val="00EC10E1"/>
    <w:rsid w:val="00F07776"/>
    <w:rsid w:val="00F86F85"/>
    <w:rsid w:val="00F90B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86D52AA"/>
  <w15:docId w15:val="{98078A23-DE6F-47D9-9E51-7029318AD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5">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style>
  <w:style w:type="paragraph" w:styleId="Nadpis1">
    <w:name w:val="heading 1"/>
    <w:basedOn w:val="Normln"/>
    <w:next w:val="Zkladntext"/>
    <w:link w:val="Nadpis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Zkladntext"/>
    <w:link w:val="Nadpis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Zkladntext"/>
    <w:link w:val="Nadpis3Char"/>
    <w:uiPriority w:val="9"/>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Zkladntext"/>
    <w:link w:val="Nadpis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Zkladntext"/>
    <w:link w:val="Nadpis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Zkladntext"/>
    <w:link w:val="Nadpis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Zkladntext"/>
    <w:link w:val="Nadpis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Zkladntext"/>
    <w:link w:val="Nadpis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Zkladntext"/>
    <w:link w:val="Nadpis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qFormat/>
    <w:pPr>
      <w:spacing w:before="180" w:after="180"/>
    </w:pPr>
  </w:style>
  <w:style w:type="paragraph" w:customStyle="1" w:styleId="FirstParagraph">
    <w:name w:val="First Paragraph"/>
    <w:basedOn w:val="Zkladntext"/>
    <w:next w:val="Zkladntext"/>
    <w:qFormat/>
  </w:style>
  <w:style w:type="paragraph" w:customStyle="1" w:styleId="Compact">
    <w:name w:val="Compact"/>
    <w:basedOn w:val="Zkladntext"/>
    <w:qFormat/>
    <w:pPr>
      <w:spacing w:before="36" w:after="36"/>
    </w:pPr>
  </w:style>
  <w:style w:type="paragraph" w:styleId="Nzev">
    <w:name w:val="Title"/>
    <w:basedOn w:val="Normln"/>
    <w:next w:val="Zkladntext"/>
    <w:link w:val="Nzev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A10FD9"/>
    <w:rPr>
      <w:rFonts w:asciiTheme="majorHAnsi" w:eastAsiaTheme="majorEastAsia" w:hAnsiTheme="majorHAnsi" w:cstheme="majorBidi"/>
      <w:spacing w:val="-10"/>
      <w:kern w:val="28"/>
      <w:sz w:val="56"/>
      <w:szCs w:val="56"/>
    </w:rPr>
  </w:style>
  <w:style w:type="paragraph" w:styleId="Podnadpis">
    <w:name w:val="Subtitle"/>
    <w:basedOn w:val="Nzev"/>
    <w:next w:val="Zkladntext"/>
    <w:link w:val="PodnadpisChar"/>
    <w:uiPriority w:val="11"/>
    <w:qFormat/>
    <w:rsid w:val="00A10FD9"/>
    <w:pPr>
      <w:numPr>
        <w:ilvl w:val="1"/>
      </w:numPr>
    </w:pPr>
    <w:rPr>
      <w:spacing w:val="15"/>
      <w:sz w:val="28"/>
      <w:szCs w:val="28"/>
    </w:rPr>
  </w:style>
  <w:style w:type="character" w:customStyle="1" w:styleId="PodnadpisChar">
    <w:name w:val="Podnadpis Char"/>
    <w:basedOn w:val="Standardnpsmoodstavce"/>
    <w:link w:val="Podnadpis"/>
    <w:uiPriority w:val="11"/>
    <w:rsid w:val="00A10FD9"/>
    <w:rPr>
      <w:rFonts w:eastAsiaTheme="majorEastAsia" w:cstheme="majorBidi"/>
      <w:color w:val="595959" w:themeColor="text1" w:themeTint="A6"/>
      <w:spacing w:val="15"/>
      <w:sz w:val="28"/>
      <w:szCs w:val="28"/>
    </w:rPr>
  </w:style>
  <w:style w:type="paragraph" w:customStyle="1" w:styleId="Author">
    <w:name w:val="Author"/>
    <w:next w:val="Zkladntext"/>
    <w:qFormat/>
    <w:pPr>
      <w:keepNext/>
      <w:keepLines/>
      <w:jc w:val="center"/>
    </w:pPr>
  </w:style>
  <w:style w:type="paragraph" w:styleId="Datum">
    <w:name w:val="Date"/>
    <w:next w:val="Zkladntext"/>
    <w:qFormat/>
    <w:pPr>
      <w:keepNext/>
      <w:keepLines/>
      <w:jc w:val="center"/>
    </w:pPr>
  </w:style>
  <w:style w:type="paragraph" w:customStyle="1" w:styleId="AbstractTitle">
    <w:name w:val="Abstract Title"/>
    <w:basedOn w:val="Normln"/>
    <w:next w:val="Abstract"/>
    <w:qFormat/>
    <w:pPr>
      <w:keepNext/>
      <w:keepLines/>
      <w:spacing w:before="300" w:after="0"/>
      <w:jc w:val="center"/>
    </w:pPr>
    <w:rPr>
      <w:b/>
      <w:sz w:val="20"/>
      <w:szCs w:val="20"/>
    </w:rPr>
  </w:style>
  <w:style w:type="paragraph" w:customStyle="1" w:styleId="Abstract">
    <w:name w:val="Abstract"/>
    <w:basedOn w:val="Normln"/>
    <w:next w:val="Zkladntext"/>
    <w:qFormat/>
    <w:pPr>
      <w:keepNext/>
      <w:keepLines/>
      <w:spacing w:before="100" w:after="300"/>
    </w:pPr>
    <w:rPr>
      <w:sz w:val="20"/>
      <w:szCs w:val="20"/>
    </w:rPr>
  </w:style>
  <w:style w:type="paragraph" w:styleId="Bibliografie">
    <w:name w:val="Bibliography"/>
    <w:basedOn w:val="Normln"/>
    <w:qFormat/>
  </w:style>
  <w:style w:type="character" w:customStyle="1" w:styleId="Nadpis1Char">
    <w:name w:val="Nadpis 1 Char"/>
    <w:basedOn w:val="Standardnpsmoodstavce"/>
    <w:link w:val="Nadpis1"/>
    <w:uiPriority w:val="9"/>
    <w:rsid w:val="00A10FD9"/>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rsid w:val="00A10FD9"/>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A10FD9"/>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A10FD9"/>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A10FD9"/>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A10FD9"/>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A10FD9"/>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A10FD9"/>
    <w:rPr>
      <w:rFonts w:eastAsiaTheme="majorEastAsia" w:cstheme="majorBidi"/>
      <w:color w:val="272727" w:themeColor="text1" w:themeTint="D8"/>
    </w:rPr>
  </w:style>
  <w:style w:type="paragraph" w:styleId="Textvbloku">
    <w:name w:val="Block Text"/>
    <w:basedOn w:val="Zkladntext"/>
    <w:next w:val="Zkladntext"/>
    <w:uiPriority w:val="9"/>
    <w:unhideWhenUsed/>
    <w:qFormat/>
    <w:pPr>
      <w:spacing w:before="100" w:after="100"/>
      <w:ind w:left="480" w:right="480"/>
    </w:pPr>
  </w:style>
  <w:style w:type="paragraph" w:styleId="Textpoznpodarou">
    <w:name w:val="footnote text"/>
    <w:basedOn w:val="Normln"/>
    <w:uiPriority w:val="9"/>
    <w:unhideWhenUsed/>
    <w:qFormat/>
  </w:style>
  <w:style w:type="paragraph" w:customStyle="1" w:styleId="FootnoteBlockText">
    <w:name w:val="Footnote Block Text"/>
    <w:basedOn w:val="Textpoznpodarou"/>
    <w:next w:val="Textpoznpodarou"/>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ln"/>
    <w:next w:val="Definition"/>
    <w:pPr>
      <w:keepNext/>
      <w:keepLines/>
      <w:spacing w:after="0"/>
    </w:pPr>
    <w:rPr>
      <w:b/>
    </w:rPr>
  </w:style>
  <w:style w:type="paragraph" w:customStyle="1" w:styleId="Definition">
    <w:name w:val="Definition"/>
    <w:basedOn w:val="Normln"/>
  </w:style>
  <w:style w:type="paragraph" w:styleId="Titulek">
    <w:name w:val="caption"/>
    <w:basedOn w:val="Normln"/>
    <w:link w:val="TitulekChar"/>
    <w:pPr>
      <w:spacing w:after="120"/>
    </w:pPr>
    <w:rPr>
      <w:i/>
    </w:rPr>
  </w:style>
  <w:style w:type="paragraph" w:customStyle="1" w:styleId="TableCaption">
    <w:name w:val="Table Caption"/>
    <w:basedOn w:val="Titulek"/>
    <w:pPr>
      <w:keepNext/>
    </w:pPr>
  </w:style>
  <w:style w:type="paragraph" w:customStyle="1" w:styleId="ImageCaption">
    <w:name w:val="Image Caption"/>
    <w:basedOn w:val="Titulek"/>
  </w:style>
  <w:style w:type="paragraph" w:customStyle="1" w:styleId="Figure">
    <w:name w:val="Figure"/>
    <w:basedOn w:val="Normln"/>
  </w:style>
  <w:style w:type="paragraph" w:customStyle="1" w:styleId="CaptionedFigure">
    <w:name w:val="Captioned Figure"/>
    <w:basedOn w:val="Figure"/>
    <w:pPr>
      <w:keepNext/>
    </w:pPr>
  </w:style>
  <w:style w:type="character" w:customStyle="1" w:styleId="TitulekChar">
    <w:name w:val="Titulek Char"/>
    <w:basedOn w:val="Standardnpsmoodstavce"/>
    <w:link w:val="Titulek"/>
  </w:style>
  <w:style w:type="character" w:customStyle="1" w:styleId="VerbatimChar">
    <w:name w:val="Verbatim Char"/>
    <w:basedOn w:val="TitulekChar"/>
    <w:link w:val="SourceCode"/>
    <w:rPr>
      <w:rFonts w:ascii="Consolas" w:hAnsi="Consolas"/>
      <w:sz w:val="22"/>
    </w:rPr>
  </w:style>
  <w:style w:type="character" w:customStyle="1" w:styleId="SectionNumber">
    <w:name w:val="Section Number"/>
    <w:basedOn w:val="TitulekChar"/>
  </w:style>
  <w:style w:type="character" w:styleId="Znakapoznpodarou">
    <w:name w:val="footnote reference"/>
    <w:basedOn w:val="TitulekChar"/>
    <w:rPr>
      <w:vertAlign w:val="superscript"/>
    </w:rPr>
  </w:style>
  <w:style w:type="character" w:styleId="Hypertextovodkaz">
    <w:name w:val="Hyperlink"/>
    <w:basedOn w:val="TitulekChar"/>
    <w:rPr>
      <w:color w:val="156082" w:themeColor="accent1"/>
    </w:rPr>
  </w:style>
  <w:style w:type="paragraph" w:styleId="Nadpisobsahu">
    <w:name w:val="TOC Heading"/>
    <w:basedOn w:val="Nadpis1"/>
    <w:next w:val="Zkladntext"/>
    <w:uiPriority w:val="39"/>
    <w:unhideWhenUsed/>
    <w:qFormat/>
    <w:pPr>
      <w:spacing w:before="240" w:line="259" w:lineRule="auto"/>
      <w:outlineLvl w:val="9"/>
    </w:pPr>
  </w:style>
  <w:style w:type="paragraph" w:customStyle="1" w:styleId="SourceCode">
    <w:name w:val="Source Code"/>
    <w:basedOn w:val="Normln"/>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Obsah2">
    <w:name w:val="toc 2"/>
    <w:basedOn w:val="Normln"/>
    <w:next w:val="Normln"/>
    <w:autoRedefine/>
    <w:rsid w:val="00F90BA5"/>
    <w:pPr>
      <w:numPr>
        <w:ilvl w:val="1"/>
        <w:numId w:val="12"/>
      </w:numPr>
      <w:spacing w:after="100"/>
    </w:pPr>
    <w:rPr>
      <w:b/>
      <w:bCs/>
      <w:color w:val="4C94D8" w:themeColor="text2" w:themeTint="80"/>
      <w:lang w:val="cs-CZ"/>
    </w:rPr>
  </w:style>
  <w:style w:type="paragraph" w:styleId="Odstavecseseznamem">
    <w:name w:val="List Paragraph"/>
    <w:basedOn w:val="Normln"/>
    <w:link w:val="OdstavecseseznamemChar"/>
    <w:autoRedefine/>
    <w:uiPriority w:val="34"/>
    <w:qFormat/>
    <w:rsid w:val="00A56FF6"/>
    <w:pPr>
      <w:numPr>
        <w:numId w:val="32"/>
      </w:numPr>
      <w:tabs>
        <w:tab w:val="left" w:pos="284"/>
      </w:tabs>
      <w:spacing w:after="120" w:line="288" w:lineRule="auto"/>
      <w:contextualSpacing/>
      <w:jc w:val="both"/>
    </w:pPr>
    <w:rPr>
      <w:rFonts w:ascii="Calibri" w:eastAsia="Times New Roman" w:hAnsi="Calibri" w:cs="Times New Roman"/>
      <w:bCs/>
      <w:szCs w:val="22"/>
      <w:lang w:val="cs-CZ" w:eastAsia="cs-CZ"/>
    </w:rPr>
  </w:style>
  <w:style w:type="character" w:customStyle="1" w:styleId="OdstavecseseznamemChar">
    <w:name w:val="Odstavec se seznamem Char"/>
    <w:link w:val="Odstavecseseznamem"/>
    <w:uiPriority w:val="34"/>
    <w:rsid w:val="00A56FF6"/>
    <w:rPr>
      <w:rFonts w:ascii="Calibri" w:eastAsia="Times New Roman" w:hAnsi="Calibri" w:cs="Times New Roman"/>
      <w:bCs/>
      <w:szCs w:val="22"/>
      <w:lang w:val="cs-CZ" w:eastAsia="cs-CZ"/>
    </w:rPr>
  </w:style>
  <w:style w:type="paragraph" w:customStyle="1" w:styleId="CZodstavec">
    <w:name w:val="CZ odstavec"/>
    <w:rsid w:val="00186A0E"/>
    <w:pPr>
      <w:numPr>
        <w:numId w:val="19"/>
      </w:numPr>
      <w:spacing w:after="120" w:line="288" w:lineRule="auto"/>
      <w:jc w:val="both"/>
    </w:pPr>
    <w:rPr>
      <w:rFonts w:ascii="Century Gothic" w:eastAsia="Calibri" w:hAnsi="Century Gothic" w:cs="Times New Roman"/>
      <w:sz w:val="20"/>
      <w:lang w:val="cs-CZ" w:eastAsia="cs-CZ"/>
    </w:rPr>
  </w:style>
  <w:style w:type="character" w:styleId="Odkaznakoment">
    <w:name w:val="annotation reference"/>
    <w:basedOn w:val="Standardnpsmoodstavce"/>
    <w:rsid w:val="00F86F85"/>
    <w:rPr>
      <w:sz w:val="16"/>
      <w:szCs w:val="16"/>
    </w:rPr>
  </w:style>
  <w:style w:type="paragraph" w:styleId="Textkomente">
    <w:name w:val="annotation text"/>
    <w:basedOn w:val="Normln"/>
    <w:link w:val="TextkomenteChar"/>
    <w:rsid w:val="00F86F85"/>
    <w:rPr>
      <w:sz w:val="20"/>
      <w:szCs w:val="20"/>
    </w:rPr>
  </w:style>
  <w:style w:type="character" w:customStyle="1" w:styleId="TextkomenteChar">
    <w:name w:val="Text komentáře Char"/>
    <w:basedOn w:val="Standardnpsmoodstavce"/>
    <w:link w:val="Textkomente"/>
    <w:rsid w:val="00F86F85"/>
    <w:rPr>
      <w:sz w:val="20"/>
      <w:szCs w:val="20"/>
    </w:rPr>
  </w:style>
  <w:style w:type="paragraph" w:styleId="Pedmtkomente">
    <w:name w:val="annotation subject"/>
    <w:basedOn w:val="Textkomente"/>
    <w:next w:val="Textkomente"/>
    <w:link w:val="PedmtkomenteChar"/>
    <w:rsid w:val="00F86F85"/>
    <w:rPr>
      <w:b/>
      <w:bCs/>
    </w:rPr>
  </w:style>
  <w:style w:type="character" w:customStyle="1" w:styleId="PedmtkomenteChar">
    <w:name w:val="Předmět komentáře Char"/>
    <w:basedOn w:val="TextkomenteChar"/>
    <w:link w:val="Pedmtkomente"/>
    <w:rsid w:val="00F86F85"/>
    <w:rPr>
      <w:b/>
      <w:bCs/>
      <w:sz w:val="20"/>
      <w:szCs w:val="20"/>
    </w:rPr>
  </w:style>
  <w:style w:type="paragraph" w:styleId="Textbubliny">
    <w:name w:val="Balloon Text"/>
    <w:basedOn w:val="Normln"/>
    <w:link w:val="TextbublinyChar"/>
    <w:rsid w:val="00F86F85"/>
    <w:pPr>
      <w:spacing w:after="0"/>
    </w:pPr>
    <w:rPr>
      <w:rFonts w:ascii="Segoe UI" w:hAnsi="Segoe UI" w:cs="Segoe UI"/>
      <w:sz w:val="18"/>
      <w:szCs w:val="18"/>
    </w:rPr>
  </w:style>
  <w:style w:type="character" w:customStyle="1" w:styleId="TextbublinyChar">
    <w:name w:val="Text bubliny Char"/>
    <w:basedOn w:val="Standardnpsmoodstavce"/>
    <w:link w:val="Textbubliny"/>
    <w:rsid w:val="00F86F85"/>
    <w:rPr>
      <w:rFonts w:ascii="Segoe UI" w:hAnsi="Segoe UI" w:cs="Segoe UI"/>
      <w:sz w:val="18"/>
      <w:szCs w:val="18"/>
    </w:rPr>
  </w:style>
  <w:style w:type="paragraph" w:styleId="Revize">
    <w:name w:val="Revision"/>
    <w:hidden/>
    <w:rsid w:val="003F6171"/>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401B0-9542-4D58-A989-3668C37CC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1329</Words>
  <Characters>7846</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Romana Opletalová</dc:creator>
  <cp:keywords/>
  <cp:lastModifiedBy>Nováčková  Radka</cp:lastModifiedBy>
  <cp:revision>5</cp:revision>
  <dcterms:created xsi:type="dcterms:W3CDTF">2025-10-07T18:42:00Z</dcterms:created>
  <dcterms:modified xsi:type="dcterms:W3CDTF">2025-10-13T11:31:00Z</dcterms:modified>
</cp:coreProperties>
</file>