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86B75D" w14:textId="77777777" w:rsidR="00797E0F" w:rsidRDefault="00677B59">
      <w:pPr>
        <w:pBdr>
          <w:top w:val="nil"/>
          <w:left w:val="nil"/>
          <w:bottom w:val="nil"/>
          <w:right w:val="nil"/>
          <w:between w:val="nil"/>
        </w:pBdr>
        <w:jc w:val="center"/>
        <w:rPr>
          <w:b/>
          <w:color w:val="000000"/>
          <w:sz w:val="28"/>
          <w:szCs w:val="28"/>
        </w:rPr>
      </w:pPr>
      <w:r>
        <w:rPr>
          <w:b/>
          <w:color w:val="000000"/>
          <w:sz w:val="28"/>
          <w:szCs w:val="28"/>
        </w:rPr>
        <w:t>SMLOUVA O DÍLO</w:t>
      </w:r>
    </w:p>
    <w:p w14:paraId="3B352574" w14:textId="77777777" w:rsidR="00797E0F" w:rsidRDefault="00677B59">
      <w:pPr>
        <w:pBdr>
          <w:top w:val="nil"/>
          <w:left w:val="nil"/>
          <w:bottom w:val="nil"/>
          <w:right w:val="nil"/>
          <w:between w:val="nil"/>
        </w:pBdr>
        <w:jc w:val="center"/>
        <w:rPr>
          <w:b/>
          <w:color w:val="000000"/>
          <w:sz w:val="24"/>
          <w:szCs w:val="24"/>
        </w:rPr>
      </w:pPr>
      <w:r>
        <w:rPr>
          <w:b/>
          <w:color w:val="000000"/>
          <w:sz w:val="24"/>
          <w:szCs w:val="24"/>
        </w:rPr>
        <w:t>č. 251263</w:t>
      </w:r>
    </w:p>
    <w:p w14:paraId="00EAB59A" w14:textId="77777777" w:rsidR="00797E0F" w:rsidRDefault="00677B59">
      <w:pPr>
        <w:pBdr>
          <w:top w:val="nil"/>
          <w:left w:val="nil"/>
          <w:bottom w:val="nil"/>
          <w:right w:val="nil"/>
          <w:between w:val="nil"/>
        </w:pBdr>
        <w:jc w:val="center"/>
        <w:rPr>
          <w:color w:val="000000"/>
          <w:sz w:val="24"/>
          <w:szCs w:val="24"/>
        </w:rPr>
      </w:pPr>
      <w:r>
        <w:rPr>
          <w:color w:val="000000"/>
          <w:sz w:val="24"/>
          <w:szCs w:val="24"/>
        </w:rPr>
        <w:t>uzavřená dne, měsíce a roku níže uvedeného na základě ustanovení § 2631 a násl. zákona č. 89/2012 Sb., občanský zákoník, ve znění pozdějších předpisů, mezi těmito smluvními stranami:</w:t>
      </w:r>
    </w:p>
    <w:p w14:paraId="47457BFC" w14:textId="77777777" w:rsidR="00797E0F" w:rsidRDefault="00797E0F">
      <w:pPr>
        <w:pBdr>
          <w:top w:val="nil"/>
          <w:left w:val="nil"/>
          <w:bottom w:val="nil"/>
          <w:right w:val="nil"/>
          <w:between w:val="nil"/>
        </w:pBdr>
        <w:jc w:val="both"/>
        <w:rPr>
          <w:color w:val="000000"/>
          <w:sz w:val="24"/>
          <w:szCs w:val="24"/>
        </w:rPr>
      </w:pPr>
    </w:p>
    <w:p w14:paraId="4FB23E60" w14:textId="77777777" w:rsidR="00797E0F" w:rsidRDefault="00797E0F">
      <w:pPr>
        <w:pBdr>
          <w:top w:val="nil"/>
          <w:left w:val="nil"/>
          <w:bottom w:val="nil"/>
          <w:right w:val="nil"/>
          <w:between w:val="nil"/>
        </w:pBdr>
        <w:jc w:val="both"/>
        <w:rPr>
          <w:color w:val="000000"/>
          <w:sz w:val="24"/>
          <w:szCs w:val="24"/>
        </w:rPr>
      </w:pPr>
    </w:p>
    <w:p w14:paraId="040FC74A" w14:textId="77777777" w:rsidR="00797E0F" w:rsidRDefault="00797E0F">
      <w:pPr>
        <w:pBdr>
          <w:top w:val="nil"/>
          <w:left w:val="nil"/>
          <w:bottom w:val="nil"/>
          <w:right w:val="nil"/>
          <w:between w:val="nil"/>
        </w:pBdr>
        <w:jc w:val="both"/>
        <w:rPr>
          <w:color w:val="000000"/>
          <w:sz w:val="24"/>
          <w:szCs w:val="24"/>
        </w:rPr>
      </w:pPr>
    </w:p>
    <w:p w14:paraId="6C5D1043" w14:textId="77777777" w:rsidR="00797E0F" w:rsidRDefault="00677B59">
      <w:pPr>
        <w:pBdr>
          <w:top w:val="nil"/>
          <w:left w:val="nil"/>
          <w:bottom w:val="nil"/>
          <w:right w:val="nil"/>
          <w:between w:val="nil"/>
        </w:pBdr>
        <w:jc w:val="both"/>
        <w:rPr>
          <w:b/>
          <w:color w:val="000000"/>
          <w:sz w:val="24"/>
          <w:szCs w:val="24"/>
        </w:rPr>
      </w:pPr>
      <w:r>
        <w:rPr>
          <w:b/>
          <w:color w:val="000000"/>
          <w:sz w:val="24"/>
          <w:szCs w:val="24"/>
        </w:rPr>
        <w:t>Národní muzeum</w:t>
      </w:r>
    </w:p>
    <w:p w14:paraId="4945C4E3" w14:textId="77777777" w:rsidR="00797E0F" w:rsidRDefault="00677B59">
      <w:pPr>
        <w:pBdr>
          <w:top w:val="nil"/>
          <w:left w:val="nil"/>
          <w:bottom w:val="nil"/>
          <w:right w:val="nil"/>
          <w:between w:val="nil"/>
        </w:pBdr>
        <w:jc w:val="both"/>
        <w:rPr>
          <w:color w:val="000000"/>
          <w:sz w:val="24"/>
          <w:szCs w:val="24"/>
        </w:rPr>
      </w:pPr>
      <w:r>
        <w:rPr>
          <w:color w:val="000000"/>
          <w:sz w:val="24"/>
          <w:szCs w:val="24"/>
        </w:rPr>
        <w:t>příspěvková organizace nepodléhající zápisu do obchodního rejstříku, zřízená Ministerstvem kultury ČR, zřizovací listina č. j. 17461/2000 ve znění pozdějších změn a doplňků</w:t>
      </w:r>
    </w:p>
    <w:p w14:paraId="149F1DB2" w14:textId="77777777" w:rsidR="00797E0F" w:rsidRDefault="00677B59">
      <w:pPr>
        <w:pBdr>
          <w:top w:val="nil"/>
          <w:left w:val="nil"/>
          <w:bottom w:val="nil"/>
          <w:right w:val="nil"/>
          <w:between w:val="nil"/>
        </w:pBdr>
        <w:jc w:val="both"/>
        <w:rPr>
          <w:color w:val="000000"/>
          <w:sz w:val="24"/>
          <w:szCs w:val="24"/>
        </w:rPr>
      </w:pPr>
      <w:r>
        <w:rPr>
          <w:color w:val="000000"/>
          <w:sz w:val="24"/>
          <w:szCs w:val="24"/>
        </w:rPr>
        <w:t>sídlo: Praha 1, Nové Město, Václavské nám. 1700/68, PSČ: 115 79</w:t>
      </w:r>
    </w:p>
    <w:p w14:paraId="3742F85A" w14:textId="77777777" w:rsidR="00797E0F" w:rsidRDefault="00677B59">
      <w:pPr>
        <w:pBdr>
          <w:top w:val="nil"/>
          <w:left w:val="nil"/>
          <w:bottom w:val="nil"/>
          <w:right w:val="nil"/>
          <w:between w:val="nil"/>
        </w:pBdr>
        <w:jc w:val="both"/>
        <w:rPr>
          <w:color w:val="000000"/>
          <w:sz w:val="24"/>
          <w:szCs w:val="24"/>
        </w:rPr>
      </w:pPr>
      <w:r>
        <w:rPr>
          <w:color w:val="000000"/>
          <w:sz w:val="24"/>
          <w:szCs w:val="24"/>
        </w:rPr>
        <w:t>IČ: 00023272, DIČ: CZ 00023272</w:t>
      </w:r>
    </w:p>
    <w:p w14:paraId="1F3E6180" w14:textId="77777777" w:rsidR="00797E0F" w:rsidRDefault="00677B59">
      <w:pPr>
        <w:pBdr>
          <w:top w:val="nil"/>
          <w:left w:val="nil"/>
          <w:bottom w:val="nil"/>
          <w:right w:val="nil"/>
          <w:between w:val="nil"/>
        </w:pBdr>
        <w:jc w:val="both"/>
        <w:rPr>
          <w:color w:val="000000"/>
          <w:sz w:val="24"/>
          <w:szCs w:val="24"/>
        </w:rPr>
      </w:pPr>
      <w:r>
        <w:rPr>
          <w:color w:val="000000"/>
          <w:sz w:val="24"/>
          <w:szCs w:val="24"/>
        </w:rPr>
        <w:t>zastoupené Mgr. Martinem Sekerou, Ph.D., ředitelem Knihovny Národního muzea</w:t>
      </w:r>
    </w:p>
    <w:p w14:paraId="372F25F2" w14:textId="77777777" w:rsidR="00797E0F" w:rsidRDefault="00677B59">
      <w:pPr>
        <w:pBdr>
          <w:top w:val="nil"/>
          <w:left w:val="nil"/>
          <w:bottom w:val="nil"/>
          <w:right w:val="nil"/>
          <w:between w:val="nil"/>
        </w:pBdr>
        <w:jc w:val="both"/>
        <w:rPr>
          <w:color w:val="000000"/>
          <w:sz w:val="24"/>
          <w:szCs w:val="24"/>
        </w:rPr>
      </w:pPr>
      <w:r>
        <w:rPr>
          <w:color w:val="000000"/>
          <w:sz w:val="24"/>
          <w:szCs w:val="24"/>
        </w:rPr>
        <w:t>(dále jen objednatel)</w:t>
      </w:r>
    </w:p>
    <w:p w14:paraId="26CF8277" w14:textId="77777777" w:rsidR="00797E0F" w:rsidRDefault="00797E0F">
      <w:pPr>
        <w:jc w:val="both"/>
        <w:rPr>
          <w:sz w:val="24"/>
          <w:szCs w:val="24"/>
        </w:rPr>
      </w:pPr>
    </w:p>
    <w:p w14:paraId="01CCE900" w14:textId="77777777" w:rsidR="00797E0F" w:rsidRDefault="00677B59">
      <w:pPr>
        <w:jc w:val="both"/>
        <w:rPr>
          <w:sz w:val="24"/>
          <w:szCs w:val="24"/>
        </w:rPr>
      </w:pPr>
      <w:r>
        <w:rPr>
          <w:sz w:val="24"/>
          <w:szCs w:val="24"/>
        </w:rPr>
        <w:t>a</w:t>
      </w:r>
    </w:p>
    <w:p w14:paraId="2D134957" w14:textId="77777777" w:rsidR="00797E0F" w:rsidRDefault="00797E0F">
      <w:pPr>
        <w:jc w:val="both"/>
        <w:rPr>
          <w:sz w:val="24"/>
          <w:szCs w:val="24"/>
        </w:rPr>
      </w:pPr>
    </w:p>
    <w:p w14:paraId="57F16C1E" w14:textId="7A668CAC" w:rsidR="00797E0F" w:rsidRDefault="00677B59">
      <w:pPr>
        <w:jc w:val="both"/>
        <w:rPr>
          <w:b/>
          <w:color w:val="000000"/>
          <w:sz w:val="24"/>
          <w:szCs w:val="24"/>
        </w:rPr>
      </w:pPr>
      <w:r>
        <w:rPr>
          <w:rFonts w:ascii="Verdana" w:eastAsia="Verdana" w:hAnsi="Verdana" w:cs="Verdana"/>
          <w:b/>
        </w:rPr>
        <w:t>INOVATIKA s.r.o.</w:t>
      </w:r>
      <w:r>
        <w:rPr>
          <w:b/>
          <w:color w:val="000000"/>
          <w:sz w:val="24"/>
          <w:szCs w:val="24"/>
        </w:rPr>
        <w:t xml:space="preserve"> </w:t>
      </w:r>
    </w:p>
    <w:p w14:paraId="63CD9FC0" w14:textId="0DEA915C" w:rsidR="00797E0F" w:rsidRDefault="00677B59">
      <w:pPr>
        <w:pBdr>
          <w:top w:val="nil"/>
          <w:left w:val="nil"/>
          <w:bottom w:val="nil"/>
          <w:right w:val="nil"/>
          <w:between w:val="nil"/>
        </w:pBdr>
        <w:jc w:val="both"/>
        <w:rPr>
          <w:sz w:val="24"/>
          <w:szCs w:val="24"/>
        </w:rPr>
      </w:pPr>
      <w:r>
        <w:rPr>
          <w:sz w:val="24"/>
          <w:szCs w:val="24"/>
        </w:rPr>
        <w:t xml:space="preserve">sídlo: Netlucká 635, 107 00 Praha 10 </w:t>
      </w:r>
      <w:r w:rsidR="00D93456">
        <w:rPr>
          <w:sz w:val="24"/>
          <w:szCs w:val="24"/>
        </w:rPr>
        <w:t>–</w:t>
      </w:r>
      <w:r>
        <w:rPr>
          <w:sz w:val="24"/>
          <w:szCs w:val="24"/>
        </w:rPr>
        <w:t xml:space="preserve"> Dubeč, Česká republika</w:t>
      </w:r>
    </w:p>
    <w:p w14:paraId="62767552" w14:textId="70AA14E9" w:rsidR="00797E0F" w:rsidRDefault="00677B59">
      <w:pPr>
        <w:pBdr>
          <w:top w:val="nil"/>
          <w:left w:val="nil"/>
          <w:bottom w:val="nil"/>
          <w:right w:val="nil"/>
          <w:between w:val="nil"/>
        </w:pBdr>
        <w:jc w:val="both"/>
        <w:rPr>
          <w:sz w:val="24"/>
          <w:szCs w:val="24"/>
        </w:rPr>
      </w:pPr>
      <w:r>
        <w:rPr>
          <w:sz w:val="24"/>
          <w:szCs w:val="24"/>
        </w:rPr>
        <w:t>IČ</w:t>
      </w:r>
      <w:r w:rsidR="00CE232F">
        <w:rPr>
          <w:sz w:val="24"/>
          <w:szCs w:val="24"/>
        </w:rPr>
        <w:t>:</w:t>
      </w:r>
      <w:r>
        <w:rPr>
          <w:sz w:val="24"/>
          <w:szCs w:val="24"/>
        </w:rPr>
        <w:t xml:space="preserve"> 07698160</w:t>
      </w:r>
      <w:r w:rsidR="00534598">
        <w:rPr>
          <w:sz w:val="24"/>
          <w:szCs w:val="24"/>
        </w:rPr>
        <w:t>,</w:t>
      </w:r>
      <w:r>
        <w:rPr>
          <w:sz w:val="24"/>
          <w:szCs w:val="24"/>
        </w:rPr>
        <w:t xml:space="preserve"> DIČ: CZ07698160</w:t>
      </w:r>
    </w:p>
    <w:p w14:paraId="757FAC31" w14:textId="4DB2BC35" w:rsidR="00797E0F" w:rsidRDefault="00677B59">
      <w:pPr>
        <w:pBdr>
          <w:top w:val="nil"/>
          <w:left w:val="nil"/>
          <w:bottom w:val="nil"/>
          <w:right w:val="nil"/>
          <w:between w:val="nil"/>
        </w:pBdr>
        <w:jc w:val="both"/>
        <w:rPr>
          <w:sz w:val="24"/>
          <w:szCs w:val="24"/>
        </w:rPr>
      </w:pPr>
      <w:r>
        <w:rPr>
          <w:sz w:val="24"/>
          <w:szCs w:val="24"/>
        </w:rPr>
        <w:t>zastoupena Pavlem Kocourkem, jednatele</w:t>
      </w:r>
      <w:r w:rsidR="00CE232F">
        <w:rPr>
          <w:sz w:val="24"/>
          <w:szCs w:val="24"/>
        </w:rPr>
        <w:t>m</w:t>
      </w:r>
      <w:r>
        <w:rPr>
          <w:sz w:val="24"/>
          <w:szCs w:val="24"/>
        </w:rPr>
        <w:t xml:space="preserve"> </w:t>
      </w:r>
    </w:p>
    <w:p w14:paraId="3DFDD919" w14:textId="3DC01651" w:rsidR="00797E0F" w:rsidRDefault="00677B59">
      <w:pPr>
        <w:pBdr>
          <w:top w:val="nil"/>
          <w:left w:val="nil"/>
          <w:bottom w:val="nil"/>
          <w:right w:val="nil"/>
          <w:between w:val="nil"/>
        </w:pBdr>
        <w:jc w:val="both"/>
        <w:rPr>
          <w:sz w:val="24"/>
          <w:szCs w:val="24"/>
        </w:rPr>
      </w:pPr>
      <w:r>
        <w:rPr>
          <w:sz w:val="24"/>
          <w:szCs w:val="24"/>
        </w:rPr>
        <w:t xml:space="preserve">číslo účtu: </w:t>
      </w:r>
      <w:r w:rsidR="003159E9">
        <w:rPr>
          <w:sz w:val="24"/>
          <w:szCs w:val="24"/>
        </w:rPr>
        <w:t>XXXXXXXXXXXXXXXXXXXX</w:t>
      </w:r>
    </w:p>
    <w:p w14:paraId="4E7E7351" w14:textId="77777777" w:rsidR="00797E0F" w:rsidRDefault="00677B59">
      <w:pPr>
        <w:pBdr>
          <w:top w:val="nil"/>
          <w:left w:val="nil"/>
          <w:bottom w:val="nil"/>
          <w:right w:val="nil"/>
          <w:between w:val="nil"/>
        </w:pBdr>
        <w:jc w:val="both"/>
        <w:rPr>
          <w:sz w:val="24"/>
          <w:szCs w:val="24"/>
        </w:rPr>
      </w:pPr>
      <w:r>
        <w:rPr>
          <w:sz w:val="24"/>
          <w:szCs w:val="24"/>
        </w:rPr>
        <w:t>(dále jen zhotovitel)</w:t>
      </w:r>
    </w:p>
    <w:p w14:paraId="641ABF18" w14:textId="77777777" w:rsidR="00797E0F" w:rsidRDefault="00797E0F">
      <w:pPr>
        <w:rPr>
          <w:sz w:val="24"/>
          <w:szCs w:val="24"/>
        </w:rPr>
      </w:pPr>
    </w:p>
    <w:p w14:paraId="7121DF4C" w14:textId="77777777" w:rsidR="00797E0F" w:rsidRDefault="00797E0F">
      <w:pPr>
        <w:rPr>
          <w:sz w:val="24"/>
          <w:szCs w:val="24"/>
        </w:rPr>
      </w:pPr>
    </w:p>
    <w:p w14:paraId="3B804FCF" w14:textId="77777777" w:rsidR="00797E0F" w:rsidRDefault="00677B59">
      <w:pPr>
        <w:spacing w:line="276" w:lineRule="auto"/>
        <w:jc w:val="center"/>
        <w:rPr>
          <w:b/>
          <w:sz w:val="24"/>
          <w:szCs w:val="24"/>
        </w:rPr>
      </w:pPr>
      <w:r>
        <w:rPr>
          <w:b/>
          <w:sz w:val="24"/>
          <w:szCs w:val="24"/>
        </w:rPr>
        <w:t>Preambule</w:t>
      </w:r>
    </w:p>
    <w:p w14:paraId="448292F0" w14:textId="77777777" w:rsidR="00797E0F" w:rsidRDefault="00677B59">
      <w:pPr>
        <w:widowControl w:val="0"/>
        <w:pBdr>
          <w:top w:val="nil"/>
          <w:left w:val="nil"/>
          <w:bottom w:val="nil"/>
          <w:right w:val="nil"/>
          <w:between w:val="nil"/>
        </w:pBdr>
        <w:jc w:val="both"/>
        <w:rPr>
          <w:color w:val="000000"/>
          <w:sz w:val="24"/>
          <w:szCs w:val="24"/>
        </w:rPr>
      </w:pPr>
      <w:r>
        <w:rPr>
          <w:color w:val="000000"/>
          <w:sz w:val="24"/>
          <w:szCs w:val="24"/>
        </w:rPr>
        <w:t xml:space="preserve">Smluvní strany uzavírají na základě zadávacího řízení veřejné zakázky malého rozsahu pod názvem </w:t>
      </w:r>
      <w:r>
        <w:rPr>
          <w:i/>
          <w:color w:val="000000"/>
          <w:sz w:val="24"/>
          <w:szCs w:val="24"/>
        </w:rPr>
        <w:t>Instalace Systému ProArc a jeho technická a programová podpora na dobu pěti let</w:t>
      </w:r>
      <w:r>
        <w:rPr>
          <w:color w:val="000000"/>
          <w:sz w:val="24"/>
          <w:szCs w:val="24"/>
        </w:rPr>
        <w:t xml:space="preserve"> tuto smlouvu o dílo, kterou se zhotovitel zavazuje k řádnému a včasnému provedení díla v rozsahu vymezeném předmětem smlouvy a objednatel se zavazuje k zaplacení sjednané ceny za jeho provedení podle podmínek obsažených v následujících ustanoveních této smlouvy.</w:t>
      </w:r>
    </w:p>
    <w:p w14:paraId="58ED8F6A" w14:textId="77777777" w:rsidR="00797E0F" w:rsidRDefault="00677B59">
      <w:pPr>
        <w:widowControl w:val="0"/>
        <w:pBdr>
          <w:top w:val="nil"/>
          <w:left w:val="nil"/>
          <w:bottom w:val="nil"/>
          <w:right w:val="nil"/>
          <w:between w:val="nil"/>
        </w:pBdr>
        <w:jc w:val="both"/>
        <w:rPr>
          <w:color w:val="000000"/>
          <w:sz w:val="24"/>
          <w:szCs w:val="24"/>
        </w:rPr>
      </w:pPr>
      <w:r>
        <w:rPr>
          <w:color w:val="000000"/>
          <w:sz w:val="24"/>
          <w:szCs w:val="24"/>
        </w:rPr>
        <w:t xml:space="preserve">Předmět smlouvy je spolufinancován v rámci Národního plánu obnovy, projektu </w:t>
      </w:r>
      <w:r>
        <w:rPr>
          <w:i/>
          <w:color w:val="000000"/>
          <w:sz w:val="24"/>
          <w:szCs w:val="24"/>
        </w:rPr>
        <w:t>Rozšíření a optimalizace digitalizačního workflow v oddělení časopisů a oddělení knižní kultury Knihovny Národního muzea</w:t>
      </w:r>
      <w:r>
        <w:rPr>
          <w:color w:val="000000"/>
          <w:sz w:val="24"/>
          <w:szCs w:val="24"/>
        </w:rPr>
        <w:t xml:space="preserve"> s identifikačním číslem projektu: 134V731000064.</w:t>
      </w:r>
    </w:p>
    <w:p w14:paraId="2CA3A83B" w14:textId="77777777" w:rsidR="00797E0F" w:rsidRDefault="00797E0F">
      <w:pPr>
        <w:pStyle w:val="Nadpis1"/>
        <w:rPr>
          <w:b w:val="0"/>
          <w:sz w:val="24"/>
          <w:szCs w:val="24"/>
        </w:rPr>
      </w:pPr>
    </w:p>
    <w:p w14:paraId="1D79A74B" w14:textId="77777777" w:rsidR="00797E0F" w:rsidRDefault="00797E0F"/>
    <w:p w14:paraId="5F13A323" w14:textId="77777777" w:rsidR="00797E0F" w:rsidRDefault="00677B59">
      <w:pPr>
        <w:pStyle w:val="Nadpis1"/>
        <w:jc w:val="center"/>
        <w:rPr>
          <w:b w:val="0"/>
          <w:sz w:val="24"/>
          <w:szCs w:val="24"/>
        </w:rPr>
      </w:pPr>
      <w:r>
        <w:rPr>
          <w:sz w:val="24"/>
          <w:szCs w:val="24"/>
        </w:rPr>
        <w:t>Článek I.</w:t>
      </w:r>
    </w:p>
    <w:p w14:paraId="0F666D14" w14:textId="77777777" w:rsidR="00797E0F" w:rsidRDefault="00677B59">
      <w:pPr>
        <w:jc w:val="center"/>
        <w:rPr>
          <w:b/>
          <w:sz w:val="24"/>
          <w:szCs w:val="24"/>
        </w:rPr>
      </w:pPr>
      <w:r>
        <w:rPr>
          <w:b/>
          <w:sz w:val="24"/>
          <w:szCs w:val="24"/>
        </w:rPr>
        <w:t>Předmět smlouvy</w:t>
      </w:r>
    </w:p>
    <w:p w14:paraId="6773594D" w14:textId="3DA1BC5B" w:rsidR="00797E0F" w:rsidRDefault="00677B59">
      <w:pPr>
        <w:pBdr>
          <w:top w:val="nil"/>
          <w:left w:val="nil"/>
          <w:bottom w:val="nil"/>
          <w:right w:val="nil"/>
          <w:between w:val="nil"/>
        </w:pBdr>
        <w:jc w:val="both"/>
        <w:rPr>
          <w:b/>
          <w:color w:val="000000"/>
          <w:sz w:val="24"/>
          <w:szCs w:val="24"/>
        </w:rPr>
      </w:pPr>
      <w:r>
        <w:rPr>
          <w:color w:val="000000"/>
          <w:sz w:val="24"/>
          <w:szCs w:val="24"/>
        </w:rPr>
        <w:t xml:space="preserve">Předmětem této smlouvy je závazek zhotovitele provést pro objednatele na svůj náklad a nebezpečí pro objednatele za podmínek níže uvedených dílo: „Instalace Systému ProArc a jeho následná technická a programová podpora na dobu pěti let“ podle zadání objednatele a v souladu s výběrovým řízením č. </w:t>
      </w:r>
      <w:r w:rsidR="000C23EB">
        <w:rPr>
          <w:color w:val="000000"/>
          <w:sz w:val="24"/>
          <w:szCs w:val="24"/>
        </w:rPr>
        <w:t>250264</w:t>
      </w:r>
      <w:r>
        <w:rPr>
          <w:color w:val="000000"/>
          <w:sz w:val="24"/>
          <w:szCs w:val="24"/>
        </w:rPr>
        <w:t xml:space="preserve"> (dále jen dílo). Popis díla je obsahem přílohy č. 1, která tvoří nedílnou součást této smlouvy.</w:t>
      </w:r>
    </w:p>
    <w:p w14:paraId="4F35D249" w14:textId="77777777" w:rsidR="00797E0F" w:rsidRDefault="00797E0F">
      <w:pPr>
        <w:jc w:val="center"/>
        <w:rPr>
          <w:b/>
          <w:color w:val="000000"/>
          <w:sz w:val="24"/>
          <w:szCs w:val="24"/>
        </w:rPr>
      </w:pPr>
    </w:p>
    <w:p w14:paraId="5ED12943" w14:textId="77777777" w:rsidR="00797E0F" w:rsidRDefault="00797E0F">
      <w:pPr>
        <w:jc w:val="center"/>
        <w:rPr>
          <w:b/>
          <w:color w:val="000000"/>
          <w:sz w:val="24"/>
          <w:szCs w:val="24"/>
        </w:rPr>
      </w:pPr>
    </w:p>
    <w:p w14:paraId="1928DB04" w14:textId="77777777" w:rsidR="00797E0F" w:rsidRDefault="00677B59">
      <w:pPr>
        <w:keepNext/>
        <w:jc w:val="center"/>
        <w:rPr>
          <w:b/>
          <w:color w:val="000000"/>
          <w:sz w:val="24"/>
          <w:szCs w:val="24"/>
        </w:rPr>
      </w:pPr>
      <w:r>
        <w:rPr>
          <w:b/>
          <w:color w:val="000000"/>
          <w:sz w:val="24"/>
          <w:szCs w:val="24"/>
        </w:rPr>
        <w:t>Článek II.</w:t>
      </w:r>
    </w:p>
    <w:p w14:paraId="4F66DC9A" w14:textId="77777777" w:rsidR="00797E0F" w:rsidRDefault="00677B59">
      <w:pPr>
        <w:jc w:val="center"/>
        <w:rPr>
          <w:b/>
          <w:color w:val="000000"/>
          <w:sz w:val="24"/>
          <w:szCs w:val="24"/>
        </w:rPr>
      </w:pPr>
      <w:r>
        <w:rPr>
          <w:b/>
          <w:color w:val="000000"/>
          <w:sz w:val="24"/>
          <w:szCs w:val="24"/>
        </w:rPr>
        <w:t>Termín plnění</w:t>
      </w:r>
    </w:p>
    <w:p w14:paraId="3829E9F8" w14:textId="77777777" w:rsidR="00797E0F" w:rsidRDefault="00677B59">
      <w:pPr>
        <w:numPr>
          <w:ilvl w:val="0"/>
          <w:numId w:val="3"/>
        </w:numPr>
        <w:pBdr>
          <w:top w:val="nil"/>
          <w:left w:val="nil"/>
          <w:bottom w:val="nil"/>
          <w:right w:val="nil"/>
          <w:between w:val="nil"/>
        </w:pBdr>
        <w:ind w:left="426" w:hanging="426"/>
        <w:jc w:val="both"/>
        <w:rPr>
          <w:color w:val="000000"/>
          <w:sz w:val="24"/>
          <w:szCs w:val="24"/>
        </w:rPr>
      </w:pPr>
      <w:r>
        <w:rPr>
          <w:color w:val="000000"/>
          <w:sz w:val="24"/>
          <w:szCs w:val="24"/>
        </w:rPr>
        <w:t>Smlouva je platná ode dne uveřejnění v registru smluv po dobu pěti let.</w:t>
      </w:r>
    </w:p>
    <w:p w14:paraId="3B01A9C2" w14:textId="77777777" w:rsidR="00797E0F" w:rsidRDefault="00677B59">
      <w:pPr>
        <w:numPr>
          <w:ilvl w:val="0"/>
          <w:numId w:val="3"/>
        </w:numPr>
        <w:pBdr>
          <w:top w:val="nil"/>
          <w:left w:val="nil"/>
          <w:bottom w:val="nil"/>
          <w:right w:val="nil"/>
          <w:between w:val="nil"/>
        </w:pBdr>
        <w:ind w:left="426" w:hanging="426"/>
        <w:jc w:val="both"/>
        <w:rPr>
          <w:color w:val="000000"/>
          <w:sz w:val="24"/>
          <w:szCs w:val="24"/>
        </w:rPr>
      </w:pPr>
      <w:r>
        <w:rPr>
          <w:color w:val="000000"/>
          <w:sz w:val="24"/>
          <w:szCs w:val="24"/>
        </w:rPr>
        <w:t>Položky uvedené pod č. 1 a 2 v příloze č. 1 se zhotovitel zavazuje provést do 30. 10. 2025.</w:t>
      </w:r>
    </w:p>
    <w:p w14:paraId="49DA4913" w14:textId="77777777" w:rsidR="00797E0F" w:rsidRDefault="00677B59">
      <w:pPr>
        <w:numPr>
          <w:ilvl w:val="0"/>
          <w:numId w:val="3"/>
        </w:numPr>
        <w:pBdr>
          <w:top w:val="nil"/>
          <w:left w:val="nil"/>
          <w:bottom w:val="nil"/>
          <w:right w:val="nil"/>
          <w:between w:val="nil"/>
        </w:pBdr>
        <w:ind w:left="426" w:hanging="426"/>
        <w:jc w:val="both"/>
        <w:rPr>
          <w:color w:val="000000"/>
          <w:sz w:val="24"/>
          <w:szCs w:val="24"/>
        </w:rPr>
      </w:pPr>
      <w:r>
        <w:rPr>
          <w:color w:val="000000"/>
          <w:sz w:val="24"/>
          <w:szCs w:val="24"/>
        </w:rPr>
        <w:lastRenderedPageBreak/>
        <w:t>Dílo za objednatele převezme řešitel garantující za Knihovnu Národního muzea řešení projektu NPO č. 134V731000064. Dílo bude převzato objednatelem na základě předávacího protokolu, který obě strany odsouhlasí a do kterého budou zaneseny případné připomínky objednatele.</w:t>
      </w:r>
    </w:p>
    <w:p w14:paraId="56323053" w14:textId="77777777" w:rsidR="00797E0F" w:rsidRDefault="00797E0F">
      <w:pPr>
        <w:jc w:val="both"/>
        <w:rPr>
          <w:color w:val="000000"/>
          <w:sz w:val="24"/>
          <w:szCs w:val="24"/>
        </w:rPr>
      </w:pPr>
    </w:p>
    <w:p w14:paraId="5E74B27F" w14:textId="77777777" w:rsidR="00797E0F" w:rsidRDefault="00797E0F">
      <w:pPr>
        <w:jc w:val="both"/>
        <w:rPr>
          <w:color w:val="000000"/>
          <w:sz w:val="24"/>
          <w:szCs w:val="24"/>
        </w:rPr>
      </w:pPr>
    </w:p>
    <w:p w14:paraId="3DF0A3E1" w14:textId="77777777" w:rsidR="00797E0F" w:rsidRDefault="00677B59">
      <w:pPr>
        <w:jc w:val="center"/>
        <w:rPr>
          <w:b/>
          <w:color w:val="000000"/>
          <w:sz w:val="24"/>
          <w:szCs w:val="24"/>
        </w:rPr>
      </w:pPr>
      <w:r>
        <w:rPr>
          <w:b/>
          <w:color w:val="000000"/>
          <w:sz w:val="24"/>
          <w:szCs w:val="24"/>
        </w:rPr>
        <w:t>Článek III.</w:t>
      </w:r>
    </w:p>
    <w:p w14:paraId="53CBBE3C" w14:textId="77777777" w:rsidR="00797E0F" w:rsidRDefault="00677B59">
      <w:pPr>
        <w:pStyle w:val="Nadpis3"/>
        <w:spacing w:before="0"/>
        <w:jc w:val="center"/>
        <w:rPr>
          <w:rFonts w:ascii="Calibri" w:eastAsia="Calibri" w:hAnsi="Calibri" w:cs="Calibri"/>
          <w:color w:val="000000"/>
        </w:rPr>
      </w:pPr>
      <w:r>
        <w:rPr>
          <w:rFonts w:ascii="Calibri" w:eastAsia="Calibri" w:hAnsi="Calibri" w:cs="Calibri"/>
          <w:color w:val="000000"/>
        </w:rPr>
        <w:t>Cena díla a platební podmínky</w:t>
      </w:r>
    </w:p>
    <w:p w14:paraId="4A4DF949" w14:textId="77777777" w:rsidR="00797E0F" w:rsidRDefault="00677B59">
      <w:pPr>
        <w:numPr>
          <w:ilvl w:val="0"/>
          <w:numId w:val="4"/>
        </w:numPr>
        <w:jc w:val="both"/>
        <w:rPr>
          <w:color w:val="000000"/>
          <w:sz w:val="24"/>
          <w:szCs w:val="24"/>
        </w:rPr>
      </w:pPr>
      <w:r>
        <w:rPr>
          <w:color w:val="000000"/>
          <w:sz w:val="24"/>
          <w:szCs w:val="24"/>
        </w:rPr>
        <w:t xml:space="preserve">Cena je zpracována v souladu se zákonem č. 526/1990 Sb., o cenách a s prováděcími předpisy. </w:t>
      </w:r>
    </w:p>
    <w:p w14:paraId="2C61382B" w14:textId="77777777" w:rsidR="00797E0F" w:rsidRDefault="00677B59">
      <w:pPr>
        <w:numPr>
          <w:ilvl w:val="0"/>
          <w:numId w:val="4"/>
        </w:numPr>
        <w:pBdr>
          <w:top w:val="nil"/>
          <w:left w:val="nil"/>
          <w:bottom w:val="nil"/>
          <w:right w:val="nil"/>
          <w:between w:val="nil"/>
        </w:pBdr>
        <w:jc w:val="both"/>
        <w:rPr>
          <w:b/>
          <w:color w:val="000000"/>
          <w:sz w:val="24"/>
          <w:szCs w:val="24"/>
        </w:rPr>
      </w:pPr>
      <w:r>
        <w:rPr>
          <w:color w:val="000000"/>
          <w:sz w:val="24"/>
          <w:szCs w:val="24"/>
        </w:rPr>
        <w:t xml:space="preserve">Cena díla se sjednává dohodou smluvních stran jako cena konečná a úplná a činí: </w:t>
      </w:r>
    </w:p>
    <w:p w14:paraId="28B48A83" w14:textId="05183573" w:rsidR="00797E0F" w:rsidRDefault="00677B59">
      <w:pPr>
        <w:pStyle w:val="Nadpis6"/>
        <w:keepLines w:val="0"/>
        <w:numPr>
          <w:ilvl w:val="1"/>
          <w:numId w:val="4"/>
        </w:numPr>
        <w:spacing w:before="0"/>
        <w:ind w:left="720" w:hanging="360"/>
        <w:jc w:val="both"/>
        <w:rPr>
          <w:color w:val="000000"/>
          <w:sz w:val="24"/>
          <w:szCs w:val="24"/>
        </w:rPr>
      </w:pPr>
      <w:r>
        <w:rPr>
          <w:color w:val="000000"/>
          <w:sz w:val="24"/>
          <w:szCs w:val="24"/>
        </w:rPr>
        <w:t>702</w:t>
      </w:r>
      <w:r w:rsidR="00CE232F">
        <w:rPr>
          <w:color w:val="000000"/>
          <w:sz w:val="24"/>
          <w:szCs w:val="24"/>
        </w:rPr>
        <w:t xml:space="preserve"> </w:t>
      </w:r>
      <w:r>
        <w:rPr>
          <w:color w:val="000000"/>
          <w:sz w:val="24"/>
          <w:szCs w:val="24"/>
        </w:rPr>
        <w:t>000,- Kč</w:t>
      </w:r>
    </w:p>
    <w:p w14:paraId="3132829B" w14:textId="4ED29376" w:rsidR="00797E0F" w:rsidRDefault="00677B59">
      <w:pPr>
        <w:pStyle w:val="Nadpis6"/>
        <w:keepLines w:val="0"/>
        <w:numPr>
          <w:ilvl w:val="1"/>
          <w:numId w:val="4"/>
        </w:numPr>
        <w:spacing w:before="0"/>
        <w:ind w:left="720" w:hanging="360"/>
        <w:jc w:val="both"/>
        <w:rPr>
          <w:color w:val="000000"/>
          <w:sz w:val="24"/>
          <w:szCs w:val="24"/>
        </w:rPr>
      </w:pPr>
      <w:r>
        <w:rPr>
          <w:color w:val="000000"/>
          <w:sz w:val="24"/>
          <w:szCs w:val="24"/>
        </w:rPr>
        <w:t>21 % DPH: 147</w:t>
      </w:r>
      <w:r w:rsidR="00CE232F">
        <w:rPr>
          <w:color w:val="000000"/>
          <w:sz w:val="24"/>
          <w:szCs w:val="24"/>
        </w:rPr>
        <w:t xml:space="preserve"> </w:t>
      </w:r>
      <w:r>
        <w:rPr>
          <w:color w:val="000000"/>
          <w:sz w:val="24"/>
          <w:szCs w:val="24"/>
        </w:rPr>
        <w:t>420,- Kč</w:t>
      </w:r>
    </w:p>
    <w:p w14:paraId="79C944EE" w14:textId="02D6153E" w:rsidR="00797E0F" w:rsidRDefault="00677B59">
      <w:pPr>
        <w:pStyle w:val="Nadpis6"/>
        <w:keepLines w:val="0"/>
        <w:numPr>
          <w:ilvl w:val="1"/>
          <w:numId w:val="4"/>
        </w:numPr>
        <w:spacing w:before="0"/>
        <w:ind w:left="714" w:hanging="357"/>
        <w:jc w:val="both"/>
        <w:rPr>
          <w:color w:val="000000"/>
          <w:sz w:val="24"/>
          <w:szCs w:val="24"/>
        </w:rPr>
      </w:pPr>
      <w:r>
        <w:rPr>
          <w:color w:val="000000"/>
          <w:sz w:val="24"/>
          <w:szCs w:val="24"/>
        </w:rPr>
        <w:t>celkem 849</w:t>
      </w:r>
      <w:r w:rsidR="00CE232F">
        <w:rPr>
          <w:color w:val="000000"/>
          <w:sz w:val="24"/>
          <w:szCs w:val="24"/>
        </w:rPr>
        <w:t xml:space="preserve"> </w:t>
      </w:r>
      <w:r>
        <w:rPr>
          <w:color w:val="000000"/>
          <w:sz w:val="24"/>
          <w:szCs w:val="24"/>
        </w:rPr>
        <w:t xml:space="preserve">420,- Kč. </w:t>
      </w:r>
    </w:p>
    <w:p w14:paraId="39664962" w14:textId="77777777" w:rsidR="00797E0F" w:rsidRDefault="00677B59">
      <w:pPr>
        <w:numPr>
          <w:ilvl w:val="0"/>
          <w:numId w:val="4"/>
        </w:numPr>
        <w:pBdr>
          <w:top w:val="nil"/>
          <w:left w:val="nil"/>
          <w:bottom w:val="nil"/>
          <w:right w:val="nil"/>
          <w:between w:val="nil"/>
        </w:pBdr>
        <w:jc w:val="both"/>
        <w:rPr>
          <w:color w:val="000000"/>
          <w:sz w:val="24"/>
          <w:szCs w:val="24"/>
        </w:rPr>
      </w:pPr>
      <w:r>
        <w:rPr>
          <w:color w:val="000000"/>
          <w:sz w:val="24"/>
          <w:szCs w:val="24"/>
        </w:rPr>
        <w:t xml:space="preserve">Smluvní cena díla zahrnuje zejména veškeré práce, výkony a služby související s provedením díla. </w:t>
      </w:r>
    </w:p>
    <w:p w14:paraId="241A163C" w14:textId="77777777" w:rsidR="00797E0F" w:rsidRDefault="00677B59">
      <w:pPr>
        <w:numPr>
          <w:ilvl w:val="0"/>
          <w:numId w:val="4"/>
        </w:numPr>
        <w:pBdr>
          <w:top w:val="nil"/>
          <w:left w:val="nil"/>
          <w:bottom w:val="nil"/>
          <w:right w:val="nil"/>
          <w:between w:val="nil"/>
        </w:pBdr>
        <w:jc w:val="both"/>
        <w:rPr>
          <w:color w:val="000000"/>
          <w:sz w:val="24"/>
          <w:szCs w:val="24"/>
        </w:rPr>
      </w:pPr>
      <w:r>
        <w:rPr>
          <w:color w:val="000000"/>
          <w:sz w:val="24"/>
          <w:szCs w:val="24"/>
        </w:rPr>
        <w:t xml:space="preserve">Cena za celé dílo bude objednatelem uhrazena na základě daňového dokladu – faktury, vystaveného zhotovitelem s 30denní splatností po dokončení položek uvedených v bodě č. 1 a 2 přílohy č. 1 této smlouvy. Tato cena je konečná a neměnná. </w:t>
      </w:r>
    </w:p>
    <w:p w14:paraId="17D3C947" w14:textId="77777777" w:rsidR="00797E0F" w:rsidRDefault="00677B59">
      <w:pPr>
        <w:numPr>
          <w:ilvl w:val="0"/>
          <w:numId w:val="4"/>
        </w:numPr>
        <w:pBdr>
          <w:top w:val="nil"/>
          <w:left w:val="nil"/>
          <w:bottom w:val="nil"/>
          <w:right w:val="nil"/>
          <w:between w:val="nil"/>
        </w:pBdr>
        <w:jc w:val="both"/>
        <w:rPr>
          <w:color w:val="000000"/>
          <w:sz w:val="24"/>
          <w:szCs w:val="24"/>
        </w:rPr>
      </w:pPr>
      <w:r>
        <w:rPr>
          <w:color w:val="000000"/>
          <w:sz w:val="24"/>
          <w:szCs w:val="24"/>
        </w:rPr>
        <w:t xml:space="preserve">Datum úhrady se rozumí den odepsání příslušné částky z účtu objednatele.  </w:t>
      </w:r>
    </w:p>
    <w:p w14:paraId="32DD553A" w14:textId="77777777" w:rsidR="00797E0F" w:rsidRDefault="00677B59">
      <w:pPr>
        <w:numPr>
          <w:ilvl w:val="0"/>
          <w:numId w:val="4"/>
        </w:numPr>
        <w:pBdr>
          <w:top w:val="nil"/>
          <w:left w:val="nil"/>
          <w:bottom w:val="nil"/>
          <w:right w:val="nil"/>
          <w:between w:val="nil"/>
        </w:pBdr>
        <w:jc w:val="both"/>
        <w:rPr>
          <w:color w:val="000000"/>
          <w:sz w:val="24"/>
          <w:szCs w:val="24"/>
        </w:rPr>
      </w:pPr>
      <w:r>
        <w:rPr>
          <w:color w:val="000000"/>
          <w:sz w:val="24"/>
          <w:szCs w:val="24"/>
        </w:rPr>
        <w:t xml:space="preserve">Daňový doklad – faktura musí obsahovat všechny náležitosti dle zák. č. 235/2004 Sb., o DPH, ve znění pozdějších předpisů, a tyto náležitosti: </w:t>
      </w:r>
    </w:p>
    <w:p w14:paraId="701B60E4" w14:textId="77777777" w:rsidR="00797E0F" w:rsidRDefault="00677B59">
      <w:pPr>
        <w:numPr>
          <w:ilvl w:val="1"/>
          <w:numId w:val="4"/>
        </w:numPr>
        <w:pBdr>
          <w:top w:val="nil"/>
          <w:left w:val="nil"/>
          <w:bottom w:val="nil"/>
          <w:right w:val="nil"/>
          <w:between w:val="nil"/>
        </w:pBdr>
        <w:ind w:hanging="360"/>
        <w:jc w:val="both"/>
        <w:rPr>
          <w:color w:val="000000"/>
          <w:sz w:val="24"/>
          <w:szCs w:val="24"/>
        </w:rPr>
      </w:pPr>
      <w:r>
        <w:rPr>
          <w:color w:val="000000"/>
          <w:sz w:val="24"/>
          <w:szCs w:val="24"/>
        </w:rPr>
        <w:t xml:space="preserve">číslo smlouvy, </w:t>
      </w:r>
    </w:p>
    <w:p w14:paraId="65610E53" w14:textId="77777777" w:rsidR="00797E0F" w:rsidRDefault="00677B59">
      <w:pPr>
        <w:numPr>
          <w:ilvl w:val="1"/>
          <w:numId w:val="4"/>
        </w:numPr>
        <w:pBdr>
          <w:top w:val="nil"/>
          <w:left w:val="nil"/>
          <w:bottom w:val="nil"/>
          <w:right w:val="nil"/>
          <w:between w:val="nil"/>
        </w:pBdr>
        <w:ind w:hanging="360"/>
        <w:jc w:val="both"/>
        <w:rPr>
          <w:color w:val="000000"/>
          <w:sz w:val="24"/>
          <w:szCs w:val="24"/>
        </w:rPr>
      </w:pPr>
      <w:r>
        <w:rPr>
          <w:color w:val="000000"/>
          <w:sz w:val="24"/>
          <w:szCs w:val="24"/>
        </w:rPr>
        <w:t>soupis provedených prací dokladující oprávněnost fakturované částky potvrzený objednatelem.</w:t>
      </w:r>
    </w:p>
    <w:p w14:paraId="576F7DF6" w14:textId="77777777" w:rsidR="00797E0F" w:rsidRDefault="00677B59">
      <w:pPr>
        <w:ind w:left="426"/>
        <w:jc w:val="both"/>
        <w:rPr>
          <w:color w:val="000000"/>
          <w:sz w:val="24"/>
          <w:szCs w:val="24"/>
        </w:rPr>
      </w:pPr>
      <w:r>
        <w:rPr>
          <w:color w:val="000000"/>
          <w:sz w:val="24"/>
          <w:szCs w:val="24"/>
        </w:rPr>
        <w:t>V případě, že daňový doklad nebude obsahovat náležitosti dle tohoto článku, je Objednatel oprávněn tento vrátit Zhotoviteli k doplnění. Zhotovitel je povinen podle povahy nesprávnosti fakturu opravit nebo nově vyhotovit. Oprávněným vrácením faktury přestává běžet původní lhůta splatnosti. Lhůta splatnosti faktury běží znovu ode dne prokazatelného doručení opravené nebo nově vyhotovené faktury Objednateli.</w:t>
      </w:r>
    </w:p>
    <w:p w14:paraId="6B403136" w14:textId="77777777" w:rsidR="00797E0F" w:rsidRDefault="00797E0F">
      <w:pPr>
        <w:rPr>
          <w:color w:val="000000"/>
          <w:sz w:val="24"/>
          <w:szCs w:val="24"/>
        </w:rPr>
      </w:pPr>
    </w:p>
    <w:p w14:paraId="18ACE592" w14:textId="77777777" w:rsidR="00797E0F" w:rsidRDefault="00797E0F">
      <w:pPr>
        <w:rPr>
          <w:color w:val="000000"/>
          <w:sz w:val="24"/>
          <w:szCs w:val="24"/>
        </w:rPr>
      </w:pPr>
    </w:p>
    <w:p w14:paraId="3BEFDCBE" w14:textId="77777777" w:rsidR="00797E0F" w:rsidRDefault="00677B59">
      <w:pPr>
        <w:jc w:val="center"/>
        <w:rPr>
          <w:b/>
          <w:color w:val="000000"/>
          <w:sz w:val="24"/>
          <w:szCs w:val="24"/>
        </w:rPr>
      </w:pPr>
      <w:r>
        <w:rPr>
          <w:b/>
          <w:color w:val="000000"/>
          <w:sz w:val="24"/>
          <w:szCs w:val="24"/>
        </w:rPr>
        <w:t>Článek IV.</w:t>
      </w:r>
    </w:p>
    <w:p w14:paraId="7BF44288" w14:textId="77777777" w:rsidR="00797E0F" w:rsidRDefault="00677B59">
      <w:pPr>
        <w:jc w:val="center"/>
        <w:rPr>
          <w:b/>
          <w:sz w:val="24"/>
          <w:szCs w:val="24"/>
        </w:rPr>
      </w:pPr>
      <w:r>
        <w:rPr>
          <w:b/>
          <w:sz w:val="24"/>
          <w:szCs w:val="24"/>
        </w:rPr>
        <w:t>Předání a převzetí díla, záruční doba</w:t>
      </w:r>
    </w:p>
    <w:p w14:paraId="64A94F9E" w14:textId="77777777" w:rsidR="00797E0F" w:rsidRDefault="00677B59">
      <w:pPr>
        <w:ind w:left="426" w:hanging="426"/>
        <w:jc w:val="both"/>
        <w:rPr>
          <w:sz w:val="24"/>
          <w:szCs w:val="24"/>
        </w:rPr>
      </w:pPr>
      <w:r>
        <w:rPr>
          <w:color w:val="000000"/>
          <w:sz w:val="24"/>
          <w:szCs w:val="24"/>
        </w:rPr>
        <w:t>1.</w:t>
      </w:r>
      <w:r>
        <w:rPr>
          <w:color w:val="000000"/>
          <w:sz w:val="24"/>
          <w:szCs w:val="24"/>
        </w:rPr>
        <w:tab/>
        <w:t>O předání předmětu zhotoviteli i o převzetí provedeného díla zhotovitelem budou sepsány předávací protokoly, které podepíší zástupci obou smluvních stran. </w:t>
      </w:r>
    </w:p>
    <w:p w14:paraId="4E60561C" w14:textId="77777777" w:rsidR="00797E0F" w:rsidRDefault="00677B59">
      <w:pPr>
        <w:ind w:left="426" w:hanging="426"/>
        <w:jc w:val="both"/>
        <w:rPr>
          <w:sz w:val="24"/>
          <w:szCs w:val="24"/>
        </w:rPr>
      </w:pPr>
      <w:r>
        <w:rPr>
          <w:sz w:val="24"/>
          <w:szCs w:val="24"/>
        </w:rPr>
        <w:t>2.</w:t>
      </w:r>
      <w:r>
        <w:rPr>
          <w:sz w:val="24"/>
          <w:szCs w:val="24"/>
        </w:rPr>
        <w:tab/>
        <w:t>Zhotovitel poskytuje objednateli záruku za vady, které vzniknou v záruční době, která činí na zhotovené dílo 60 měsíců, která začne běžet dnem následujícím po písemném předání díla objednateli.</w:t>
      </w:r>
    </w:p>
    <w:p w14:paraId="60D457B9" w14:textId="77777777" w:rsidR="00797E0F" w:rsidRDefault="00797E0F">
      <w:pPr>
        <w:rPr>
          <w:sz w:val="24"/>
          <w:szCs w:val="24"/>
        </w:rPr>
      </w:pPr>
    </w:p>
    <w:p w14:paraId="4D362F18" w14:textId="77777777" w:rsidR="00797E0F" w:rsidRDefault="00797E0F">
      <w:pPr>
        <w:rPr>
          <w:sz w:val="24"/>
          <w:szCs w:val="24"/>
        </w:rPr>
      </w:pPr>
    </w:p>
    <w:p w14:paraId="32B99239" w14:textId="77777777" w:rsidR="00797E0F" w:rsidRDefault="00677B59">
      <w:pPr>
        <w:jc w:val="center"/>
        <w:rPr>
          <w:b/>
          <w:sz w:val="24"/>
          <w:szCs w:val="24"/>
        </w:rPr>
      </w:pPr>
      <w:r>
        <w:rPr>
          <w:b/>
          <w:sz w:val="24"/>
          <w:szCs w:val="24"/>
        </w:rPr>
        <w:t>Článek V</w:t>
      </w:r>
    </w:p>
    <w:p w14:paraId="142B5AC5" w14:textId="77777777" w:rsidR="00797E0F" w:rsidRDefault="00677B59">
      <w:pPr>
        <w:jc w:val="center"/>
        <w:rPr>
          <w:b/>
          <w:sz w:val="24"/>
          <w:szCs w:val="24"/>
        </w:rPr>
      </w:pPr>
      <w:r>
        <w:rPr>
          <w:b/>
          <w:sz w:val="24"/>
          <w:szCs w:val="24"/>
        </w:rPr>
        <w:t>Servisní služby</w:t>
      </w:r>
    </w:p>
    <w:p w14:paraId="5E45E4AC" w14:textId="77777777" w:rsidR="00797E0F" w:rsidRDefault="00677B59">
      <w:pPr>
        <w:ind w:left="426" w:hanging="426"/>
        <w:jc w:val="both"/>
        <w:rPr>
          <w:sz w:val="24"/>
          <w:szCs w:val="24"/>
        </w:rPr>
      </w:pPr>
      <w:r>
        <w:rPr>
          <w:sz w:val="24"/>
          <w:szCs w:val="24"/>
        </w:rPr>
        <w:t>1.</w:t>
      </w:r>
      <w:r>
        <w:rPr>
          <w:sz w:val="24"/>
          <w:szCs w:val="24"/>
        </w:rPr>
        <w:tab/>
        <w:t>Zhotovitel se zavazuje poskytovat Servisní služby související s provozem systému ProArc (dále jako Systém) primárně formou vzdáleného přístupu, a to:</w:t>
      </w:r>
    </w:p>
    <w:p w14:paraId="3A6281A9" w14:textId="77777777" w:rsidR="00797E0F" w:rsidRDefault="00677B59">
      <w:pPr>
        <w:numPr>
          <w:ilvl w:val="0"/>
          <w:numId w:val="1"/>
        </w:numPr>
        <w:pBdr>
          <w:top w:val="nil"/>
          <w:left w:val="nil"/>
          <w:bottom w:val="nil"/>
          <w:right w:val="nil"/>
          <w:between w:val="nil"/>
        </w:pBdr>
        <w:jc w:val="both"/>
        <w:rPr>
          <w:color w:val="000000"/>
          <w:sz w:val="24"/>
          <w:szCs w:val="24"/>
        </w:rPr>
      </w:pPr>
      <w:r>
        <w:rPr>
          <w:color w:val="000000"/>
          <w:sz w:val="24"/>
          <w:szCs w:val="24"/>
        </w:rPr>
        <w:t>pravidelný dohled a kontrola funkčnosti Systému s kontrolou logů, pracovních adresářů a jednotlivých komponent Systému,</w:t>
      </w:r>
    </w:p>
    <w:p w14:paraId="70150ECD" w14:textId="77777777" w:rsidR="00797E0F" w:rsidRDefault="00677B59">
      <w:pPr>
        <w:numPr>
          <w:ilvl w:val="0"/>
          <w:numId w:val="1"/>
        </w:numPr>
        <w:pBdr>
          <w:top w:val="nil"/>
          <w:left w:val="nil"/>
          <w:bottom w:val="nil"/>
          <w:right w:val="nil"/>
          <w:between w:val="nil"/>
        </w:pBdr>
        <w:jc w:val="both"/>
        <w:rPr>
          <w:color w:val="000000"/>
          <w:sz w:val="24"/>
          <w:szCs w:val="24"/>
        </w:rPr>
      </w:pPr>
      <w:r>
        <w:rPr>
          <w:color w:val="000000"/>
          <w:sz w:val="24"/>
          <w:szCs w:val="24"/>
        </w:rPr>
        <w:t>standardní správa databázových dat Systému užívaných objednatelem,</w:t>
      </w:r>
    </w:p>
    <w:p w14:paraId="72E5C994" w14:textId="77777777" w:rsidR="00797E0F" w:rsidRDefault="00677B59">
      <w:pPr>
        <w:numPr>
          <w:ilvl w:val="0"/>
          <w:numId w:val="1"/>
        </w:numPr>
        <w:pBdr>
          <w:top w:val="nil"/>
          <w:left w:val="nil"/>
          <w:bottom w:val="nil"/>
          <w:right w:val="nil"/>
          <w:between w:val="nil"/>
        </w:pBdr>
        <w:jc w:val="both"/>
        <w:rPr>
          <w:color w:val="000000"/>
          <w:sz w:val="24"/>
          <w:szCs w:val="24"/>
        </w:rPr>
      </w:pPr>
      <w:r>
        <w:rPr>
          <w:color w:val="000000"/>
          <w:sz w:val="24"/>
          <w:szCs w:val="24"/>
        </w:rPr>
        <w:t>umožňování vzdáleného přístupu pověřeným osobám objednatele k databázovým datům produktu prostřednictvím vhodného administrátorského software,</w:t>
      </w:r>
    </w:p>
    <w:p w14:paraId="74731D63" w14:textId="77777777" w:rsidR="00797E0F" w:rsidRDefault="00677B59">
      <w:pPr>
        <w:numPr>
          <w:ilvl w:val="0"/>
          <w:numId w:val="1"/>
        </w:numPr>
        <w:pBdr>
          <w:top w:val="nil"/>
          <w:left w:val="nil"/>
          <w:bottom w:val="nil"/>
          <w:right w:val="nil"/>
          <w:between w:val="nil"/>
        </w:pBdr>
        <w:jc w:val="both"/>
        <w:rPr>
          <w:color w:val="000000"/>
          <w:sz w:val="24"/>
          <w:szCs w:val="24"/>
        </w:rPr>
      </w:pPr>
      <w:r>
        <w:rPr>
          <w:color w:val="000000"/>
          <w:sz w:val="24"/>
          <w:szCs w:val="24"/>
        </w:rPr>
        <w:lastRenderedPageBreak/>
        <w:t xml:space="preserve">úpravy konfigurace Systému, </w:t>
      </w:r>
    </w:p>
    <w:p w14:paraId="7F3B4B15" w14:textId="77777777" w:rsidR="00797E0F" w:rsidRDefault="00677B59">
      <w:pPr>
        <w:numPr>
          <w:ilvl w:val="0"/>
          <w:numId w:val="1"/>
        </w:numPr>
        <w:pBdr>
          <w:top w:val="nil"/>
          <w:left w:val="nil"/>
          <w:bottom w:val="nil"/>
          <w:right w:val="nil"/>
          <w:between w:val="nil"/>
        </w:pBdr>
        <w:ind w:left="357" w:hanging="357"/>
        <w:jc w:val="both"/>
        <w:rPr>
          <w:color w:val="000000"/>
          <w:sz w:val="24"/>
          <w:szCs w:val="24"/>
        </w:rPr>
      </w:pPr>
      <w:r>
        <w:rPr>
          <w:color w:val="000000"/>
          <w:sz w:val="24"/>
          <w:szCs w:val="24"/>
        </w:rPr>
        <w:t>průběžné provádění update a legislativní update Systému, min. však jednou ročně; zhotovitel se zavazuje, že Systém bude v souladu s aktuálními legislativními požadavky vždy nejpozději v den nabytí účinnosti právní normy, která takový nový legislativní požadavek zavádí (dále také „legislativní update“),</w:t>
      </w:r>
    </w:p>
    <w:p w14:paraId="20BC6908" w14:textId="77777777" w:rsidR="00797E0F" w:rsidRDefault="00677B59">
      <w:pPr>
        <w:numPr>
          <w:ilvl w:val="0"/>
          <w:numId w:val="1"/>
        </w:numPr>
        <w:pBdr>
          <w:top w:val="nil"/>
          <w:left w:val="nil"/>
          <w:bottom w:val="nil"/>
          <w:right w:val="nil"/>
          <w:between w:val="nil"/>
        </w:pBdr>
        <w:jc w:val="both"/>
        <w:rPr>
          <w:color w:val="000000"/>
          <w:sz w:val="24"/>
          <w:szCs w:val="24"/>
        </w:rPr>
      </w:pPr>
      <w:r>
        <w:rPr>
          <w:color w:val="000000"/>
          <w:sz w:val="24"/>
          <w:szCs w:val="24"/>
        </w:rPr>
        <w:t>upgrade a legislativní upgrade Systému (inovace nutné z podnětu legislativních změn, inovace vzniklé z podnětu zhotovitele, tedy jeho inovační činností nebo inovace vzniklé v důsledku vývoje HW a SW prostředků) – legislativní upgrade bude v souladu s aktuálními legislativními požadavky vždy nejpozději v den nabytí účinnosti právní normy, která takový nový legislativní požadavek zavádí (dále také „legislativní upgrade“),</w:t>
      </w:r>
    </w:p>
    <w:p w14:paraId="771609E1" w14:textId="77777777" w:rsidR="00797E0F" w:rsidRDefault="00677B59">
      <w:pPr>
        <w:numPr>
          <w:ilvl w:val="0"/>
          <w:numId w:val="1"/>
        </w:numPr>
        <w:pBdr>
          <w:top w:val="nil"/>
          <w:left w:val="nil"/>
          <w:bottom w:val="nil"/>
          <w:right w:val="nil"/>
          <w:between w:val="nil"/>
        </w:pBdr>
        <w:jc w:val="both"/>
        <w:rPr>
          <w:color w:val="000000"/>
          <w:sz w:val="24"/>
          <w:szCs w:val="24"/>
        </w:rPr>
      </w:pPr>
      <w:r>
        <w:rPr>
          <w:color w:val="000000"/>
          <w:sz w:val="24"/>
          <w:szCs w:val="24"/>
        </w:rPr>
        <w:t>provádění tzv. technologických a bezpečnostních aktualizací zajišťujících bezproblémový a funkční provoz Systému,</w:t>
      </w:r>
    </w:p>
    <w:p w14:paraId="238602DD" w14:textId="77777777" w:rsidR="00797E0F" w:rsidRDefault="00677B59">
      <w:pPr>
        <w:numPr>
          <w:ilvl w:val="0"/>
          <w:numId w:val="1"/>
        </w:numPr>
        <w:pBdr>
          <w:top w:val="nil"/>
          <w:left w:val="nil"/>
          <w:bottom w:val="nil"/>
          <w:right w:val="nil"/>
          <w:between w:val="nil"/>
        </w:pBdr>
        <w:ind w:left="357" w:hanging="357"/>
        <w:jc w:val="both"/>
        <w:rPr>
          <w:color w:val="000000"/>
          <w:sz w:val="24"/>
          <w:szCs w:val="24"/>
        </w:rPr>
      </w:pPr>
      <w:r>
        <w:rPr>
          <w:color w:val="000000"/>
          <w:sz w:val="24"/>
          <w:szCs w:val="24"/>
        </w:rPr>
        <w:t>konzultace uživatelům objednatele k funkcionalitám Systému.</w:t>
      </w:r>
    </w:p>
    <w:p w14:paraId="67289127" w14:textId="77777777" w:rsidR="00797E0F" w:rsidRDefault="00677B59">
      <w:pPr>
        <w:ind w:left="426" w:hanging="426"/>
        <w:jc w:val="both"/>
        <w:rPr>
          <w:sz w:val="24"/>
          <w:szCs w:val="24"/>
        </w:rPr>
      </w:pPr>
      <w:r>
        <w:rPr>
          <w:sz w:val="24"/>
          <w:szCs w:val="24"/>
        </w:rPr>
        <w:t>2.</w:t>
      </w:r>
      <w:r>
        <w:rPr>
          <w:sz w:val="24"/>
          <w:szCs w:val="24"/>
        </w:rPr>
        <w:tab/>
        <w:t>Servisní služby budou poskytovány v režimu 5 x 8, tj. v pracovní dny, vyjma státem uznaných svátku, v době od 8:00 hod. do 16:00 hod. V rámci této doby se zhotovitel zavazuje dodržovat pro níže uvedené situace následující reakční doby:</w:t>
      </w:r>
    </w:p>
    <w:p w14:paraId="1A558034" w14:textId="77777777" w:rsidR="00797E0F" w:rsidRDefault="00677B59">
      <w:pPr>
        <w:numPr>
          <w:ilvl w:val="0"/>
          <w:numId w:val="2"/>
        </w:numPr>
        <w:pBdr>
          <w:top w:val="nil"/>
          <w:left w:val="nil"/>
          <w:bottom w:val="nil"/>
          <w:right w:val="nil"/>
          <w:between w:val="nil"/>
        </w:pBdr>
        <w:ind w:left="426"/>
        <w:jc w:val="both"/>
        <w:rPr>
          <w:color w:val="000000"/>
          <w:sz w:val="24"/>
          <w:szCs w:val="24"/>
        </w:rPr>
      </w:pPr>
      <w:r>
        <w:rPr>
          <w:color w:val="000000"/>
          <w:sz w:val="24"/>
          <w:szCs w:val="24"/>
        </w:rPr>
        <w:t>oprava Systému při výpadku – reakce do 3 hodin od nahlášení, oprava do následujícího pracovního dne od nahlášení, případně dle dohody,</w:t>
      </w:r>
    </w:p>
    <w:p w14:paraId="5D24081B" w14:textId="77777777" w:rsidR="00797E0F" w:rsidRDefault="00677B59">
      <w:pPr>
        <w:numPr>
          <w:ilvl w:val="0"/>
          <w:numId w:val="2"/>
        </w:numPr>
        <w:pBdr>
          <w:top w:val="nil"/>
          <w:left w:val="nil"/>
          <w:bottom w:val="nil"/>
          <w:right w:val="nil"/>
          <w:between w:val="nil"/>
        </w:pBdr>
        <w:ind w:left="426"/>
        <w:jc w:val="both"/>
        <w:rPr>
          <w:color w:val="000000"/>
          <w:sz w:val="24"/>
          <w:szCs w:val="24"/>
        </w:rPr>
      </w:pPr>
      <w:r>
        <w:rPr>
          <w:color w:val="000000"/>
          <w:sz w:val="24"/>
          <w:szCs w:val="24"/>
        </w:rPr>
        <w:t>řešení zákaznických požadavků na běžné provozní úpravy konfigurace – reakce do následujícího pracovního dne od nahlášení, vyřešení požadavku dle dohody,</w:t>
      </w:r>
    </w:p>
    <w:p w14:paraId="4A57DD02" w14:textId="77777777" w:rsidR="00797E0F" w:rsidRDefault="00677B59">
      <w:pPr>
        <w:numPr>
          <w:ilvl w:val="0"/>
          <w:numId w:val="2"/>
        </w:numPr>
        <w:pBdr>
          <w:top w:val="nil"/>
          <w:left w:val="nil"/>
          <w:bottom w:val="nil"/>
          <w:right w:val="nil"/>
          <w:between w:val="nil"/>
        </w:pBdr>
        <w:ind w:left="426"/>
        <w:jc w:val="both"/>
        <w:rPr>
          <w:color w:val="000000"/>
          <w:sz w:val="24"/>
          <w:szCs w:val="24"/>
        </w:rPr>
      </w:pPr>
      <w:r>
        <w:rPr>
          <w:color w:val="000000"/>
          <w:sz w:val="24"/>
          <w:szCs w:val="24"/>
        </w:rPr>
        <w:t>úpravy konfigurací služeb – reakce do dvou pracovních dnů od nahlášení, vyřešení požadavku dle dohody.</w:t>
      </w:r>
    </w:p>
    <w:p w14:paraId="27C67077" w14:textId="77777777" w:rsidR="00797E0F" w:rsidRDefault="00797E0F">
      <w:pPr>
        <w:rPr>
          <w:b/>
          <w:sz w:val="24"/>
          <w:szCs w:val="24"/>
        </w:rPr>
      </w:pPr>
    </w:p>
    <w:p w14:paraId="02D55DCD" w14:textId="77777777" w:rsidR="00797E0F" w:rsidRDefault="00797E0F">
      <w:pPr>
        <w:rPr>
          <w:b/>
          <w:sz w:val="24"/>
          <w:szCs w:val="24"/>
        </w:rPr>
      </w:pPr>
    </w:p>
    <w:p w14:paraId="4E7C2969" w14:textId="77777777" w:rsidR="00797E0F" w:rsidRDefault="00677B59">
      <w:pPr>
        <w:jc w:val="center"/>
        <w:rPr>
          <w:b/>
          <w:sz w:val="24"/>
          <w:szCs w:val="24"/>
        </w:rPr>
      </w:pPr>
      <w:r>
        <w:rPr>
          <w:b/>
          <w:sz w:val="24"/>
          <w:szCs w:val="24"/>
        </w:rPr>
        <w:t>Článek VI</w:t>
      </w:r>
    </w:p>
    <w:p w14:paraId="0C4D73DF" w14:textId="77777777" w:rsidR="00797E0F" w:rsidRDefault="00677B59">
      <w:pPr>
        <w:jc w:val="center"/>
        <w:rPr>
          <w:b/>
          <w:color w:val="000000"/>
          <w:sz w:val="24"/>
          <w:szCs w:val="24"/>
        </w:rPr>
      </w:pPr>
      <w:r>
        <w:rPr>
          <w:b/>
          <w:color w:val="000000"/>
          <w:sz w:val="24"/>
          <w:szCs w:val="24"/>
        </w:rPr>
        <w:t>Ukončení smlouvy a sankce</w:t>
      </w:r>
    </w:p>
    <w:p w14:paraId="1262EA83" w14:textId="77777777" w:rsidR="00797E0F" w:rsidRDefault="00677B59">
      <w:pPr>
        <w:numPr>
          <w:ilvl w:val="0"/>
          <w:numId w:val="5"/>
        </w:numPr>
        <w:jc w:val="both"/>
        <w:rPr>
          <w:sz w:val="24"/>
          <w:szCs w:val="24"/>
        </w:rPr>
      </w:pPr>
      <w:r>
        <w:rPr>
          <w:sz w:val="24"/>
          <w:szCs w:val="24"/>
        </w:rPr>
        <w:t>Zhotovitel se zavazuje, že v případě prodlení s dokončením díla zaplatí objednateli smluvní pokutu ve výši 1.000,- Kč za každý den prodlení. Zhotovitel není v prodlení v případě, kdy nemohl na díle pokračovat z důvodu, že objednatel neposkytl řádně a včas součinnost, k níž se zavázal v této smlouvě.</w:t>
      </w:r>
    </w:p>
    <w:p w14:paraId="77CB556A" w14:textId="77777777" w:rsidR="00797E0F" w:rsidRDefault="00677B59">
      <w:pPr>
        <w:numPr>
          <w:ilvl w:val="0"/>
          <w:numId w:val="5"/>
        </w:numPr>
        <w:ind w:right="-48"/>
        <w:jc w:val="both"/>
        <w:rPr>
          <w:sz w:val="24"/>
          <w:szCs w:val="24"/>
        </w:rPr>
      </w:pPr>
      <w:r>
        <w:rPr>
          <w:sz w:val="24"/>
          <w:szCs w:val="24"/>
        </w:rPr>
        <w:t>Objednavatel je dále oprávněn požadovat po zhotoviteli úhradu smluvní pokuty, pokud objednavatel odstoupil od smlouvy z důvodu vadného plnění na straně zhotovitele, výše smluvní pokuty činí v takovém případě 5 % z celkové ceny díla.</w:t>
      </w:r>
    </w:p>
    <w:p w14:paraId="4E98BBB1" w14:textId="77777777" w:rsidR="00797E0F" w:rsidRDefault="00677B59">
      <w:pPr>
        <w:numPr>
          <w:ilvl w:val="0"/>
          <w:numId w:val="5"/>
        </w:numPr>
        <w:ind w:right="-48"/>
        <w:jc w:val="both"/>
        <w:rPr>
          <w:sz w:val="24"/>
          <w:szCs w:val="24"/>
        </w:rPr>
      </w:pPr>
      <w:r>
        <w:rPr>
          <w:sz w:val="24"/>
          <w:szCs w:val="24"/>
        </w:rPr>
        <w:t>V případě prodlení objednavatele s placením faktur uhradí objednavatel zhotoviteli úrok z prodlení ve výši stanovené právními předpisy.</w:t>
      </w:r>
    </w:p>
    <w:p w14:paraId="54655CA0" w14:textId="77777777" w:rsidR="00797E0F" w:rsidRDefault="00677B59">
      <w:pPr>
        <w:numPr>
          <w:ilvl w:val="0"/>
          <w:numId w:val="5"/>
        </w:numPr>
        <w:jc w:val="both"/>
        <w:rPr>
          <w:sz w:val="24"/>
          <w:szCs w:val="24"/>
        </w:rPr>
      </w:pPr>
      <w:r>
        <w:rPr>
          <w:sz w:val="24"/>
          <w:szCs w:val="24"/>
        </w:rPr>
        <w:t>Smluvní pokuty se sčítají a nezapočítávají se na náhradu škody. Zaplacením smluvní pokuty není dotčen nárok objednatele na náhradu škody v plné výši.</w:t>
      </w:r>
    </w:p>
    <w:p w14:paraId="4F9F5278" w14:textId="77777777" w:rsidR="00797E0F" w:rsidRDefault="00677B59">
      <w:pPr>
        <w:numPr>
          <w:ilvl w:val="0"/>
          <w:numId w:val="5"/>
        </w:numPr>
        <w:jc w:val="both"/>
        <w:rPr>
          <w:sz w:val="24"/>
          <w:szCs w:val="24"/>
        </w:rPr>
      </w:pPr>
      <w:r>
        <w:rPr>
          <w:sz w:val="24"/>
          <w:szCs w:val="24"/>
        </w:rPr>
        <w:t>Smlouva zaniká:</w:t>
      </w:r>
    </w:p>
    <w:p w14:paraId="2E2BB876" w14:textId="77777777" w:rsidR="00797E0F" w:rsidRDefault="00677B59">
      <w:pPr>
        <w:numPr>
          <w:ilvl w:val="0"/>
          <w:numId w:val="6"/>
        </w:numPr>
        <w:pBdr>
          <w:top w:val="nil"/>
          <w:left w:val="nil"/>
          <w:bottom w:val="nil"/>
          <w:right w:val="nil"/>
          <w:between w:val="nil"/>
        </w:pBdr>
        <w:jc w:val="both"/>
        <w:rPr>
          <w:color w:val="000000"/>
          <w:sz w:val="24"/>
          <w:szCs w:val="24"/>
        </w:rPr>
      </w:pPr>
      <w:r>
        <w:rPr>
          <w:color w:val="000000"/>
          <w:sz w:val="24"/>
          <w:szCs w:val="24"/>
        </w:rPr>
        <w:t xml:space="preserve">dohodou smluvních stran za podmínek stanovených smlouvou, </w:t>
      </w:r>
    </w:p>
    <w:p w14:paraId="5E504BCD" w14:textId="77777777" w:rsidR="00797E0F" w:rsidRDefault="00677B59">
      <w:pPr>
        <w:numPr>
          <w:ilvl w:val="0"/>
          <w:numId w:val="6"/>
        </w:numPr>
        <w:pBdr>
          <w:top w:val="nil"/>
          <w:left w:val="nil"/>
          <w:bottom w:val="nil"/>
          <w:right w:val="nil"/>
          <w:between w:val="nil"/>
        </w:pBdr>
        <w:jc w:val="both"/>
        <w:rPr>
          <w:color w:val="000000"/>
          <w:sz w:val="24"/>
          <w:szCs w:val="24"/>
        </w:rPr>
      </w:pPr>
      <w:r>
        <w:rPr>
          <w:color w:val="000000"/>
          <w:sz w:val="24"/>
          <w:szCs w:val="24"/>
        </w:rPr>
        <w:t xml:space="preserve">výpovědí kterékoliv ze smluvních stran za podmínek stanovených smlouvou, </w:t>
      </w:r>
    </w:p>
    <w:p w14:paraId="4978D582" w14:textId="77777777" w:rsidR="00797E0F" w:rsidRDefault="00677B59">
      <w:pPr>
        <w:numPr>
          <w:ilvl w:val="0"/>
          <w:numId w:val="6"/>
        </w:numPr>
        <w:pBdr>
          <w:top w:val="nil"/>
          <w:left w:val="nil"/>
          <w:bottom w:val="nil"/>
          <w:right w:val="nil"/>
          <w:between w:val="nil"/>
        </w:pBdr>
        <w:jc w:val="both"/>
        <w:rPr>
          <w:color w:val="000000"/>
          <w:sz w:val="24"/>
          <w:szCs w:val="24"/>
        </w:rPr>
      </w:pPr>
      <w:r>
        <w:rPr>
          <w:color w:val="000000"/>
          <w:sz w:val="24"/>
          <w:szCs w:val="24"/>
        </w:rPr>
        <w:t>odstoupením kterékoliv ze smluvní stran v případech, kdy tak stanoví tato smlouva nebi právní předpis.</w:t>
      </w:r>
    </w:p>
    <w:p w14:paraId="3BA3B47E" w14:textId="77777777" w:rsidR="00797E0F" w:rsidRDefault="00677B59">
      <w:pPr>
        <w:numPr>
          <w:ilvl w:val="0"/>
          <w:numId w:val="5"/>
        </w:numPr>
        <w:pBdr>
          <w:top w:val="nil"/>
          <w:left w:val="nil"/>
          <w:bottom w:val="nil"/>
          <w:right w:val="nil"/>
          <w:between w:val="nil"/>
        </w:pBdr>
        <w:jc w:val="both"/>
        <w:rPr>
          <w:color w:val="000000"/>
          <w:sz w:val="24"/>
          <w:szCs w:val="24"/>
        </w:rPr>
      </w:pPr>
      <w:r>
        <w:rPr>
          <w:color w:val="000000"/>
          <w:sz w:val="24"/>
          <w:szCs w:val="24"/>
        </w:rPr>
        <w:t>Dohoda o zániku smlouvy musí být písemná a podepsána oběma smluvními stranami.</w:t>
      </w:r>
    </w:p>
    <w:p w14:paraId="12501E91" w14:textId="77777777" w:rsidR="00797E0F" w:rsidRDefault="00677B59">
      <w:pPr>
        <w:numPr>
          <w:ilvl w:val="0"/>
          <w:numId w:val="5"/>
        </w:numPr>
        <w:pBdr>
          <w:top w:val="nil"/>
          <w:left w:val="nil"/>
          <w:bottom w:val="nil"/>
          <w:right w:val="nil"/>
          <w:between w:val="nil"/>
        </w:pBdr>
        <w:ind w:left="357" w:hanging="357"/>
        <w:jc w:val="both"/>
        <w:rPr>
          <w:color w:val="000000"/>
          <w:sz w:val="24"/>
          <w:szCs w:val="24"/>
        </w:rPr>
      </w:pPr>
      <w:r>
        <w:rPr>
          <w:color w:val="000000"/>
          <w:sz w:val="24"/>
          <w:szCs w:val="24"/>
        </w:rPr>
        <w:t xml:space="preserve">Objednatel je oprávněn smlouvu vypovědět, nastanou-li opodstatněné věcné, finanční nebo technické důvody. </w:t>
      </w:r>
    </w:p>
    <w:p w14:paraId="26B15D85" w14:textId="77777777" w:rsidR="00797E0F" w:rsidRDefault="00677B59">
      <w:pPr>
        <w:pBdr>
          <w:top w:val="nil"/>
          <w:left w:val="nil"/>
          <w:bottom w:val="nil"/>
          <w:right w:val="nil"/>
          <w:between w:val="nil"/>
        </w:pBdr>
        <w:ind w:left="357" w:hanging="357"/>
        <w:jc w:val="both"/>
        <w:rPr>
          <w:color w:val="000000"/>
          <w:sz w:val="24"/>
          <w:szCs w:val="24"/>
        </w:rPr>
      </w:pPr>
      <w:r>
        <w:rPr>
          <w:color w:val="000000"/>
          <w:sz w:val="24"/>
          <w:szCs w:val="24"/>
        </w:rPr>
        <w:t xml:space="preserve">       Za opodstatněné lze považovat zejména:</w:t>
      </w:r>
    </w:p>
    <w:p w14:paraId="7D5D7DAC" w14:textId="77777777" w:rsidR="00797E0F" w:rsidRDefault="00677B59">
      <w:pPr>
        <w:numPr>
          <w:ilvl w:val="0"/>
          <w:numId w:val="7"/>
        </w:numPr>
        <w:pBdr>
          <w:top w:val="nil"/>
          <w:left w:val="nil"/>
          <w:bottom w:val="nil"/>
          <w:right w:val="nil"/>
          <w:between w:val="nil"/>
        </w:pBdr>
        <w:jc w:val="both"/>
        <w:rPr>
          <w:color w:val="000000"/>
          <w:sz w:val="24"/>
          <w:szCs w:val="24"/>
        </w:rPr>
      </w:pPr>
      <w:r>
        <w:rPr>
          <w:color w:val="000000"/>
          <w:sz w:val="24"/>
          <w:szCs w:val="24"/>
        </w:rPr>
        <w:t>finanční důvody – nemožnost hradit náklady spojené s výkonem spolupráce</w:t>
      </w:r>
    </w:p>
    <w:p w14:paraId="06AB1ED5" w14:textId="77777777" w:rsidR="00797E0F" w:rsidRDefault="00677B59">
      <w:pPr>
        <w:numPr>
          <w:ilvl w:val="0"/>
          <w:numId w:val="7"/>
        </w:numPr>
        <w:pBdr>
          <w:top w:val="nil"/>
          <w:left w:val="nil"/>
          <w:bottom w:val="nil"/>
          <w:right w:val="nil"/>
          <w:between w:val="nil"/>
        </w:pBdr>
        <w:jc w:val="both"/>
        <w:rPr>
          <w:color w:val="000000"/>
          <w:sz w:val="24"/>
          <w:szCs w:val="24"/>
        </w:rPr>
      </w:pPr>
      <w:r>
        <w:rPr>
          <w:color w:val="000000"/>
          <w:sz w:val="24"/>
          <w:szCs w:val="24"/>
        </w:rPr>
        <w:t>možnost vzniku škody na exponátu/exponátech.</w:t>
      </w:r>
    </w:p>
    <w:p w14:paraId="6DCA81DB" w14:textId="77777777" w:rsidR="00797E0F" w:rsidRDefault="00677B59">
      <w:pPr>
        <w:numPr>
          <w:ilvl w:val="0"/>
          <w:numId w:val="5"/>
        </w:numPr>
        <w:pBdr>
          <w:top w:val="nil"/>
          <w:left w:val="nil"/>
          <w:bottom w:val="nil"/>
          <w:right w:val="nil"/>
          <w:between w:val="nil"/>
        </w:pBdr>
        <w:ind w:left="357" w:hanging="357"/>
        <w:jc w:val="both"/>
        <w:rPr>
          <w:color w:val="000000"/>
          <w:sz w:val="24"/>
          <w:szCs w:val="24"/>
        </w:rPr>
      </w:pPr>
      <w:r>
        <w:rPr>
          <w:color w:val="000000"/>
          <w:sz w:val="24"/>
          <w:szCs w:val="24"/>
        </w:rPr>
        <w:lastRenderedPageBreak/>
        <w:t xml:space="preserve">Výpověď musí být písemná a musí být doručena druhé smluvní straně. Výpovědní doba činí jeden měsíc a počíná běžet dnem následujícím po dni, v němž byla výpověď doručena druhé smluvní straně. </w:t>
      </w:r>
    </w:p>
    <w:p w14:paraId="0CE49C68" w14:textId="77777777" w:rsidR="00797E0F" w:rsidRDefault="00677B59">
      <w:pPr>
        <w:numPr>
          <w:ilvl w:val="0"/>
          <w:numId w:val="5"/>
        </w:numPr>
        <w:pBdr>
          <w:top w:val="nil"/>
          <w:left w:val="nil"/>
          <w:bottom w:val="nil"/>
          <w:right w:val="nil"/>
          <w:between w:val="nil"/>
        </w:pBdr>
        <w:jc w:val="both"/>
        <w:rPr>
          <w:color w:val="000000"/>
          <w:sz w:val="24"/>
          <w:szCs w:val="24"/>
        </w:rPr>
      </w:pPr>
      <w:r>
        <w:rPr>
          <w:color w:val="000000"/>
          <w:sz w:val="24"/>
          <w:szCs w:val="24"/>
        </w:rPr>
        <w:t>Smluvní strany jsou oprávněny odstoupit od smlouvy, poruší-li druhá smluvní strana ustanovení smlouvy podstatným způsobem nebo hrubě poškodí dobré jméno druhé smluvní strany. Odstoupení od smlouvy nabývá platnosti a účinnosti okamžikem jeho doručení druhé smluvní straně.</w:t>
      </w:r>
    </w:p>
    <w:p w14:paraId="39510059" w14:textId="77777777" w:rsidR="00797E0F" w:rsidRDefault="00797E0F">
      <w:pPr>
        <w:jc w:val="center"/>
        <w:rPr>
          <w:b/>
          <w:sz w:val="24"/>
          <w:szCs w:val="24"/>
        </w:rPr>
      </w:pPr>
    </w:p>
    <w:p w14:paraId="73872381" w14:textId="77777777" w:rsidR="00797E0F" w:rsidRDefault="00797E0F">
      <w:pPr>
        <w:jc w:val="center"/>
        <w:rPr>
          <w:b/>
          <w:sz w:val="24"/>
          <w:szCs w:val="24"/>
        </w:rPr>
      </w:pPr>
    </w:p>
    <w:p w14:paraId="226A0F84" w14:textId="77777777" w:rsidR="00797E0F" w:rsidRDefault="00677B59">
      <w:pPr>
        <w:jc w:val="center"/>
        <w:rPr>
          <w:b/>
          <w:sz w:val="24"/>
          <w:szCs w:val="24"/>
        </w:rPr>
      </w:pPr>
      <w:r>
        <w:rPr>
          <w:b/>
          <w:sz w:val="24"/>
          <w:szCs w:val="24"/>
        </w:rPr>
        <w:t>Článek VII.</w:t>
      </w:r>
    </w:p>
    <w:p w14:paraId="59E1F3F9" w14:textId="77777777" w:rsidR="00797E0F" w:rsidRDefault="00677B59">
      <w:pPr>
        <w:jc w:val="center"/>
        <w:rPr>
          <w:b/>
          <w:sz w:val="24"/>
          <w:szCs w:val="24"/>
        </w:rPr>
      </w:pPr>
      <w:r>
        <w:rPr>
          <w:b/>
          <w:sz w:val="24"/>
          <w:szCs w:val="24"/>
        </w:rPr>
        <w:t>Ostatní ujednání</w:t>
      </w:r>
    </w:p>
    <w:p w14:paraId="4C597A10" w14:textId="77777777" w:rsidR="00797E0F" w:rsidRDefault="00677B59">
      <w:pPr>
        <w:numPr>
          <w:ilvl w:val="0"/>
          <w:numId w:val="8"/>
        </w:numPr>
        <w:jc w:val="both"/>
        <w:rPr>
          <w:sz w:val="24"/>
          <w:szCs w:val="24"/>
        </w:rPr>
      </w:pPr>
      <w:r>
        <w:rPr>
          <w:sz w:val="24"/>
          <w:szCs w:val="24"/>
        </w:rPr>
        <w:t xml:space="preserve">Objednatel i dodavatel se zavazují, že obchodní a technické informace, které jim byly svěřeny druhou smluvní stranou, se považují za důvěrné, nezpřístupní je třetím osobám bez písemného souhlasu druhé smluvní strany a nepoužijí tyto informace k jiným účelům než k plnění podmínek této smlouvy. Zhotovitel bude při plnění předmětu této smlouvy postupovat s odbornou péčí. Zavazuje se dodržovat obecně závazné právní předpisy, technické normy a podmínky této smlouvy. </w:t>
      </w:r>
    </w:p>
    <w:p w14:paraId="1FAC9327" w14:textId="77777777" w:rsidR="00797E0F" w:rsidRDefault="00677B59">
      <w:pPr>
        <w:numPr>
          <w:ilvl w:val="0"/>
          <w:numId w:val="8"/>
        </w:numPr>
        <w:pBdr>
          <w:top w:val="nil"/>
          <w:left w:val="nil"/>
          <w:bottom w:val="nil"/>
          <w:right w:val="nil"/>
          <w:between w:val="nil"/>
        </w:pBdr>
        <w:jc w:val="both"/>
        <w:rPr>
          <w:color w:val="000000"/>
          <w:sz w:val="24"/>
          <w:szCs w:val="24"/>
        </w:rPr>
      </w:pPr>
      <w:r>
        <w:rPr>
          <w:color w:val="000000"/>
          <w:sz w:val="24"/>
          <w:szCs w:val="24"/>
        </w:rPr>
        <w:t xml:space="preserve">Tato smlouva nabývá platnosti dnem jejího podpisu poslední ze smluvních stran a účinnosti dnem jejího uveřejnění v registru smluv. </w:t>
      </w:r>
    </w:p>
    <w:p w14:paraId="3A9602C1" w14:textId="77777777" w:rsidR="00797E0F" w:rsidRDefault="00677B59">
      <w:pPr>
        <w:numPr>
          <w:ilvl w:val="0"/>
          <w:numId w:val="8"/>
        </w:numPr>
        <w:jc w:val="both"/>
        <w:rPr>
          <w:sz w:val="24"/>
          <w:szCs w:val="24"/>
        </w:rPr>
      </w:pPr>
      <w:r>
        <w:rPr>
          <w:sz w:val="24"/>
          <w:szCs w:val="24"/>
        </w:rPr>
        <w:t>Práva a povinnosti smluvních stran, neupravené výslovně touto smlouvou, se řídí ustanoveními občanského zákoníku.</w:t>
      </w:r>
    </w:p>
    <w:p w14:paraId="27F479CF" w14:textId="77777777" w:rsidR="00797E0F" w:rsidRDefault="00677B59">
      <w:pPr>
        <w:numPr>
          <w:ilvl w:val="0"/>
          <w:numId w:val="8"/>
        </w:numPr>
        <w:jc w:val="both"/>
        <w:rPr>
          <w:sz w:val="24"/>
          <w:szCs w:val="24"/>
        </w:rPr>
      </w:pPr>
      <w:r>
        <w:rPr>
          <w:sz w:val="24"/>
          <w:szCs w:val="24"/>
        </w:rPr>
        <w:t>Tato smlouva bude podepsána elektronicky.</w:t>
      </w:r>
    </w:p>
    <w:p w14:paraId="68F1CFEA" w14:textId="77777777" w:rsidR="00797E0F" w:rsidRDefault="00677B59">
      <w:pPr>
        <w:numPr>
          <w:ilvl w:val="0"/>
          <w:numId w:val="8"/>
        </w:numPr>
        <w:jc w:val="both"/>
        <w:rPr>
          <w:sz w:val="24"/>
          <w:szCs w:val="24"/>
        </w:rPr>
      </w:pPr>
      <w:r>
        <w:rPr>
          <w:sz w:val="24"/>
          <w:szCs w:val="24"/>
        </w:rPr>
        <w:t xml:space="preserve">Tuto smlouvu lze měnit a doplňovat pouze číslovanými písemnými dodatky, podepsanými oprávněnými zástupci obou smluvních stran na jedné listině. </w:t>
      </w:r>
    </w:p>
    <w:p w14:paraId="1FC23C6B" w14:textId="77777777" w:rsidR="00797E0F" w:rsidRDefault="00677B59">
      <w:pPr>
        <w:numPr>
          <w:ilvl w:val="0"/>
          <w:numId w:val="8"/>
        </w:numPr>
        <w:jc w:val="both"/>
        <w:rPr>
          <w:sz w:val="24"/>
          <w:szCs w:val="24"/>
        </w:rPr>
      </w:pPr>
      <w:r>
        <w:rPr>
          <w:sz w:val="24"/>
          <w:szCs w:val="24"/>
        </w:rPr>
        <w:t>Smluvní strany prohlašují, že je jim znám obsah této smlouvy včetně příloh, že s jejím obsahem souhlasí, a že smlouvu uzavírají na základě svobodné vůle, nikoliv v tísni či za nevýhodných podmínek.</w:t>
      </w:r>
    </w:p>
    <w:p w14:paraId="7994AABC" w14:textId="77777777" w:rsidR="00797E0F" w:rsidRDefault="00797E0F">
      <w:pPr>
        <w:pBdr>
          <w:top w:val="nil"/>
          <w:left w:val="nil"/>
          <w:bottom w:val="nil"/>
          <w:right w:val="nil"/>
          <w:between w:val="nil"/>
        </w:pBdr>
        <w:jc w:val="both"/>
        <w:rPr>
          <w:color w:val="000000"/>
          <w:sz w:val="24"/>
          <w:szCs w:val="24"/>
        </w:rPr>
      </w:pPr>
    </w:p>
    <w:p w14:paraId="5766F4A4" w14:textId="77777777" w:rsidR="00797E0F" w:rsidRDefault="00797E0F">
      <w:pPr>
        <w:pBdr>
          <w:top w:val="nil"/>
          <w:left w:val="nil"/>
          <w:bottom w:val="nil"/>
          <w:right w:val="nil"/>
          <w:between w:val="nil"/>
        </w:pBdr>
        <w:jc w:val="both"/>
        <w:rPr>
          <w:color w:val="000000"/>
          <w:sz w:val="24"/>
          <w:szCs w:val="24"/>
        </w:rPr>
      </w:pPr>
    </w:p>
    <w:p w14:paraId="23C42BA5" w14:textId="77777777" w:rsidR="00797E0F" w:rsidRDefault="00677B59" w:rsidP="002456AD">
      <w:pPr>
        <w:pBdr>
          <w:top w:val="nil"/>
          <w:left w:val="nil"/>
          <w:bottom w:val="nil"/>
          <w:right w:val="nil"/>
          <w:between w:val="nil"/>
        </w:pBdr>
        <w:spacing w:after="1080"/>
        <w:jc w:val="both"/>
        <w:rPr>
          <w:color w:val="000000"/>
          <w:sz w:val="24"/>
          <w:szCs w:val="24"/>
        </w:rPr>
      </w:pPr>
      <w:r>
        <w:rPr>
          <w:color w:val="000000"/>
          <w:sz w:val="24"/>
          <w:szCs w:val="24"/>
        </w:rPr>
        <w:t>V Praze dne dle elektronického podpisu</w:t>
      </w:r>
    </w:p>
    <w:p w14:paraId="37CB1A48" w14:textId="77777777" w:rsidR="00797E0F" w:rsidRDefault="00797E0F">
      <w:pPr>
        <w:pBdr>
          <w:top w:val="nil"/>
          <w:left w:val="nil"/>
          <w:bottom w:val="nil"/>
          <w:right w:val="nil"/>
          <w:between w:val="nil"/>
        </w:pBdr>
        <w:jc w:val="both"/>
        <w:rPr>
          <w:color w:val="000000"/>
          <w:sz w:val="24"/>
          <w:szCs w:val="24"/>
        </w:rPr>
      </w:pPr>
    </w:p>
    <w:p w14:paraId="05BBFE9F" w14:textId="77777777" w:rsidR="00797E0F" w:rsidRDefault="00797E0F">
      <w:pPr>
        <w:pBdr>
          <w:top w:val="nil"/>
          <w:left w:val="nil"/>
          <w:bottom w:val="nil"/>
          <w:right w:val="nil"/>
          <w:between w:val="nil"/>
        </w:pBdr>
        <w:jc w:val="both"/>
        <w:rPr>
          <w:color w:val="000000"/>
          <w:sz w:val="24"/>
          <w:szCs w:val="24"/>
        </w:rPr>
      </w:pPr>
    </w:p>
    <w:p w14:paraId="1823D1A9" w14:textId="77777777" w:rsidR="00797E0F" w:rsidRDefault="00797E0F">
      <w:pPr>
        <w:pBdr>
          <w:top w:val="nil"/>
          <w:left w:val="nil"/>
          <w:bottom w:val="nil"/>
          <w:right w:val="nil"/>
          <w:between w:val="nil"/>
        </w:pBdr>
        <w:jc w:val="both"/>
        <w:rPr>
          <w:color w:val="000000"/>
          <w:sz w:val="24"/>
          <w:szCs w:val="24"/>
        </w:rPr>
      </w:pPr>
    </w:p>
    <w:p w14:paraId="312F0734" w14:textId="77777777" w:rsidR="00797E0F" w:rsidRDefault="00677B59">
      <w:pPr>
        <w:pBdr>
          <w:top w:val="nil"/>
          <w:left w:val="nil"/>
          <w:bottom w:val="nil"/>
          <w:right w:val="nil"/>
          <w:between w:val="nil"/>
        </w:pBdr>
        <w:jc w:val="both"/>
        <w:rPr>
          <w:color w:val="000000"/>
          <w:sz w:val="24"/>
          <w:szCs w:val="24"/>
        </w:rPr>
      </w:pPr>
      <w:r>
        <w:rPr>
          <w:color w:val="000000"/>
          <w:sz w:val="24"/>
          <w:szCs w:val="24"/>
        </w:rPr>
        <w:t>______________________</w:t>
      </w:r>
      <w:r>
        <w:rPr>
          <w:color w:val="000000"/>
          <w:sz w:val="24"/>
          <w:szCs w:val="24"/>
        </w:rPr>
        <w:tab/>
      </w:r>
      <w:r>
        <w:rPr>
          <w:color w:val="000000"/>
          <w:sz w:val="24"/>
          <w:szCs w:val="24"/>
        </w:rPr>
        <w:tab/>
      </w:r>
      <w:r>
        <w:rPr>
          <w:color w:val="000000"/>
          <w:sz w:val="24"/>
          <w:szCs w:val="24"/>
        </w:rPr>
        <w:tab/>
      </w:r>
      <w:r>
        <w:rPr>
          <w:color w:val="000000"/>
          <w:sz w:val="24"/>
          <w:szCs w:val="24"/>
        </w:rPr>
        <w:tab/>
        <w:t>_______________________</w:t>
      </w:r>
    </w:p>
    <w:p w14:paraId="74342251" w14:textId="77777777" w:rsidR="00797E0F" w:rsidRDefault="00677B59">
      <w:pPr>
        <w:pBdr>
          <w:top w:val="nil"/>
          <w:left w:val="nil"/>
          <w:bottom w:val="nil"/>
          <w:right w:val="nil"/>
          <w:between w:val="nil"/>
        </w:pBdr>
        <w:jc w:val="both"/>
        <w:rPr>
          <w:sz w:val="24"/>
          <w:szCs w:val="24"/>
        </w:rPr>
      </w:pPr>
      <w:r>
        <w:rPr>
          <w:color w:val="000000"/>
          <w:sz w:val="24"/>
          <w:szCs w:val="24"/>
        </w:rPr>
        <w:t>Mgr. Martin Sekera, Ph.D.</w:t>
      </w:r>
      <w:r>
        <w:rPr>
          <w:color w:val="000000"/>
          <w:sz w:val="24"/>
          <w:szCs w:val="24"/>
        </w:rPr>
        <w:tab/>
      </w:r>
      <w:r>
        <w:rPr>
          <w:color w:val="000000"/>
          <w:sz w:val="24"/>
          <w:szCs w:val="24"/>
        </w:rPr>
        <w:tab/>
      </w:r>
      <w:r>
        <w:rPr>
          <w:color w:val="000000"/>
          <w:sz w:val="24"/>
          <w:szCs w:val="24"/>
        </w:rPr>
        <w:tab/>
      </w:r>
      <w:r>
        <w:rPr>
          <w:color w:val="000000"/>
          <w:sz w:val="24"/>
          <w:szCs w:val="24"/>
        </w:rPr>
        <w:tab/>
        <w:t>Pavel Kocourek</w:t>
      </w:r>
      <w:r>
        <w:rPr>
          <w:color w:val="000000"/>
          <w:sz w:val="24"/>
          <w:szCs w:val="24"/>
        </w:rPr>
        <w:tab/>
      </w:r>
    </w:p>
    <w:p w14:paraId="2D440DD4" w14:textId="4830CD9D" w:rsidR="00797E0F" w:rsidRDefault="00CE232F">
      <w:pPr>
        <w:pBdr>
          <w:top w:val="nil"/>
          <w:left w:val="nil"/>
          <w:bottom w:val="nil"/>
          <w:right w:val="nil"/>
          <w:between w:val="nil"/>
        </w:pBdr>
        <w:jc w:val="both"/>
        <w:rPr>
          <w:sz w:val="24"/>
          <w:szCs w:val="24"/>
        </w:rPr>
      </w:pPr>
      <w:r>
        <w:rPr>
          <w:color w:val="000000"/>
          <w:sz w:val="24"/>
          <w:szCs w:val="24"/>
        </w:rPr>
        <w:t>ředitel Knihovny</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jednatel</w:t>
      </w:r>
      <w:r>
        <w:rPr>
          <w:color w:val="000000"/>
          <w:sz w:val="24"/>
          <w:szCs w:val="24"/>
        </w:rPr>
        <w:tab/>
      </w:r>
      <w:r>
        <w:rPr>
          <w:color w:val="000000"/>
          <w:sz w:val="24"/>
          <w:szCs w:val="24"/>
        </w:rPr>
        <w:tab/>
      </w:r>
    </w:p>
    <w:p w14:paraId="26D35635" w14:textId="77777777" w:rsidR="00797E0F" w:rsidRDefault="00797E0F">
      <w:pPr>
        <w:pBdr>
          <w:top w:val="nil"/>
          <w:left w:val="nil"/>
          <w:bottom w:val="nil"/>
          <w:right w:val="nil"/>
          <w:between w:val="nil"/>
        </w:pBdr>
        <w:jc w:val="both"/>
        <w:rPr>
          <w:sz w:val="24"/>
          <w:szCs w:val="24"/>
        </w:rPr>
      </w:pPr>
    </w:p>
    <w:p w14:paraId="149F0114" w14:textId="77777777" w:rsidR="00797E0F" w:rsidRDefault="00677B59">
      <w:pPr>
        <w:rPr>
          <w:sz w:val="24"/>
          <w:szCs w:val="24"/>
        </w:rPr>
      </w:pPr>
      <w:r>
        <w:br w:type="page"/>
      </w:r>
    </w:p>
    <w:p w14:paraId="32F91D3B" w14:textId="77777777" w:rsidR="00797E0F" w:rsidRDefault="00677B59">
      <w:pPr>
        <w:rPr>
          <w:sz w:val="24"/>
          <w:szCs w:val="24"/>
        </w:rPr>
      </w:pPr>
      <w:r>
        <w:rPr>
          <w:sz w:val="24"/>
          <w:szCs w:val="24"/>
        </w:rPr>
        <w:lastRenderedPageBreak/>
        <w:t>Příloha č. 1 – Položkový rozpočet</w:t>
      </w:r>
    </w:p>
    <w:p w14:paraId="19E3266B" w14:textId="77777777" w:rsidR="00797E0F" w:rsidRDefault="00797E0F">
      <w:pPr>
        <w:rPr>
          <w:sz w:val="24"/>
          <w:szCs w:val="24"/>
        </w:rPr>
      </w:pPr>
    </w:p>
    <w:tbl>
      <w:tblPr>
        <w:tblStyle w:val="a"/>
        <w:tblW w:w="78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8"/>
        <w:gridCol w:w="2610"/>
        <w:gridCol w:w="2162"/>
        <w:gridCol w:w="2090"/>
      </w:tblGrid>
      <w:tr w:rsidR="00797E0F" w14:paraId="233D0D9B" w14:textId="77777777">
        <w:tc>
          <w:tcPr>
            <w:tcW w:w="968" w:type="dxa"/>
          </w:tcPr>
          <w:p w14:paraId="3A45A360" w14:textId="77777777" w:rsidR="00797E0F" w:rsidRDefault="00677B59">
            <w:pPr>
              <w:rPr>
                <w:sz w:val="24"/>
                <w:szCs w:val="24"/>
              </w:rPr>
            </w:pPr>
            <w:r>
              <w:rPr>
                <w:sz w:val="24"/>
                <w:szCs w:val="24"/>
              </w:rPr>
              <w:t xml:space="preserve">Položka </w:t>
            </w:r>
          </w:p>
        </w:tc>
        <w:tc>
          <w:tcPr>
            <w:tcW w:w="2610" w:type="dxa"/>
          </w:tcPr>
          <w:p w14:paraId="1C995ED0" w14:textId="77777777" w:rsidR="00797E0F" w:rsidRDefault="00677B59">
            <w:pPr>
              <w:rPr>
                <w:sz w:val="24"/>
                <w:szCs w:val="24"/>
              </w:rPr>
            </w:pPr>
            <w:r>
              <w:rPr>
                <w:sz w:val="24"/>
                <w:szCs w:val="24"/>
              </w:rPr>
              <w:t>Popis</w:t>
            </w:r>
          </w:p>
        </w:tc>
        <w:tc>
          <w:tcPr>
            <w:tcW w:w="2162" w:type="dxa"/>
          </w:tcPr>
          <w:p w14:paraId="42D7093C" w14:textId="77777777" w:rsidR="00797E0F" w:rsidRDefault="00677B59">
            <w:pPr>
              <w:rPr>
                <w:sz w:val="24"/>
                <w:szCs w:val="24"/>
              </w:rPr>
            </w:pPr>
            <w:r>
              <w:rPr>
                <w:sz w:val="24"/>
                <w:szCs w:val="24"/>
              </w:rPr>
              <w:t>Rozsah práce</w:t>
            </w:r>
          </w:p>
        </w:tc>
        <w:tc>
          <w:tcPr>
            <w:tcW w:w="2090" w:type="dxa"/>
          </w:tcPr>
          <w:p w14:paraId="4E8A1B10" w14:textId="77777777" w:rsidR="00797E0F" w:rsidRDefault="00677B59">
            <w:pPr>
              <w:rPr>
                <w:sz w:val="24"/>
                <w:szCs w:val="24"/>
              </w:rPr>
            </w:pPr>
            <w:r>
              <w:rPr>
                <w:sz w:val="24"/>
                <w:szCs w:val="24"/>
              </w:rPr>
              <w:t>Cena bez DPH</w:t>
            </w:r>
          </w:p>
        </w:tc>
      </w:tr>
      <w:tr w:rsidR="00797E0F" w14:paraId="28D5EAF6" w14:textId="77777777">
        <w:tc>
          <w:tcPr>
            <w:tcW w:w="968" w:type="dxa"/>
          </w:tcPr>
          <w:p w14:paraId="783FB026" w14:textId="77777777" w:rsidR="00797E0F" w:rsidRDefault="00677B59">
            <w:pPr>
              <w:rPr>
                <w:sz w:val="24"/>
                <w:szCs w:val="24"/>
              </w:rPr>
            </w:pPr>
            <w:r>
              <w:rPr>
                <w:sz w:val="24"/>
                <w:szCs w:val="24"/>
              </w:rPr>
              <w:t>1.</w:t>
            </w:r>
          </w:p>
        </w:tc>
        <w:tc>
          <w:tcPr>
            <w:tcW w:w="2610" w:type="dxa"/>
          </w:tcPr>
          <w:p w14:paraId="3E558E87" w14:textId="77777777" w:rsidR="00797E0F" w:rsidRDefault="00677B59">
            <w:pPr>
              <w:rPr>
                <w:sz w:val="24"/>
                <w:szCs w:val="24"/>
              </w:rPr>
            </w:pPr>
            <w:r>
              <w:rPr>
                <w:sz w:val="24"/>
                <w:szCs w:val="24"/>
              </w:rPr>
              <w:t>Instalace prostředí systému ProArc, základní konfigurace a zaškolení (neomezený počet licencí)</w:t>
            </w:r>
          </w:p>
        </w:tc>
        <w:tc>
          <w:tcPr>
            <w:tcW w:w="2162" w:type="dxa"/>
          </w:tcPr>
          <w:p w14:paraId="73499A18" w14:textId="77777777" w:rsidR="00797E0F" w:rsidRDefault="00677B59">
            <w:pPr>
              <w:rPr>
                <w:sz w:val="24"/>
                <w:szCs w:val="24"/>
              </w:rPr>
            </w:pPr>
            <w:r>
              <w:rPr>
                <w:sz w:val="24"/>
                <w:szCs w:val="24"/>
              </w:rPr>
              <w:t>3 MD</w:t>
            </w:r>
          </w:p>
        </w:tc>
        <w:tc>
          <w:tcPr>
            <w:tcW w:w="2090" w:type="dxa"/>
          </w:tcPr>
          <w:p w14:paraId="69A98EBD" w14:textId="77777777" w:rsidR="00797E0F" w:rsidRDefault="00677B59">
            <w:pPr>
              <w:rPr>
                <w:sz w:val="24"/>
                <w:szCs w:val="24"/>
              </w:rPr>
            </w:pPr>
            <w:r>
              <w:rPr>
                <w:sz w:val="24"/>
                <w:szCs w:val="24"/>
              </w:rPr>
              <w:t>32.400</w:t>
            </w:r>
          </w:p>
        </w:tc>
      </w:tr>
      <w:tr w:rsidR="00797E0F" w14:paraId="10CC26FC" w14:textId="77777777">
        <w:tc>
          <w:tcPr>
            <w:tcW w:w="968" w:type="dxa"/>
          </w:tcPr>
          <w:p w14:paraId="31A3B456" w14:textId="77777777" w:rsidR="00797E0F" w:rsidRDefault="00677B59">
            <w:pPr>
              <w:rPr>
                <w:sz w:val="24"/>
                <w:szCs w:val="24"/>
              </w:rPr>
            </w:pPr>
            <w:r>
              <w:rPr>
                <w:sz w:val="24"/>
                <w:szCs w:val="24"/>
              </w:rPr>
              <w:t>2.</w:t>
            </w:r>
          </w:p>
        </w:tc>
        <w:tc>
          <w:tcPr>
            <w:tcW w:w="2610" w:type="dxa"/>
          </w:tcPr>
          <w:p w14:paraId="704A2054" w14:textId="77777777" w:rsidR="00797E0F" w:rsidRDefault="00677B59">
            <w:pPr>
              <w:rPr>
                <w:sz w:val="24"/>
                <w:szCs w:val="24"/>
              </w:rPr>
            </w:pPr>
            <w:r>
              <w:rPr>
                <w:sz w:val="24"/>
                <w:szCs w:val="24"/>
              </w:rPr>
              <w:t>Napojení na systém K7 KKPCE, Pero OCR a URN:NBN</w:t>
            </w:r>
          </w:p>
        </w:tc>
        <w:tc>
          <w:tcPr>
            <w:tcW w:w="2162" w:type="dxa"/>
          </w:tcPr>
          <w:p w14:paraId="66C73598" w14:textId="77777777" w:rsidR="00797E0F" w:rsidRDefault="00677B59">
            <w:pPr>
              <w:rPr>
                <w:sz w:val="24"/>
                <w:szCs w:val="24"/>
              </w:rPr>
            </w:pPr>
            <w:r>
              <w:rPr>
                <w:sz w:val="24"/>
                <w:szCs w:val="24"/>
              </w:rPr>
              <w:t>2 MD</w:t>
            </w:r>
          </w:p>
        </w:tc>
        <w:tc>
          <w:tcPr>
            <w:tcW w:w="2090" w:type="dxa"/>
          </w:tcPr>
          <w:p w14:paraId="035FE476" w14:textId="77777777" w:rsidR="00797E0F" w:rsidRDefault="00677B59">
            <w:pPr>
              <w:rPr>
                <w:sz w:val="24"/>
                <w:szCs w:val="24"/>
              </w:rPr>
            </w:pPr>
            <w:r>
              <w:rPr>
                <w:sz w:val="24"/>
                <w:szCs w:val="24"/>
              </w:rPr>
              <w:t>21.600</w:t>
            </w:r>
          </w:p>
        </w:tc>
      </w:tr>
      <w:tr w:rsidR="00797E0F" w14:paraId="33B1C907" w14:textId="77777777">
        <w:tc>
          <w:tcPr>
            <w:tcW w:w="968" w:type="dxa"/>
          </w:tcPr>
          <w:p w14:paraId="03005A28" w14:textId="77777777" w:rsidR="00797E0F" w:rsidRDefault="00677B59">
            <w:pPr>
              <w:rPr>
                <w:sz w:val="24"/>
                <w:szCs w:val="24"/>
              </w:rPr>
            </w:pPr>
            <w:r>
              <w:rPr>
                <w:sz w:val="24"/>
                <w:szCs w:val="24"/>
              </w:rPr>
              <w:t>3.</w:t>
            </w:r>
          </w:p>
        </w:tc>
        <w:tc>
          <w:tcPr>
            <w:tcW w:w="2610" w:type="dxa"/>
          </w:tcPr>
          <w:p w14:paraId="3F8F6462" w14:textId="77777777" w:rsidR="00797E0F" w:rsidRDefault="00677B59">
            <w:pPr>
              <w:rPr>
                <w:sz w:val="24"/>
                <w:szCs w:val="24"/>
              </w:rPr>
            </w:pPr>
            <w:r>
              <w:rPr>
                <w:sz w:val="24"/>
                <w:szCs w:val="24"/>
              </w:rPr>
              <w:t>Správa systému ProArc v rozsahu 1 MD/m, 5 let</w:t>
            </w:r>
          </w:p>
        </w:tc>
        <w:tc>
          <w:tcPr>
            <w:tcW w:w="2162" w:type="dxa"/>
          </w:tcPr>
          <w:p w14:paraId="7B0AD1C0" w14:textId="77777777" w:rsidR="00797E0F" w:rsidRDefault="00677B59">
            <w:pPr>
              <w:rPr>
                <w:sz w:val="24"/>
                <w:szCs w:val="24"/>
              </w:rPr>
            </w:pPr>
            <w:r>
              <w:rPr>
                <w:sz w:val="24"/>
                <w:szCs w:val="24"/>
              </w:rPr>
              <w:t>60 MD</w:t>
            </w:r>
          </w:p>
        </w:tc>
        <w:tc>
          <w:tcPr>
            <w:tcW w:w="2090" w:type="dxa"/>
          </w:tcPr>
          <w:p w14:paraId="691DB4E6" w14:textId="77777777" w:rsidR="00797E0F" w:rsidRDefault="00677B59">
            <w:pPr>
              <w:rPr>
                <w:sz w:val="24"/>
                <w:szCs w:val="24"/>
              </w:rPr>
            </w:pPr>
            <w:r>
              <w:rPr>
                <w:sz w:val="24"/>
                <w:szCs w:val="24"/>
              </w:rPr>
              <w:t>648.000</w:t>
            </w:r>
          </w:p>
        </w:tc>
      </w:tr>
      <w:tr w:rsidR="00797E0F" w14:paraId="426588FF" w14:textId="77777777">
        <w:tc>
          <w:tcPr>
            <w:tcW w:w="968" w:type="dxa"/>
          </w:tcPr>
          <w:p w14:paraId="4679D37B" w14:textId="77777777" w:rsidR="00797E0F" w:rsidRDefault="00797E0F">
            <w:pPr>
              <w:rPr>
                <w:sz w:val="24"/>
                <w:szCs w:val="24"/>
              </w:rPr>
            </w:pPr>
          </w:p>
        </w:tc>
        <w:tc>
          <w:tcPr>
            <w:tcW w:w="2610" w:type="dxa"/>
          </w:tcPr>
          <w:p w14:paraId="4AB2E987" w14:textId="77777777" w:rsidR="00797E0F" w:rsidRDefault="00677B59">
            <w:pPr>
              <w:rPr>
                <w:sz w:val="24"/>
                <w:szCs w:val="24"/>
              </w:rPr>
            </w:pPr>
            <w:r>
              <w:rPr>
                <w:sz w:val="24"/>
                <w:szCs w:val="24"/>
              </w:rPr>
              <w:t>Cena celkem bez DPH</w:t>
            </w:r>
          </w:p>
        </w:tc>
        <w:tc>
          <w:tcPr>
            <w:tcW w:w="2162" w:type="dxa"/>
          </w:tcPr>
          <w:p w14:paraId="4CB5C3B2" w14:textId="77777777" w:rsidR="00797E0F" w:rsidRDefault="00797E0F">
            <w:pPr>
              <w:rPr>
                <w:b/>
                <w:sz w:val="24"/>
                <w:szCs w:val="24"/>
              </w:rPr>
            </w:pPr>
          </w:p>
        </w:tc>
        <w:tc>
          <w:tcPr>
            <w:tcW w:w="2090" w:type="dxa"/>
          </w:tcPr>
          <w:p w14:paraId="742173D4" w14:textId="77777777" w:rsidR="00797E0F" w:rsidRDefault="00677B59">
            <w:pPr>
              <w:rPr>
                <w:b/>
                <w:sz w:val="24"/>
                <w:szCs w:val="24"/>
              </w:rPr>
            </w:pPr>
            <w:r>
              <w:rPr>
                <w:b/>
                <w:sz w:val="24"/>
                <w:szCs w:val="24"/>
              </w:rPr>
              <w:t xml:space="preserve">702.000 CZK </w:t>
            </w:r>
          </w:p>
        </w:tc>
      </w:tr>
      <w:tr w:rsidR="00797E0F" w14:paraId="453AA7DF" w14:textId="77777777">
        <w:tc>
          <w:tcPr>
            <w:tcW w:w="968" w:type="dxa"/>
          </w:tcPr>
          <w:p w14:paraId="4C457794" w14:textId="77777777" w:rsidR="00797E0F" w:rsidRDefault="00797E0F">
            <w:pPr>
              <w:rPr>
                <w:sz w:val="24"/>
                <w:szCs w:val="24"/>
              </w:rPr>
            </w:pPr>
          </w:p>
        </w:tc>
        <w:tc>
          <w:tcPr>
            <w:tcW w:w="2610" w:type="dxa"/>
          </w:tcPr>
          <w:p w14:paraId="2009338C" w14:textId="77777777" w:rsidR="00797E0F" w:rsidRDefault="00677B59">
            <w:pPr>
              <w:rPr>
                <w:sz w:val="24"/>
                <w:szCs w:val="24"/>
              </w:rPr>
            </w:pPr>
            <w:r>
              <w:rPr>
                <w:sz w:val="24"/>
                <w:szCs w:val="24"/>
              </w:rPr>
              <w:t>DPH 21 %</w:t>
            </w:r>
          </w:p>
        </w:tc>
        <w:tc>
          <w:tcPr>
            <w:tcW w:w="2162" w:type="dxa"/>
          </w:tcPr>
          <w:p w14:paraId="1C0B3FFA" w14:textId="77777777" w:rsidR="00797E0F" w:rsidRDefault="00797E0F">
            <w:pPr>
              <w:rPr>
                <w:sz w:val="24"/>
                <w:szCs w:val="24"/>
              </w:rPr>
            </w:pPr>
          </w:p>
        </w:tc>
        <w:tc>
          <w:tcPr>
            <w:tcW w:w="2090" w:type="dxa"/>
          </w:tcPr>
          <w:p w14:paraId="76A2238C" w14:textId="77777777" w:rsidR="00797E0F" w:rsidRDefault="00677B59">
            <w:pPr>
              <w:rPr>
                <w:sz w:val="24"/>
                <w:szCs w:val="24"/>
              </w:rPr>
            </w:pPr>
            <w:r>
              <w:rPr>
                <w:sz w:val="24"/>
                <w:szCs w:val="24"/>
              </w:rPr>
              <w:t>147.420 CZK</w:t>
            </w:r>
          </w:p>
        </w:tc>
      </w:tr>
      <w:tr w:rsidR="00797E0F" w14:paraId="1330ADB2" w14:textId="77777777">
        <w:tc>
          <w:tcPr>
            <w:tcW w:w="968" w:type="dxa"/>
          </w:tcPr>
          <w:p w14:paraId="7646F325" w14:textId="77777777" w:rsidR="00797E0F" w:rsidRDefault="00797E0F">
            <w:pPr>
              <w:rPr>
                <w:sz w:val="24"/>
                <w:szCs w:val="24"/>
              </w:rPr>
            </w:pPr>
          </w:p>
        </w:tc>
        <w:tc>
          <w:tcPr>
            <w:tcW w:w="2610" w:type="dxa"/>
          </w:tcPr>
          <w:p w14:paraId="1AEACA2E" w14:textId="77777777" w:rsidR="00797E0F" w:rsidRDefault="00677B59">
            <w:pPr>
              <w:rPr>
                <w:sz w:val="24"/>
                <w:szCs w:val="24"/>
              </w:rPr>
            </w:pPr>
            <w:r>
              <w:rPr>
                <w:sz w:val="24"/>
                <w:szCs w:val="24"/>
              </w:rPr>
              <w:t>Cena s DPH</w:t>
            </w:r>
          </w:p>
        </w:tc>
        <w:tc>
          <w:tcPr>
            <w:tcW w:w="2162" w:type="dxa"/>
          </w:tcPr>
          <w:p w14:paraId="3C5B0461" w14:textId="77777777" w:rsidR="00797E0F" w:rsidRDefault="00797E0F">
            <w:pPr>
              <w:rPr>
                <w:sz w:val="24"/>
                <w:szCs w:val="24"/>
              </w:rPr>
            </w:pPr>
          </w:p>
        </w:tc>
        <w:tc>
          <w:tcPr>
            <w:tcW w:w="2090" w:type="dxa"/>
          </w:tcPr>
          <w:p w14:paraId="0AC3C386" w14:textId="77777777" w:rsidR="00797E0F" w:rsidRDefault="00677B59">
            <w:pPr>
              <w:rPr>
                <w:sz w:val="24"/>
                <w:szCs w:val="24"/>
              </w:rPr>
            </w:pPr>
            <w:r>
              <w:rPr>
                <w:sz w:val="24"/>
                <w:szCs w:val="24"/>
              </w:rPr>
              <w:t>849.420 CZK</w:t>
            </w:r>
          </w:p>
        </w:tc>
      </w:tr>
    </w:tbl>
    <w:p w14:paraId="4D843A1D" w14:textId="77777777" w:rsidR="00797E0F" w:rsidRDefault="00797E0F">
      <w:pPr>
        <w:rPr>
          <w:sz w:val="24"/>
          <w:szCs w:val="24"/>
        </w:rPr>
      </w:pPr>
    </w:p>
    <w:p w14:paraId="64B64A11" w14:textId="77777777" w:rsidR="00797E0F" w:rsidRDefault="00797E0F">
      <w:pPr>
        <w:rPr>
          <w:sz w:val="24"/>
          <w:szCs w:val="24"/>
        </w:rPr>
      </w:pPr>
    </w:p>
    <w:sectPr w:rsidR="00797E0F">
      <w:headerReference w:type="default" r:id="rId8"/>
      <w:footerReference w:type="default" r:id="rId9"/>
      <w:pgSz w:w="11906" w:h="16838"/>
      <w:pgMar w:top="1077" w:right="1418" w:bottom="794" w:left="1418"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374D52" w14:textId="77777777" w:rsidR="00884B81" w:rsidRDefault="00884B81">
      <w:r>
        <w:separator/>
      </w:r>
    </w:p>
  </w:endnote>
  <w:endnote w:type="continuationSeparator" w:id="0">
    <w:p w14:paraId="4F009744" w14:textId="77777777" w:rsidR="00884B81" w:rsidRDefault="00884B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embedRegular r:id="rId1" w:fontKey="{9FB13A7B-17E5-4401-B5A3-EF6653CA9DFA}"/>
    <w:embedBold r:id="rId2" w:fontKey="{FAF05E12-C35E-45DE-9971-CF68E3315984}"/>
    <w:embedItalic r:id="rId3" w:fontKey="{ABA78683-D0A5-4559-A658-344F26808632}"/>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4" w:fontKey="{28051855-8256-4081-8CC2-C2D062413D3F}"/>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5" w:fontKey="{E7DFB150-CCBC-4015-BAE6-B8C8FCB2ED33}"/>
    <w:embedBold r:id="rId6" w:fontKey="{D65E8EEC-6135-4494-A288-AE1EEA545D68}"/>
  </w:font>
  <w:font w:name="Segoe UI">
    <w:panose1 w:val="020B0502040204020203"/>
    <w:charset w:val="EE"/>
    <w:family w:val="swiss"/>
    <w:pitch w:val="variable"/>
    <w:sig w:usb0="E4002EFF" w:usb1="C000E47F" w:usb2="00000009" w:usb3="00000000" w:csb0="000001FF" w:csb1="00000000"/>
    <w:embedRegular r:id="rId7" w:fontKey="{54893994-259B-4CCA-908A-9F3857F7666A}"/>
  </w:font>
  <w:font w:name="Tahoma">
    <w:panose1 w:val="020B0604030504040204"/>
    <w:charset w:val="EE"/>
    <w:family w:val="swiss"/>
    <w:pitch w:val="variable"/>
    <w:sig w:usb0="E1002EFF" w:usb1="C000605B" w:usb2="00000029" w:usb3="00000000" w:csb0="000101FF" w:csb1="00000000"/>
    <w:embedRegular r:id="rId8" w:fontKey="{637D2407-822C-4B1C-9512-8D50523627AB}"/>
    <w:embedBold r:id="rId9" w:fontKey="{5C8CB334-0579-4324-8BDB-1DE1A6EC3799}"/>
  </w:font>
  <w:font w:name="Calibri Light">
    <w:panose1 w:val="020F0302020204030204"/>
    <w:charset w:val="EE"/>
    <w:family w:val="swiss"/>
    <w:pitch w:val="variable"/>
    <w:sig w:usb0="E4002EFF" w:usb1="C000247B" w:usb2="00000009" w:usb3="00000000" w:csb0="000001FF" w:csb1="00000000"/>
    <w:embedRegular r:id="rId10" w:fontKey="{3FEF4A6F-57FC-46AD-9574-0C0F4D73EA8E}"/>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embedRegular r:id="rId11" w:fontKey="{8C7332D5-C6FA-4F16-AD97-B6FF95C92840}"/>
    <w:embedBold r:id="rId12" w:fontKey="{FF25E21B-0C79-4084-BFEE-6FF8AD3E0A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84710" w14:textId="77777777" w:rsidR="00797E0F" w:rsidRDefault="00677B59">
    <w:pPr>
      <w:pBdr>
        <w:top w:val="nil"/>
        <w:left w:val="nil"/>
        <w:bottom w:val="nil"/>
        <w:right w:val="nil"/>
        <w:between w:val="nil"/>
      </w:pBdr>
      <w:tabs>
        <w:tab w:val="center" w:pos="4536"/>
        <w:tab w:val="right" w:pos="9072"/>
      </w:tabs>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CE232F">
      <w:rPr>
        <w:noProof/>
        <w:color w:val="000000"/>
        <w:sz w:val="24"/>
        <w:szCs w:val="24"/>
      </w:rPr>
      <w:t>1</w:t>
    </w:r>
    <w:r>
      <w:rPr>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0485BE" w14:textId="77777777" w:rsidR="00884B81" w:rsidRDefault="00884B81">
      <w:r>
        <w:separator/>
      </w:r>
    </w:p>
  </w:footnote>
  <w:footnote w:type="continuationSeparator" w:id="0">
    <w:p w14:paraId="6BAD1761" w14:textId="77777777" w:rsidR="00884B81" w:rsidRDefault="00884B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AE2AF" w14:textId="77777777" w:rsidR="00797E0F" w:rsidRDefault="00677B59">
    <w:pPr>
      <w:pBdr>
        <w:top w:val="nil"/>
        <w:left w:val="nil"/>
        <w:bottom w:val="nil"/>
        <w:right w:val="nil"/>
        <w:between w:val="nil"/>
      </w:pBdr>
      <w:tabs>
        <w:tab w:val="center" w:pos="4536"/>
        <w:tab w:val="right" w:pos="9072"/>
      </w:tabs>
      <w:jc w:val="right"/>
      <w:rPr>
        <w:color w:val="000000"/>
      </w:rPr>
    </w:pPr>
    <w:r>
      <w:rPr>
        <w:color w:val="000000"/>
      </w:rPr>
      <w:t>Č. j. 2025/4667/NM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735BB"/>
    <w:multiLevelType w:val="multilevel"/>
    <w:tmpl w:val="17685F1C"/>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856B31"/>
    <w:multiLevelType w:val="multilevel"/>
    <w:tmpl w:val="30906098"/>
    <w:lvl w:ilvl="0">
      <w:start w:val="1"/>
      <w:numFmt w:val="decimal"/>
      <w:lvlText w:val="%1."/>
      <w:lvlJc w:val="left"/>
      <w:pPr>
        <w:ind w:left="360" w:hanging="360"/>
      </w:pPr>
      <w:rPr>
        <w:b w:val="0"/>
      </w:rPr>
    </w:lvl>
    <w:lvl w:ilvl="1">
      <w:start w:val="1"/>
      <w:numFmt w:val="bullet"/>
      <w:lvlText w:val="●"/>
      <w:lvlJc w:val="left"/>
      <w:pPr>
        <w:ind w:left="644" w:hanging="359"/>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6287CCD"/>
    <w:multiLevelType w:val="multilevel"/>
    <w:tmpl w:val="20FEFD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989479B"/>
    <w:multiLevelType w:val="multilevel"/>
    <w:tmpl w:val="91F4B5D4"/>
    <w:lvl w:ilvl="0">
      <w:start w:val="1"/>
      <w:numFmt w:val="decimal"/>
      <w:lvlText w:val="%1."/>
      <w:lvlJc w:val="left"/>
      <w:pPr>
        <w:ind w:left="360" w:hanging="360"/>
      </w:pPr>
      <w:rPr>
        <w:b w:val="0"/>
        <w:i w:val="0"/>
      </w:rPr>
    </w:lvl>
    <w:lvl w:ilvl="1">
      <w:start w:val="1"/>
      <w:numFmt w:val="lowerLetter"/>
      <w:lvlText w:val="%2)"/>
      <w:lvlJc w:val="left"/>
      <w:pPr>
        <w:ind w:left="720" w:hanging="360"/>
      </w:pPr>
    </w:lvl>
    <w:lvl w:ilvl="2">
      <w:start w:val="1"/>
      <w:numFmt w:val="decimal"/>
      <w:lvlText w:val="-"/>
      <w:lvlJc w:val="left"/>
      <w:pPr>
        <w:ind w:left="1080" w:hanging="360"/>
      </w:pPr>
    </w:lvl>
    <w:lvl w:ilvl="3">
      <w:start w:val="1"/>
      <w:numFmt w:val="decimal"/>
      <w:lvlText w:val="-"/>
      <w:lvlJc w:val="left"/>
      <w:pPr>
        <w:ind w:left="1440" w:hanging="360"/>
      </w:pPr>
    </w:lvl>
    <w:lvl w:ilvl="4">
      <w:start w:val="1"/>
      <w:numFmt w:val="decimal"/>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505105BC"/>
    <w:multiLevelType w:val="multilevel"/>
    <w:tmpl w:val="77127806"/>
    <w:lvl w:ilvl="0">
      <w:numFmt w:val="bullet"/>
      <w:lvlText w:val="-"/>
      <w:lvlJc w:val="left"/>
      <w:pPr>
        <w:ind w:left="785" w:hanging="360"/>
      </w:pPr>
      <w:rPr>
        <w:rFonts w:ascii="Calibri" w:eastAsia="Calibri" w:hAnsi="Calibri" w:cs="Calibri"/>
      </w:r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5" w15:restartNumberingAfterBreak="0">
    <w:nsid w:val="5C767473"/>
    <w:multiLevelType w:val="multilevel"/>
    <w:tmpl w:val="49105AB8"/>
    <w:lvl w:ilvl="0">
      <w:numFmt w:val="bullet"/>
      <w:lvlText w:val="-"/>
      <w:lvlJc w:val="left"/>
      <w:pPr>
        <w:ind w:left="785" w:hanging="360"/>
      </w:pPr>
      <w:rPr>
        <w:rFonts w:ascii="Calibri" w:eastAsia="Calibri" w:hAnsi="Calibri" w:cs="Calibri"/>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6" w15:restartNumberingAfterBreak="0">
    <w:nsid w:val="6273194A"/>
    <w:multiLevelType w:val="multilevel"/>
    <w:tmpl w:val="BD2E289E"/>
    <w:lvl w:ilvl="0">
      <w:start w:val="1"/>
      <w:numFmt w:val="decimal"/>
      <w:lvlText w:val="%1."/>
      <w:lvlJc w:val="left"/>
      <w:pPr>
        <w:ind w:left="390" w:hanging="390"/>
      </w:pPr>
    </w:lvl>
    <w:lvl w:ilvl="1">
      <w:start w:val="1"/>
      <w:numFmt w:val="decimal"/>
      <w:lvlText w:val="%2."/>
      <w:lvlJc w:val="left"/>
      <w:pPr>
        <w:ind w:left="680" w:hanging="680"/>
      </w:pPr>
      <w:rPr>
        <w:rFonts w:ascii="Times New Roman" w:eastAsia="Times New Roman" w:hAnsi="Times New Roman" w:cs="Times New Roman"/>
        <w:b w:val="0"/>
        <w:i w:val="0"/>
      </w:rPr>
    </w:lvl>
    <w:lvl w:ilvl="2">
      <w:start w:val="1"/>
      <w:numFmt w:val="upperLetter"/>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7FE431CF"/>
    <w:multiLevelType w:val="multilevel"/>
    <w:tmpl w:val="BFCEEEDC"/>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637731560">
    <w:abstractNumId w:val="7"/>
  </w:num>
  <w:num w:numId="2" w16cid:durableId="1604074922">
    <w:abstractNumId w:val="0"/>
  </w:num>
  <w:num w:numId="3" w16cid:durableId="1132334587">
    <w:abstractNumId w:val="2"/>
  </w:num>
  <w:num w:numId="4" w16cid:durableId="1463109265">
    <w:abstractNumId w:val="1"/>
  </w:num>
  <w:num w:numId="5" w16cid:durableId="1608266646">
    <w:abstractNumId w:val="3"/>
  </w:num>
  <w:num w:numId="6" w16cid:durableId="1031564990">
    <w:abstractNumId w:val="5"/>
  </w:num>
  <w:num w:numId="7" w16cid:durableId="1050693250">
    <w:abstractNumId w:val="4"/>
  </w:num>
  <w:num w:numId="8" w16cid:durableId="20732634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E0F"/>
    <w:rsid w:val="000C23EB"/>
    <w:rsid w:val="000F6919"/>
    <w:rsid w:val="001E44C5"/>
    <w:rsid w:val="002456AD"/>
    <w:rsid w:val="002F475C"/>
    <w:rsid w:val="003159E9"/>
    <w:rsid w:val="00411BAD"/>
    <w:rsid w:val="00435B96"/>
    <w:rsid w:val="00534598"/>
    <w:rsid w:val="00677B59"/>
    <w:rsid w:val="006E34FB"/>
    <w:rsid w:val="00797E0F"/>
    <w:rsid w:val="00884B81"/>
    <w:rsid w:val="00C67232"/>
    <w:rsid w:val="00CA4B96"/>
    <w:rsid w:val="00CE232F"/>
    <w:rsid w:val="00D71C98"/>
    <w:rsid w:val="00D93456"/>
    <w:rsid w:val="00F7500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7342A"/>
  <w15:docId w15:val="{C5B9BEEB-7578-456C-83ED-AC38B2C89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s"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jc w:val="both"/>
      <w:outlineLvl w:val="0"/>
    </w:pPr>
    <w:rPr>
      <w:b/>
    </w:rPr>
  </w:style>
  <w:style w:type="paragraph" w:styleId="Nadpis2">
    <w:name w:val="heading 2"/>
    <w:basedOn w:val="Normln"/>
    <w:next w:val="Normln"/>
    <w:uiPriority w:val="9"/>
    <w:unhideWhenUsed/>
    <w:qFormat/>
    <w:pPr>
      <w:keepNext/>
      <w:keepLines/>
      <w:spacing w:before="200"/>
      <w:outlineLvl w:val="1"/>
    </w:pPr>
    <w:rPr>
      <w:rFonts w:ascii="Cambria" w:eastAsia="Cambria" w:hAnsi="Cambria" w:cs="Cambria"/>
      <w:b/>
      <w:color w:val="4F81BD"/>
      <w:sz w:val="26"/>
      <w:szCs w:val="26"/>
    </w:rPr>
  </w:style>
  <w:style w:type="paragraph" w:styleId="Nadpis3">
    <w:name w:val="heading 3"/>
    <w:basedOn w:val="Normln"/>
    <w:next w:val="Normln"/>
    <w:uiPriority w:val="9"/>
    <w:unhideWhenUsed/>
    <w:qFormat/>
    <w:pPr>
      <w:keepNext/>
      <w:keepLines/>
      <w:spacing w:before="200"/>
      <w:outlineLvl w:val="2"/>
    </w:pPr>
    <w:rPr>
      <w:rFonts w:ascii="Cambria" w:eastAsia="Cambria" w:hAnsi="Cambria" w:cs="Cambria"/>
      <w:b/>
      <w:color w:val="4F81BD"/>
      <w:sz w:val="24"/>
      <w:szCs w:val="24"/>
    </w:rPr>
  </w:style>
  <w:style w:type="paragraph" w:styleId="Nadpis4">
    <w:name w:val="heading 4"/>
    <w:basedOn w:val="Normln"/>
    <w:next w:val="Normln"/>
    <w:uiPriority w:val="9"/>
    <w:unhideWhenUsed/>
    <w:qFormat/>
    <w:pPr>
      <w:keepNext/>
      <w:keepLines/>
      <w:spacing w:before="240" w:after="40"/>
      <w:outlineLvl w:val="3"/>
    </w:pPr>
    <w:rPr>
      <w:b/>
      <w:sz w:val="24"/>
      <w:szCs w:val="24"/>
    </w:rPr>
  </w:style>
  <w:style w:type="paragraph" w:styleId="Nadpis5">
    <w:name w:val="heading 5"/>
    <w:basedOn w:val="Normln"/>
    <w:next w:val="Normln"/>
    <w:uiPriority w:val="9"/>
    <w:unhideWhenUsed/>
    <w:qFormat/>
    <w:pPr>
      <w:keepNext/>
      <w:keepLines/>
      <w:spacing w:before="220" w:after="40"/>
      <w:outlineLvl w:val="4"/>
    </w:pPr>
    <w:rPr>
      <w:b/>
    </w:rPr>
  </w:style>
  <w:style w:type="paragraph" w:styleId="Nadpis6">
    <w:name w:val="heading 6"/>
    <w:basedOn w:val="Normln"/>
    <w:next w:val="Normln"/>
    <w:uiPriority w:val="9"/>
    <w:unhideWhenUsed/>
    <w:qFormat/>
    <w:pPr>
      <w:keepNext/>
      <w:keepLines/>
      <w:spacing w:before="40"/>
      <w:outlineLvl w:val="5"/>
    </w:pPr>
    <w:rPr>
      <w:color w:val="1E4D7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sz w:val="72"/>
      <w:szCs w:val="72"/>
    </w:rPr>
  </w:style>
  <w:style w:type="paragraph" w:customStyle="1" w:styleId="Odstavecseseznamem1">
    <w:name w:val="Odstavec se seznamem1"/>
    <w:rsid w:val="003A557F"/>
    <w:pPr>
      <w:ind w:left="720"/>
      <w:contextualSpacing/>
    </w:pPr>
  </w:style>
  <w:style w:type="character" w:styleId="Hypertextovodkaz">
    <w:name w:val="Hyperlink"/>
    <w:rsid w:val="003A557F"/>
    <w:rPr>
      <w:rFonts w:cs="Times New Roman"/>
      <w:color w:val="0000FF"/>
      <w:u w:val="single"/>
    </w:rPr>
  </w:style>
  <w:style w:type="paragraph" w:styleId="Zpat">
    <w:name w:val="footer"/>
    <w:link w:val="ZpatChar"/>
    <w:uiPriority w:val="99"/>
    <w:rsid w:val="001C4229"/>
    <w:pPr>
      <w:tabs>
        <w:tab w:val="center" w:pos="4536"/>
        <w:tab w:val="right" w:pos="9072"/>
      </w:tabs>
    </w:pPr>
    <w:rPr>
      <w:sz w:val="24"/>
    </w:rPr>
  </w:style>
  <w:style w:type="character" w:customStyle="1" w:styleId="ZpatChar">
    <w:name w:val="Zápatí Char"/>
    <w:basedOn w:val="Standardnpsmoodstavce"/>
    <w:link w:val="Zpat"/>
    <w:uiPriority w:val="99"/>
    <w:rsid w:val="001C4229"/>
    <w:rPr>
      <w:rFonts w:ascii="Calibri" w:eastAsia="Times New Roman" w:hAnsi="Calibri" w:cs="Times New Roman"/>
      <w:sz w:val="24"/>
      <w:szCs w:val="24"/>
      <w:lang w:eastAsia="cs-CZ"/>
    </w:rPr>
  </w:style>
  <w:style w:type="paragraph" w:styleId="Zhlav">
    <w:name w:val="header"/>
    <w:link w:val="ZhlavChar"/>
    <w:uiPriority w:val="99"/>
    <w:unhideWhenUsed/>
    <w:rsid w:val="001C4229"/>
    <w:pPr>
      <w:tabs>
        <w:tab w:val="center" w:pos="4536"/>
        <w:tab w:val="right" w:pos="9072"/>
      </w:tabs>
    </w:pPr>
  </w:style>
  <w:style w:type="character" w:customStyle="1" w:styleId="ZhlavChar">
    <w:name w:val="Záhlaví Char"/>
    <w:basedOn w:val="Standardnpsmoodstavce"/>
    <w:link w:val="Zhlav"/>
    <w:uiPriority w:val="99"/>
    <w:rsid w:val="001C4229"/>
    <w:rPr>
      <w:rFonts w:ascii="Calibri" w:eastAsia="Times New Roman" w:hAnsi="Calibri" w:cs="Times New Roman"/>
      <w:szCs w:val="24"/>
      <w:lang w:eastAsia="cs-CZ"/>
    </w:rPr>
  </w:style>
  <w:style w:type="paragraph" w:styleId="Zkladntext">
    <w:name w:val="Body Text"/>
    <w:link w:val="ZkladntextChar"/>
    <w:rsid w:val="00E4653E"/>
    <w:pPr>
      <w:jc w:val="both"/>
    </w:pPr>
  </w:style>
  <w:style w:type="character" w:customStyle="1" w:styleId="ZkladntextChar">
    <w:name w:val="Základní text Char"/>
    <w:basedOn w:val="Standardnpsmoodstavce"/>
    <w:link w:val="Zkladntext"/>
    <w:rsid w:val="00E4653E"/>
    <w:rPr>
      <w:rFonts w:ascii="Calibri" w:eastAsia="Times New Roman" w:hAnsi="Calibri" w:cs="Times New Roman"/>
      <w:szCs w:val="24"/>
      <w:lang w:eastAsia="cs-CZ"/>
    </w:rPr>
  </w:style>
  <w:style w:type="paragraph" w:styleId="Odstavecseseznamem">
    <w:name w:val="List Paragraph"/>
    <w:uiPriority w:val="34"/>
    <w:qFormat/>
    <w:rsid w:val="00B523EE"/>
    <w:pPr>
      <w:ind w:left="720"/>
      <w:contextualSpacing/>
    </w:pPr>
  </w:style>
  <w:style w:type="paragraph" w:customStyle="1" w:styleId="HLAVICKA">
    <w:name w:val="HLAVICKA"/>
    <w:rsid w:val="00B523EE"/>
    <w:pPr>
      <w:tabs>
        <w:tab w:val="left" w:pos="284"/>
        <w:tab w:val="left" w:pos="1134"/>
      </w:tabs>
      <w:overflowPunct w:val="0"/>
      <w:autoSpaceDE w:val="0"/>
      <w:autoSpaceDN w:val="0"/>
      <w:adjustRightInd w:val="0"/>
      <w:spacing w:after="60"/>
      <w:textAlignment w:val="baseline"/>
    </w:pPr>
    <w:rPr>
      <w:rFonts w:ascii="Times New Roman" w:hAnsi="Times New Roman"/>
      <w:sz w:val="20"/>
      <w:szCs w:val="20"/>
    </w:rPr>
  </w:style>
  <w:style w:type="character" w:styleId="Odkaznakoment">
    <w:name w:val="annotation reference"/>
    <w:basedOn w:val="Standardnpsmoodstavce"/>
    <w:uiPriority w:val="99"/>
    <w:semiHidden/>
    <w:unhideWhenUsed/>
    <w:rsid w:val="00B523EE"/>
    <w:rPr>
      <w:sz w:val="16"/>
      <w:szCs w:val="16"/>
    </w:rPr>
  </w:style>
  <w:style w:type="paragraph" w:styleId="Textkomente">
    <w:name w:val="annotation text"/>
    <w:link w:val="TextkomenteChar"/>
    <w:uiPriority w:val="99"/>
    <w:unhideWhenUsed/>
    <w:rsid w:val="00B523EE"/>
    <w:rPr>
      <w:sz w:val="20"/>
      <w:szCs w:val="20"/>
    </w:rPr>
  </w:style>
  <w:style w:type="character" w:customStyle="1" w:styleId="TextkomenteChar">
    <w:name w:val="Text komentáře Char"/>
    <w:basedOn w:val="Standardnpsmoodstavce"/>
    <w:link w:val="Textkomente"/>
    <w:uiPriority w:val="99"/>
    <w:rsid w:val="00B523EE"/>
    <w:rPr>
      <w:rFonts w:ascii="Calibri" w:eastAsia="Times New Roman" w:hAnsi="Calibri"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B523EE"/>
    <w:rPr>
      <w:b/>
      <w:bCs/>
    </w:rPr>
  </w:style>
  <w:style w:type="character" w:customStyle="1" w:styleId="PedmtkomenteChar">
    <w:name w:val="Předmět komentáře Char"/>
    <w:basedOn w:val="TextkomenteChar"/>
    <w:link w:val="Pedmtkomente"/>
    <w:uiPriority w:val="99"/>
    <w:semiHidden/>
    <w:rsid w:val="00B523EE"/>
    <w:rPr>
      <w:rFonts w:ascii="Calibri" w:eastAsia="Times New Roman" w:hAnsi="Calibri" w:cs="Times New Roman"/>
      <w:b/>
      <w:bCs/>
      <w:sz w:val="20"/>
      <w:szCs w:val="20"/>
      <w:lang w:eastAsia="cs-CZ"/>
    </w:rPr>
  </w:style>
  <w:style w:type="paragraph" w:styleId="Textbubliny">
    <w:name w:val="Balloon Text"/>
    <w:link w:val="TextbublinyChar"/>
    <w:uiPriority w:val="99"/>
    <w:semiHidden/>
    <w:unhideWhenUsed/>
    <w:rsid w:val="00B523EE"/>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523EE"/>
    <w:rPr>
      <w:rFonts w:ascii="Segoe UI" w:eastAsia="Times New Roman" w:hAnsi="Segoe UI" w:cs="Segoe UI"/>
      <w:sz w:val="18"/>
      <w:szCs w:val="18"/>
      <w:lang w:eastAsia="cs-CZ"/>
    </w:rPr>
  </w:style>
  <w:style w:type="character" w:customStyle="1" w:styleId="Nadpis1Char">
    <w:name w:val="Nadpis 1 Char"/>
    <w:basedOn w:val="Standardnpsmoodstavce"/>
    <w:rsid w:val="006464E3"/>
    <w:rPr>
      <w:rFonts w:ascii="Calibri" w:eastAsia="Times New Roman" w:hAnsi="Calibri" w:cs="Times New Roman"/>
      <w:b/>
      <w:bCs/>
      <w:szCs w:val="24"/>
      <w:lang w:eastAsia="cs-CZ"/>
    </w:rPr>
  </w:style>
  <w:style w:type="character" w:customStyle="1" w:styleId="Nadpis2Char">
    <w:name w:val="Nadpis 2 Char"/>
    <w:basedOn w:val="Standardnpsmoodstavce"/>
    <w:rsid w:val="006464E3"/>
    <w:rPr>
      <w:rFonts w:ascii="Cambria" w:eastAsia="Times New Roman" w:hAnsi="Cambria" w:cs="Times New Roman"/>
      <w:b/>
      <w:bCs/>
      <w:color w:val="4F81BD"/>
      <w:sz w:val="26"/>
      <w:szCs w:val="26"/>
      <w:lang w:eastAsia="cs-CZ"/>
    </w:rPr>
  </w:style>
  <w:style w:type="character" w:customStyle="1" w:styleId="Nadpis3Char">
    <w:name w:val="Nadpis 3 Char"/>
    <w:basedOn w:val="Standardnpsmoodstavce"/>
    <w:rsid w:val="006464E3"/>
    <w:rPr>
      <w:rFonts w:ascii="Cambria" w:eastAsia="Times New Roman" w:hAnsi="Cambria" w:cs="Times New Roman"/>
      <w:b/>
      <w:bCs/>
      <w:color w:val="4F81BD"/>
      <w:sz w:val="24"/>
      <w:szCs w:val="24"/>
      <w:lang w:eastAsia="cs-CZ"/>
    </w:rPr>
  </w:style>
  <w:style w:type="table" w:styleId="Mkatabulky">
    <w:name w:val="Table Grid"/>
    <w:basedOn w:val="Normlntabulka"/>
    <w:uiPriority w:val="59"/>
    <w:rsid w:val="008C44B6"/>
    <w:rPr>
      <w:rFonts w:eastAsia="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dnadpisChar">
    <w:name w:val="Podnadpis Char"/>
    <w:basedOn w:val="Standardnpsmoodstavce"/>
    <w:rsid w:val="008C44B6"/>
    <w:rPr>
      <w:rFonts w:ascii="Tahoma" w:eastAsia="Times New Roman" w:hAnsi="Tahoma" w:cs="Tahoma"/>
      <w:b/>
      <w:sz w:val="20"/>
      <w:szCs w:val="24"/>
      <w:lang w:eastAsia="cs-CZ"/>
    </w:rPr>
  </w:style>
  <w:style w:type="character" w:customStyle="1" w:styleId="Nadpis6Char">
    <w:name w:val="Nadpis 6 Char"/>
    <w:basedOn w:val="Standardnpsmoodstavce"/>
    <w:uiPriority w:val="9"/>
    <w:semiHidden/>
    <w:rsid w:val="0012036C"/>
    <w:rPr>
      <w:rFonts w:asciiTheme="majorHAnsi" w:eastAsiaTheme="majorEastAsia" w:hAnsiTheme="majorHAnsi" w:cstheme="majorBidi"/>
      <w:color w:val="1F4D78" w:themeColor="accent1" w:themeShade="7F"/>
      <w:szCs w:val="24"/>
      <w:lang w:eastAsia="cs-CZ"/>
    </w:rPr>
  </w:style>
  <w:style w:type="paragraph" w:styleId="Normlnweb">
    <w:name w:val="Normal (Web)"/>
    <w:uiPriority w:val="99"/>
    <w:unhideWhenUsed/>
    <w:rsid w:val="0012036C"/>
    <w:pPr>
      <w:spacing w:before="100" w:beforeAutospacing="1" w:after="100" w:afterAutospacing="1"/>
    </w:pPr>
  </w:style>
  <w:style w:type="paragraph" w:customStyle="1" w:styleId="Odrky">
    <w:name w:val="Odrážky"/>
    <w:rsid w:val="0012036C"/>
    <w:pPr>
      <w:suppressAutoHyphens/>
      <w:ind w:left="1134" w:hanging="425"/>
      <w:jc w:val="both"/>
    </w:pPr>
    <w:rPr>
      <w:rFonts w:ascii="Times New Roman" w:hAnsi="Times New Roman"/>
      <w:sz w:val="24"/>
      <w:lang w:eastAsia="ar-SA"/>
    </w:rPr>
  </w:style>
  <w:style w:type="character" w:customStyle="1" w:styleId="Bodytext1">
    <w:name w:val="Body text|1_"/>
    <w:basedOn w:val="Standardnpsmoodstavce"/>
    <w:link w:val="Bodytext10"/>
    <w:rsid w:val="00A474A8"/>
    <w:rPr>
      <w:rFonts w:ascii="Arial" w:eastAsia="Arial" w:hAnsi="Arial" w:cs="Arial"/>
    </w:rPr>
  </w:style>
  <w:style w:type="paragraph" w:customStyle="1" w:styleId="Bodytext10">
    <w:name w:val="Body text|1"/>
    <w:link w:val="Bodytext1"/>
    <w:rsid w:val="00A474A8"/>
    <w:pPr>
      <w:widowControl w:val="0"/>
      <w:spacing w:line="293" w:lineRule="auto"/>
    </w:pPr>
    <w:rPr>
      <w:rFonts w:ascii="Arial" w:eastAsia="Arial" w:hAnsi="Arial" w:cs="Arial"/>
      <w:lang w:eastAsia="en-US"/>
    </w:rPr>
  </w:style>
  <w:style w:type="paragraph" w:styleId="Bezmezer">
    <w:name w:val="No Spacing"/>
    <w:uiPriority w:val="1"/>
    <w:qFormat/>
    <w:rsid w:val="00256A85"/>
    <w:rPr>
      <w:rFonts w:eastAsia="Times New Roman" w:cs="Times New Roman"/>
      <w:szCs w:val="24"/>
    </w:rPr>
  </w:style>
  <w:style w:type="paragraph" w:styleId="Podnadpis">
    <w:name w:val="Subtitle"/>
    <w:basedOn w:val="Normln"/>
    <w:next w:val="Normln"/>
    <w:uiPriority w:val="11"/>
    <w:qFormat/>
    <w:pPr>
      <w:spacing w:after="120"/>
      <w:jc w:val="center"/>
    </w:pPr>
    <w:rPr>
      <w:rFonts w:ascii="Tahoma" w:eastAsia="Tahoma" w:hAnsi="Tahoma" w:cs="Tahoma"/>
      <w:b/>
      <w:sz w:val="20"/>
      <w:szCs w:val="20"/>
    </w:rPr>
  </w:style>
  <w:style w:type="table" w:customStyle="1" w:styleId="a">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MhHPaGR4W1k8KPDyVDl+y0Vp6A==">CgMxLjA4AHIhMU5idElnUkFWWDJaLUx1LXVfNEh5YlVjem1IRFpkcUdO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1426</Words>
  <Characters>8416</Characters>
  <Application>Microsoft Office Word</Application>
  <DocSecurity>0</DocSecurity>
  <Lines>70</Lines>
  <Paragraphs>19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Brůha</dc:creator>
  <cp:lastModifiedBy>Procházková Dana</cp:lastModifiedBy>
  <cp:revision>3</cp:revision>
  <dcterms:created xsi:type="dcterms:W3CDTF">2025-10-09T09:05:00Z</dcterms:created>
  <dcterms:modified xsi:type="dcterms:W3CDTF">2025-10-09T09:06:00Z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0x01010029B69CF6EBB7384AB6E90FCF6A2AB09B</vt:lpwstr>
  </property>
</Properties>
</file>