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475615" distL="147955" distR="114300" simplePos="0" relativeHeight="125829378" behindDoc="0" locked="0" layoutInCell="1" allowOverlap="1">
            <wp:simplePos x="0" y="0"/>
            <wp:positionH relativeFrom="page">
              <wp:posOffset>756920</wp:posOffset>
            </wp:positionH>
            <wp:positionV relativeFrom="paragraph">
              <wp:posOffset>12700</wp:posOffset>
            </wp:positionV>
            <wp:extent cx="2167255" cy="96901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7255" cy="9690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1055370</wp:posOffset>
                </wp:positionH>
                <wp:positionV relativeFrom="paragraph">
                  <wp:posOffset>332740</wp:posOffset>
                </wp:positionV>
                <wp:extent cx="1725295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29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bookmark0"/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JJJ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 xml:space="preserve"> Povodí Ohře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3.100000000000009pt;margin-top:26.199999999999999pt;width:135.84999999999999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6"/>
                          <w:szCs w:val="36"/>
                        </w:rPr>
                      </w:pPr>
                      <w:bookmarkStart w:id="0" w:name="bookmark0"/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JJJ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 xml:space="preserve"> Povodí Ohře</w:t>
                      </w:r>
                      <w:bookmarkEnd w:id="0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1033780</wp:posOffset>
                </wp:positionV>
                <wp:extent cx="755650" cy="42354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6.950000000000003pt;margin-top:81.400000000000006pt;width:59.5pt;height:33.3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1530985</wp:posOffset>
                </wp:positionH>
                <wp:positionV relativeFrom="paragraph">
                  <wp:posOffset>1320165</wp:posOffset>
                </wp:positionV>
                <wp:extent cx="606425" cy="13716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642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POH/43572/2025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20.55pt;margin-top:103.95pt;width:47.75pt;height:10.8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POH/43572/2025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4039870</wp:posOffset>
                </wp:positionH>
                <wp:positionV relativeFrom="paragraph">
                  <wp:posOffset>856615</wp:posOffset>
                </wp:positionV>
                <wp:extent cx="2078990" cy="6584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8990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AQUA TERRA INOVA s. r.o.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663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756 061 Rožnov pod Radhoštěm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8.10000000000002pt;margin-top:67.450000000000003pt;width:163.70000000000002pt;height:5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AQUA TERRA INOVA s. 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663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756 061 Rožnov pod Radhoštěm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267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08.10.2025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1"/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502183/4/2025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8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28.11.2025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356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65 000,00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6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46637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 na Teplé u ČS Teplička - výstavba rybího přechodu</w:t>
      </w:r>
      <w:bookmarkEnd w:id="4"/>
      <w:bookmarkEnd w:id="5"/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výkon Technologického dozoru při realizaci akce „Jez na Teplé u ČS Teplička - výstavba rybího přechodu“. Technologický dozor bude prováděn průběžně na výzvu a dle požadavků objednatele a bude ukončen v termínu dokončení této stavby. Plnění předmětu této objednávky před účinností této objednávky se považuje za plnění podle této objednávky a práva a povinnosti z něj vzniklé se řídí touto objednávkou. Požadovaný termín dodání je termín předpokládaný v době vyhotovení této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dozoru se sjednává dohodou smluvních stran: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12 500,- Kč bez DPH za aktivní účast na 1 kontrolním dnu stavby včetně dopravy a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800,- Kč bez DPH za 1 člověkohodinu výkonu dalších činností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65 000,- Kč bez DPH.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Technologický dozor zahrnuje veškeré náklady zhotovitele související s prováděním prací včetně cestovného. Výkon Technologického dozoru začíná a končí v sídle zhotovitele s uvažováním přiměřené doby k dopravě na stavbu.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Daňový doklad s odsouhlaseným výkazem TD a potvrzenou platnou objednávkou zašlete na email: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line="240" w:lineRule="auto"/>
        <w:ind w:left="740" w:right="0" w:hanging="74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stanovená jako pevná smluvní cena v souladu splatným zněním zákona č. 526/1990 Sb. ve znění pozdějších předpisů, platná po dobu provádění prací.</w:t>
      </w:r>
      <w:r>
        <w:br w:type="page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1" w:name="bookmark11"/>
      <w:bookmarkStart w:id="12" w:name="bookmark12"/>
      <w:bookmarkStart w:id="13" w:name="bookmark13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Povodí Ohře</w:t>
      </w:r>
      <w:bookmarkEnd w:id="11"/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380" w:line="240" w:lineRule="auto"/>
        <w:ind w:left="740" w:right="0" w:hanging="7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Takto stanovená cena bude používána zhotovitelem také pro kalkulaci prací spojených s výkonem TD.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40" w:right="0" w:hanging="7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Technologického dozoru bude fakturována dle skutečného rozsahu prací – výkaz TD, odsouhlaseného objednatelem a potvrzené platné objednávky. Oba tyto dokumenty musí být přílohou vystaveného daňového dokladu.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40" w:right="0" w:hanging="7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řádný daňový doklad do 10 dnů ode dne uskutečnění zdanitelného plnění.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dokončení stavby.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140" w:line="240" w:lineRule="auto"/>
        <w:ind w:left="740" w:right="0" w:hanging="7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elektronické zaslání Vámi potvrzené platné objednávky (podpis a razítko na objednávku, nebo elektronický podpis).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cenová nabídka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-316865</wp:posOffset>
            </wp:positionV>
            <wp:extent cx="2167255" cy="9690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7255" cy="9690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vedoucí Odboru inženýringu</w:t>
      </w:r>
    </w:p>
    <w:sectPr>
      <w:footnotePr>
        <w:pos w:val="pageBottom"/>
        <w:numFmt w:val="decimal"/>
        <w:numRestart w:val="continuous"/>
      </w:footnotePr>
      <w:pgSz w:w="11909" w:h="16838"/>
      <w:pgMar w:top="1171" w:left="1024" w:right="765" w:bottom="2713" w:header="743" w:footer="228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1"/>
      <w:szCs w:val="11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1"/>
      <w:szCs w:val="11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ind w:firstLine="5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