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5C2F6" w14:textId="77777777" w:rsidR="0089562D" w:rsidRDefault="005A5880">
      <w:pPr>
        <w:pStyle w:val="Nadpis1"/>
      </w:pPr>
      <w:r>
        <w:t>SMLOUVA O DÍLO</w:t>
      </w:r>
    </w:p>
    <w:p w14:paraId="47E5485C" w14:textId="77777777" w:rsidR="0089562D" w:rsidRDefault="0089562D"/>
    <w:p w14:paraId="4215C7F7" w14:textId="2E915CD8" w:rsidR="0089562D" w:rsidRDefault="005A5880">
      <w:pPr>
        <w:jc w:val="center"/>
        <w:rPr>
          <w:rFonts w:ascii="Arial" w:eastAsia="Arial" w:hAnsi="Arial" w:cs="Arial"/>
          <w:sz w:val="20"/>
          <w:szCs w:val="20"/>
        </w:rPr>
      </w:pPr>
      <w:r>
        <w:rPr>
          <w:rFonts w:ascii="Arial" w:eastAsia="Arial" w:hAnsi="Arial" w:cs="Arial"/>
          <w:sz w:val="20"/>
          <w:szCs w:val="20"/>
        </w:rPr>
        <w:t>číslo objednatele:</w:t>
      </w:r>
    </w:p>
    <w:p w14:paraId="58A520B3" w14:textId="006C492B" w:rsidR="0089562D" w:rsidRDefault="005A5880">
      <w:pPr>
        <w:jc w:val="center"/>
        <w:rPr>
          <w:rFonts w:ascii="Arial" w:eastAsia="Arial" w:hAnsi="Arial" w:cs="Arial"/>
          <w:sz w:val="20"/>
          <w:szCs w:val="20"/>
        </w:rPr>
      </w:pPr>
      <w:r>
        <w:rPr>
          <w:rFonts w:ascii="Arial" w:eastAsia="Arial" w:hAnsi="Arial" w:cs="Arial"/>
          <w:sz w:val="20"/>
          <w:szCs w:val="20"/>
        </w:rPr>
        <w:t>196/48956341/2025</w:t>
      </w:r>
    </w:p>
    <w:p w14:paraId="51E4684A" w14:textId="77777777" w:rsidR="0089562D" w:rsidRDefault="005A5880">
      <w:pPr>
        <w:jc w:val="center"/>
        <w:rPr>
          <w:rFonts w:ascii="Arial" w:eastAsia="Arial" w:hAnsi="Arial" w:cs="Arial"/>
          <w:sz w:val="20"/>
          <w:szCs w:val="20"/>
        </w:rPr>
      </w:pPr>
      <w:r>
        <w:rPr>
          <w:rFonts w:ascii="Arial" w:eastAsia="Arial" w:hAnsi="Arial" w:cs="Arial"/>
          <w:sz w:val="20"/>
          <w:szCs w:val="20"/>
        </w:rPr>
        <w:t>číslo dodavatele:</w:t>
      </w:r>
    </w:p>
    <w:p w14:paraId="4281C2FD" w14:textId="77777777" w:rsidR="0089562D" w:rsidRDefault="005A5880">
      <w:pPr>
        <w:jc w:val="center"/>
        <w:rPr>
          <w:rFonts w:ascii="Arial" w:eastAsia="Arial" w:hAnsi="Arial" w:cs="Arial"/>
          <w:sz w:val="20"/>
          <w:szCs w:val="20"/>
        </w:rPr>
      </w:pPr>
      <w:r>
        <w:rPr>
          <w:rFonts w:ascii="Arial" w:eastAsia="Arial" w:hAnsi="Arial" w:cs="Arial"/>
          <w:sz w:val="20"/>
          <w:szCs w:val="20"/>
        </w:rPr>
        <w:t>2025/14</w:t>
      </w:r>
    </w:p>
    <w:p w14:paraId="0722312A" w14:textId="77777777" w:rsidR="0089562D" w:rsidRDefault="0089562D"/>
    <w:p w14:paraId="45C4D626" w14:textId="77777777" w:rsidR="0089562D" w:rsidRDefault="005A5880">
      <w:pPr>
        <w:pBdr>
          <w:top w:val="nil"/>
          <w:left w:val="nil"/>
          <w:bottom w:val="nil"/>
          <w:right w:val="nil"/>
          <w:between w:val="nil"/>
        </w:pBdr>
        <w:spacing w:before="240" w:after="120"/>
        <w:jc w:val="center"/>
        <w:rPr>
          <w:rFonts w:ascii="Arial" w:eastAsia="Arial" w:hAnsi="Arial" w:cs="Arial"/>
          <w:color w:val="000000"/>
          <w:sz w:val="20"/>
          <w:szCs w:val="20"/>
        </w:rPr>
      </w:pPr>
      <w:r>
        <w:rPr>
          <w:rFonts w:ascii="Arial" w:eastAsia="Arial" w:hAnsi="Arial" w:cs="Arial"/>
          <w:color w:val="000000"/>
          <w:sz w:val="20"/>
          <w:szCs w:val="20"/>
        </w:rPr>
        <w:t>uzavřená ve smyslu ustanovení § 2586 a násl. zákona č. 89/2012 Sb., občanského zákoníku v platném a účinném znění (dále jen „</w:t>
      </w:r>
      <w:r>
        <w:rPr>
          <w:rFonts w:ascii="Arial" w:eastAsia="Arial" w:hAnsi="Arial" w:cs="Arial"/>
          <w:b/>
          <w:color w:val="000000"/>
          <w:sz w:val="20"/>
          <w:szCs w:val="20"/>
        </w:rPr>
        <w:t>občanský zákoník</w:t>
      </w:r>
      <w:r>
        <w:rPr>
          <w:rFonts w:ascii="Arial" w:eastAsia="Arial" w:hAnsi="Arial" w:cs="Arial"/>
          <w:color w:val="000000"/>
          <w:sz w:val="20"/>
          <w:szCs w:val="20"/>
        </w:rPr>
        <w:t>“)</w:t>
      </w:r>
    </w:p>
    <w:p w14:paraId="2B584AFE" w14:textId="77777777" w:rsidR="0089562D" w:rsidRDefault="005A5880">
      <w:pPr>
        <w:pBdr>
          <w:top w:val="nil"/>
          <w:left w:val="nil"/>
          <w:bottom w:val="nil"/>
          <w:right w:val="nil"/>
          <w:between w:val="nil"/>
        </w:pBdr>
        <w:spacing w:after="120"/>
        <w:jc w:val="center"/>
        <w:rPr>
          <w:rFonts w:ascii="Arial" w:eastAsia="Arial" w:hAnsi="Arial" w:cs="Arial"/>
          <w:color w:val="000000"/>
          <w:sz w:val="20"/>
          <w:szCs w:val="20"/>
        </w:rPr>
      </w:pPr>
      <w:r>
        <w:rPr>
          <w:rFonts w:ascii="Arial" w:eastAsia="Arial" w:hAnsi="Arial" w:cs="Arial"/>
          <w:color w:val="000000"/>
          <w:sz w:val="20"/>
          <w:szCs w:val="20"/>
        </w:rPr>
        <w:t>dále jen „</w:t>
      </w:r>
      <w:r>
        <w:rPr>
          <w:rFonts w:ascii="Arial" w:eastAsia="Arial" w:hAnsi="Arial" w:cs="Arial"/>
          <w:b/>
          <w:color w:val="000000"/>
          <w:sz w:val="20"/>
          <w:szCs w:val="20"/>
        </w:rPr>
        <w:t>Smlouva</w:t>
      </w:r>
      <w:r>
        <w:rPr>
          <w:rFonts w:ascii="Arial" w:eastAsia="Arial" w:hAnsi="Arial" w:cs="Arial"/>
          <w:color w:val="000000"/>
          <w:sz w:val="20"/>
          <w:szCs w:val="20"/>
        </w:rPr>
        <w:t>“</w:t>
      </w:r>
    </w:p>
    <w:p w14:paraId="7541CE48" w14:textId="77777777" w:rsidR="0089562D" w:rsidRDefault="0089562D">
      <w:pPr>
        <w:pBdr>
          <w:top w:val="nil"/>
          <w:left w:val="nil"/>
          <w:bottom w:val="nil"/>
          <w:right w:val="nil"/>
          <w:between w:val="nil"/>
        </w:pBdr>
        <w:spacing w:after="120"/>
        <w:jc w:val="center"/>
        <w:rPr>
          <w:rFonts w:ascii="Arial" w:eastAsia="Arial" w:hAnsi="Arial" w:cs="Arial"/>
          <w:color w:val="000000"/>
          <w:sz w:val="20"/>
          <w:szCs w:val="20"/>
        </w:rPr>
      </w:pPr>
      <w:bookmarkStart w:id="0" w:name="_heading=h.7ia3new05lxa" w:colFirst="0" w:colLast="0"/>
      <w:bookmarkEnd w:id="0"/>
    </w:p>
    <w:p w14:paraId="7893A274" w14:textId="77777777" w:rsidR="0089562D" w:rsidRDefault="005A5880">
      <w:pPr>
        <w:spacing w:after="0"/>
        <w:jc w:val="center"/>
        <w:rPr>
          <w:rFonts w:ascii="Arial" w:eastAsia="Arial" w:hAnsi="Arial" w:cs="Arial"/>
          <w:b/>
          <w:sz w:val="28"/>
          <w:szCs w:val="28"/>
        </w:rPr>
      </w:pPr>
      <w:r>
        <w:rPr>
          <w:rFonts w:ascii="Arial" w:eastAsia="Arial" w:hAnsi="Arial" w:cs="Arial"/>
          <w:b/>
          <w:sz w:val="28"/>
          <w:szCs w:val="28"/>
        </w:rPr>
        <w:t xml:space="preserve">„Projektová dokumentace pro provedení stavby Výměna oken a dveří v Památníku A. Dvořáka ve Vysoké čp. 69“ </w:t>
      </w:r>
    </w:p>
    <w:p w14:paraId="52CC378C" w14:textId="77777777" w:rsidR="0089562D" w:rsidRDefault="0089562D">
      <w:pPr>
        <w:pBdr>
          <w:top w:val="nil"/>
          <w:left w:val="nil"/>
          <w:bottom w:val="nil"/>
          <w:right w:val="nil"/>
          <w:between w:val="nil"/>
        </w:pBdr>
        <w:spacing w:after="120"/>
        <w:jc w:val="center"/>
        <w:rPr>
          <w:rFonts w:ascii="Arial" w:eastAsia="Arial" w:hAnsi="Arial" w:cs="Arial"/>
          <w:b/>
          <w:color w:val="000000"/>
        </w:rPr>
      </w:pPr>
    </w:p>
    <w:p w14:paraId="7F7BD5FD" w14:textId="77777777" w:rsidR="0089562D" w:rsidRDefault="0089562D">
      <w:pPr>
        <w:pBdr>
          <w:top w:val="nil"/>
          <w:left w:val="nil"/>
          <w:bottom w:val="nil"/>
          <w:right w:val="nil"/>
          <w:between w:val="nil"/>
        </w:pBdr>
        <w:spacing w:after="120"/>
        <w:rPr>
          <w:rFonts w:ascii="Arial" w:eastAsia="Arial" w:hAnsi="Arial" w:cs="Arial"/>
          <w:color w:val="000000"/>
          <w:sz w:val="20"/>
          <w:szCs w:val="20"/>
        </w:rPr>
      </w:pPr>
    </w:p>
    <w:p w14:paraId="4CCD4CD6" w14:textId="77777777" w:rsidR="0089562D" w:rsidRDefault="005A5880">
      <w:pPr>
        <w:widowControl w:val="0"/>
        <w:spacing w:before="2" w:after="2" w:line="360" w:lineRule="auto"/>
        <w:rPr>
          <w:rFonts w:ascii="Arial" w:eastAsia="Arial" w:hAnsi="Arial" w:cs="Arial"/>
          <w:b/>
          <w:sz w:val="20"/>
          <w:szCs w:val="20"/>
        </w:rPr>
      </w:pPr>
      <w:r>
        <w:rPr>
          <w:rFonts w:ascii="Arial" w:eastAsia="Arial" w:hAnsi="Arial" w:cs="Arial"/>
          <w:b/>
          <w:sz w:val="20"/>
          <w:szCs w:val="20"/>
        </w:rPr>
        <w:t>Objednatel</w:t>
      </w: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b/>
          <w:sz w:val="20"/>
          <w:szCs w:val="20"/>
        </w:rPr>
        <w:t>Památník A. Dvořáka ve Vysoké u Příbrami, příspěvková organizace</w:t>
      </w:r>
    </w:p>
    <w:p w14:paraId="7B098661" w14:textId="77777777" w:rsidR="0089562D" w:rsidRDefault="005A5880">
      <w:pPr>
        <w:rPr>
          <w:rFonts w:ascii="Arial" w:eastAsia="Arial" w:hAnsi="Arial" w:cs="Arial"/>
          <w:sz w:val="20"/>
          <w:szCs w:val="20"/>
        </w:rPr>
      </w:pPr>
      <w:r>
        <w:rPr>
          <w:rFonts w:ascii="Arial" w:eastAsia="Arial" w:hAnsi="Arial" w:cs="Arial"/>
          <w:sz w:val="20"/>
          <w:szCs w:val="20"/>
        </w:rPr>
        <w:t>se sídlem:</w:t>
      </w:r>
      <w:r>
        <w:rPr>
          <w:rFonts w:ascii="Arial" w:eastAsia="Arial" w:hAnsi="Arial" w:cs="Arial"/>
          <w:sz w:val="20"/>
          <w:szCs w:val="20"/>
        </w:rPr>
        <w:tab/>
      </w:r>
      <w:r>
        <w:rPr>
          <w:rFonts w:ascii="Arial" w:eastAsia="Arial" w:hAnsi="Arial" w:cs="Arial"/>
          <w:sz w:val="20"/>
          <w:szCs w:val="20"/>
        </w:rPr>
        <w:tab/>
        <w:t>Vysoká u Příbramě 69, 262 42 Rožmitál p. Tř.</w:t>
      </w:r>
    </w:p>
    <w:p w14:paraId="377532DF" w14:textId="77777777" w:rsidR="0089562D" w:rsidRDefault="005A5880">
      <w:pPr>
        <w:rPr>
          <w:rFonts w:ascii="Arial" w:eastAsia="Arial" w:hAnsi="Arial" w:cs="Arial"/>
          <w:sz w:val="20"/>
          <w:szCs w:val="20"/>
        </w:rPr>
      </w:pPr>
      <w:r>
        <w:rPr>
          <w:rFonts w:ascii="Arial" w:eastAsia="Arial" w:hAnsi="Arial" w:cs="Arial"/>
          <w:sz w:val="20"/>
          <w:szCs w:val="20"/>
        </w:rPr>
        <w:t>zastoupen:</w:t>
      </w:r>
      <w:r>
        <w:rPr>
          <w:rFonts w:ascii="Arial" w:eastAsia="Arial" w:hAnsi="Arial" w:cs="Arial"/>
          <w:sz w:val="20"/>
          <w:szCs w:val="20"/>
        </w:rPr>
        <w:tab/>
      </w:r>
      <w:r>
        <w:rPr>
          <w:rFonts w:ascii="Arial" w:eastAsia="Arial" w:hAnsi="Arial" w:cs="Arial"/>
          <w:sz w:val="20"/>
          <w:szCs w:val="20"/>
        </w:rPr>
        <w:tab/>
        <w:t>Mgr. Vojtěchem Poláčkem, ředitelem</w:t>
      </w:r>
    </w:p>
    <w:p w14:paraId="262D63C3" w14:textId="77777777" w:rsidR="0089562D" w:rsidRDefault="005A5880">
      <w:pPr>
        <w:rPr>
          <w:rFonts w:ascii="Arial" w:eastAsia="Arial" w:hAnsi="Arial" w:cs="Arial"/>
          <w:sz w:val="20"/>
          <w:szCs w:val="20"/>
        </w:rPr>
      </w:pPr>
      <w:r>
        <w:rPr>
          <w:rFonts w:ascii="Arial" w:eastAsia="Arial" w:hAnsi="Arial" w:cs="Arial"/>
          <w:sz w:val="20"/>
          <w:szCs w:val="20"/>
        </w:rPr>
        <w:t xml:space="preserve">IČ: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489 56 341</w:t>
      </w:r>
    </w:p>
    <w:p w14:paraId="36590602" w14:textId="77777777" w:rsidR="0089562D" w:rsidRDefault="005A5880">
      <w:pPr>
        <w:rPr>
          <w:rFonts w:ascii="Arial" w:eastAsia="Arial" w:hAnsi="Arial" w:cs="Arial"/>
          <w:sz w:val="20"/>
          <w:szCs w:val="20"/>
        </w:rPr>
      </w:pPr>
      <w:r>
        <w:rPr>
          <w:rFonts w:ascii="Arial" w:eastAsia="Arial" w:hAnsi="Arial" w:cs="Arial"/>
          <w:sz w:val="20"/>
          <w:szCs w:val="20"/>
        </w:rPr>
        <w:t xml:space="preserve">bankovní spojení: </w:t>
      </w:r>
      <w:r>
        <w:rPr>
          <w:rFonts w:ascii="Arial" w:eastAsia="Arial" w:hAnsi="Arial" w:cs="Arial"/>
          <w:sz w:val="20"/>
          <w:szCs w:val="20"/>
        </w:rPr>
        <w:tab/>
        <w:t>Komerční banka</w:t>
      </w:r>
    </w:p>
    <w:p w14:paraId="10485039" w14:textId="77777777" w:rsidR="0089562D" w:rsidRDefault="005A5880">
      <w:pPr>
        <w:rPr>
          <w:rFonts w:ascii="Arial" w:eastAsia="Arial" w:hAnsi="Arial" w:cs="Arial"/>
          <w:sz w:val="20"/>
          <w:szCs w:val="20"/>
        </w:rPr>
      </w:pPr>
      <w:r>
        <w:rPr>
          <w:rFonts w:ascii="Arial" w:eastAsia="Arial" w:hAnsi="Arial" w:cs="Arial"/>
          <w:sz w:val="20"/>
          <w:szCs w:val="20"/>
        </w:rPr>
        <w:t xml:space="preserve">číslo účtu: </w:t>
      </w:r>
      <w:r>
        <w:rPr>
          <w:rFonts w:ascii="Arial" w:eastAsia="Arial" w:hAnsi="Arial" w:cs="Arial"/>
          <w:sz w:val="20"/>
          <w:szCs w:val="20"/>
        </w:rPr>
        <w:tab/>
      </w:r>
      <w:r>
        <w:rPr>
          <w:rFonts w:ascii="Arial" w:eastAsia="Arial" w:hAnsi="Arial" w:cs="Arial"/>
          <w:sz w:val="20"/>
          <w:szCs w:val="20"/>
        </w:rPr>
        <w:tab/>
        <w:t>883470267/0100</w:t>
      </w:r>
    </w:p>
    <w:p w14:paraId="413A57D9" w14:textId="77777777" w:rsidR="0089562D" w:rsidRDefault="0089562D">
      <w:pPr>
        <w:ind w:left="2124" w:hanging="2124"/>
        <w:rPr>
          <w:rFonts w:ascii="Arial" w:eastAsia="Arial" w:hAnsi="Arial" w:cs="Arial"/>
          <w:sz w:val="20"/>
          <w:szCs w:val="20"/>
        </w:rPr>
      </w:pPr>
    </w:p>
    <w:p w14:paraId="7649020F" w14:textId="77777777" w:rsidR="0089562D" w:rsidRDefault="005A5880">
      <w:pPr>
        <w:rPr>
          <w:rFonts w:ascii="Arial" w:eastAsia="Arial" w:hAnsi="Arial" w:cs="Arial"/>
          <w:sz w:val="20"/>
          <w:szCs w:val="20"/>
        </w:rPr>
      </w:pPr>
      <w:r>
        <w:rPr>
          <w:rFonts w:ascii="Arial" w:eastAsia="Arial" w:hAnsi="Arial" w:cs="Arial"/>
          <w:sz w:val="20"/>
          <w:szCs w:val="20"/>
        </w:rPr>
        <w:t xml:space="preserve">dále jen </w:t>
      </w:r>
      <w:r>
        <w:rPr>
          <w:rFonts w:ascii="Arial" w:eastAsia="Arial" w:hAnsi="Arial" w:cs="Arial"/>
          <w:i/>
          <w:sz w:val="20"/>
          <w:szCs w:val="20"/>
        </w:rPr>
        <w:t>„</w:t>
      </w:r>
      <w:r>
        <w:rPr>
          <w:rFonts w:ascii="Arial" w:eastAsia="Arial" w:hAnsi="Arial" w:cs="Arial"/>
          <w:b/>
          <w:sz w:val="20"/>
          <w:szCs w:val="20"/>
        </w:rPr>
        <w:t>Objednatel</w:t>
      </w:r>
      <w:r>
        <w:rPr>
          <w:rFonts w:ascii="Arial" w:eastAsia="Arial" w:hAnsi="Arial" w:cs="Arial"/>
          <w:i/>
          <w:sz w:val="20"/>
          <w:szCs w:val="20"/>
        </w:rPr>
        <w:t>“</w:t>
      </w:r>
    </w:p>
    <w:p w14:paraId="69E0FEAB" w14:textId="77777777" w:rsidR="0089562D" w:rsidRDefault="005A5880">
      <w:pPr>
        <w:rPr>
          <w:rFonts w:ascii="Arial" w:eastAsia="Arial" w:hAnsi="Arial" w:cs="Arial"/>
          <w:sz w:val="20"/>
          <w:szCs w:val="20"/>
        </w:rPr>
      </w:pPr>
      <w:r>
        <w:rPr>
          <w:rFonts w:ascii="Arial" w:eastAsia="Arial" w:hAnsi="Arial" w:cs="Arial"/>
          <w:sz w:val="20"/>
          <w:szCs w:val="20"/>
        </w:rPr>
        <w:t>a</w:t>
      </w:r>
    </w:p>
    <w:p w14:paraId="7796E4D2" w14:textId="77777777" w:rsidR="0089562D" w:rsidRDefault="005A5880">
      <w:pPr>
        <w:rPr>
          <w:rFonts w:ascii="Arial" w:eastAsia="Arial" w:hAnsi="Arial" w:cs="Arial"/>
          <w:b/>
          <w:sz w:val="20"/>
          <w:szCs w:val="20"/>
        </w:rPr>
      </w:pPr>
      <w:r>
        <w:rPr>
          <w:rFonts w:ascii="Arial" w:eastAsia="Arial" w:hAnsi="Arial" w:cs="Arial"/>
          <w:b/>
          <w:sz w:val="20"/>
          <w:szCs w:val="20"/>
        </w:rPr>
        <w:t>Dodavatel</w:t>
      </w: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t>Ing. arch. Jiří Jeřábek</w:t>
      </w:r>
    </w:p>
    <w:p w14:paraId="72D55268" w14:textId="77777777" w:rsidR="0089562D" w:rsidRDefault="005A5880">
      <w:pPr>
        <w:rPr>
          <w:rFonts w:ascii="Arial" w:eastAsia="Arial" w:hAnsi="Arial" w:cs="Arial"/>
          <w:sz w:val="20"/>
          <w:szCs w:val="20"/>
        </w:rPr>
      </w:pPr>
      <w:r>
        <w:rPr>
          <w:rFonts w:ascii="Arial" w:eastAsia="Arial" w:hAnsi="Arial" w:cs="Arial"/>
          <w:sz w:val="20"/>
          <w:szCs w:val="20"/>
        </w:rPr>
        <w:t>se sídlem:</w:t>
      </w:r>
      <w:r>
        <w:rPr>
          <w:rFonts w:ascii="Arial" w:eastAsia="Arial" w:hAnsi="Arial" w:cs="Arial"/>
          <w:sz w:val="20"/>
          <w:szCs w:val="20"/>
        </w:rPr>
        <w:tab/>
      </w:r>
      <w:r>
        <w:rPr>
          <w:rFonts w:ascii="Arial" w:eastAsia="Arial" w:hAnsi="Arial" w:cs="Arial"/>
          <w:sz w:val="20"/>
          <w:szCs w:val="20"/>
        </w:rPr>
        <w:tab/>
        <w:t>Na Vypichu 1989/18, Praha 6</w:t>
      </w:r>
    </w:p>
    <w:p w14:paraId="7CC76560" w14:textId="77777777" w:rsidR="0089562D" w:rsidRDefault="005A5880">
      <w:pPr>
        <w:rPr>
          <w:rFonts w:ascii="Arial" w:eastAsia="Arial" w:hAnsi="Arial" w:cs="Arial"/>
          <w:sz w:val="20"/>
          <w:szCs w:val="20"/>
        </w:rPr>
      </w:pPr>
      <w:r>
        <w:rPr>
          <w:rFonts w:ascii="Arial" w:eastAsia="Arial" w:hAnsi="Arial" w:cs="Arial"/>
          <w:sz w:val="20"/>
          <w:szCs w:val="20"/>
        </w:rPr>
        <w:t xml:space="preserve">zastoupený: </w:t>
      </w:r>
      <w:r>
        <w:rPr>
          <w:rFonts w:ascii="Arial" w:eastAsia="Arial" w:hAnsi="Arial" w:cs="Arial"/>
          <w:sz w:val="20"/>
          <w:szCs w:val="20"/>
        </w:rPr>
        <w:tab/>
      </w:r>
      <w:r>
        <w:rPr>
          <w:rFonts w:ascii="Arial" w:eastAsia="Arial" w:hAnsi="Arial" w:cs="Arial"/>
          <w:sz w:val="20"/>
          <w:szCs w:val="20"/>
        </w:rPr>
        <w:tab/>
        <w:t>Ing. arch. Jiří Jeřábek</w:t>
      </w:r>
    </w:p>
    <w:p w14:paraId="08890EFC" w14:textId="77777777" w:rsidR="0089562D" w:rsidRDefault="005A5880">
      <w:pPr>
        <w:rPr>
          <w:rFonts w:ascii="Arial" w:eastAsia="Arial" w:hAnsi="Arial" w:cs="Arial"/>
          <w:sz w:val="20"/>
          <w:szCs w:val="20"/>
        </w:rPr>
      </w:pPr>
      <w:r>
        <w:rPr>
          <w:rFonts w:ascii="Arial" w:eastAsia="Arial" w:hAnsi="Arial" w:cs="Arial"/>
          <w:sz w:val="20"/>
          <w:szCs w:val="20"/>
        </w:rPr>
        <w:t xml:space="preserve">IČ: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00955591</w:t>
      </w:r>
    </w:p>
    <w:p w14:paraId="0D109DCF" w14:textId="77777777" w:rsidR="0089562D" w:rsidRDefault="005A5880">
      <w:pPr>
        <w:rPr>
          <w:rFonts w:ascii="Arial" w:eastAsia="Arial" w:hAnsi="Arial" w:cs="Arial"/>
          <w:sz w:val="20"/>
          <w:szCs w:val="20"/>
        </w:rPr>
      </w:pPr>
      <w:r>
        <w:rPr>
          <w:rFonts w:ascii="Arial" w:eastAsia="Arial" w:hAnsi="Arial" w:cs="Arial"/>
          <w:sz w:val="20"/>
          <w:szCs w:val="20"/>
        </w:rPr>
        <w:t>DIČ: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CZ9010062666</w:t>
      </w:r>
    </w:p>
    <w:p w14:paraId="5182D3E2" w14:textId="77777777" w:rsidR="0089562D" w:rsidRDefault="005A5880">
      <w:pPr>
        <w:rPr>
          <w:rFonts w:ascii="Arial" w:eastAsia="Arial" w:hAnsi="Arial" w:cs="Arial"/>
          <w:sz w:val="20"/>
          <w:szCs w:val="20"/>
        </w:rPr>
      </w:pPr>
      <w:r>
        <w:rPr>
          <w:rFonts w:ascii="Arial" w:eastAsia="Arial" w:hAnsi="Arial" w:cs="Arial"/>
          <w:sz w:val="20"/>
          <w:szCs w:val="20"/>
        </w:rPr>
        <w:t xml:space="preserve">bankovní spojení: </w:t>
      </w:r>
      <w:r>
        <w:rPr>
          <w:rFonts w:ascii="Arial" w:eastAsia="Arial" w:hAnsi="Arial" w:cs="Arial"/>
          <w:sz w:val="20"/>
          <w:szCs w:val="20"/>
        </w:rPr>
        <w:tab/>
        <w:t>AirBank</w:t>
      </w:r>
    </w:p>
    <w:p w14:paraId="23075C18" w14:textId="77777777" w:rsidR="0089562D" w:rsidRDefault="005A5880">
      <w:pPr>
        <w:rPr>
          <w:rFonts w:ascii="Arial" w:eastAsia="Arial" w:hAnsi="Arial" w:cs="Arial"/>
          <w:sz w:val="20"/>
          <w:szCs w:val="20"/>
        </w:rPr>
      </w:pPr>
      <w:r>
        <w:rPr>
          <w:rFonts w:ascii="Arial" w:eastAsia="Arial" w:hAnsi="Arial" w:cs="Arial"/>
          <w:sz w:val="20"/>
          <w:szCs w:val="20"/>
        </w:rPr>
        <w:t xml:space="preserve">číslo účtu: </w:t>
      </w:r>
      <w:r>
        <w:rPr>
          <w:rFonts w:ascii="Arial" w:eastAsia="Arial" w:hAnsi="Arial" w:cs="Arial"/>
          <w:sz w:val="20"/>
          <w:szCs w:val="20"/>
        </w:rPr>
        <w:tab/>
      </w:r>
      <w:r>
        <w:rPr>
          <w:rFonts w:ascii="Arial" w:eastAsia="Arial" w:hAnsi="Arial" w:cs="Arial"/>
          <w:sz w:val="20"/>
          <w:szCs w:val="20"/>
        </w:rPr>
        <w:tab/>
        <w:t>1028337021/3030</w:t>
      </w:r>
    </w:p>
    <w:p w14:paraId="6C64DA22" w14:textId="77777777" w:rsidR="0089562D" w:rsidRDefault="005A5880">
      <w:pPr>
        <w:rPr>
          <w:rFonts w:ascii="Arial" w:eastAsia="Arial" w:hAnsi="Arial" w:cs="Arial"/>
          <w:sz w:val="20"/>
          <w:szCs w:val="20"/>
        </w:rPr>
      </w:pPr>
      <w:r>
        <w:rPr>
          <w:rFonts w:ascii="Arial" w:eastAsia="Arial" w:hAnsi="Arial" w:cs="Arial"/>
          <w:sz w:val="20"/>
          <w:szCs w:val="20"/>
        </w:rPr>
        <w:t xml:space="preserve">zapsaný v obchodním rejstříku vedeném Úřadem městské části Praha 6 soudem v </w:t>
      </w:r>
      <w:proofErr w:type="gramStart"/>
      <w:r>
        <w:rPr>
          <w:rFonts w:ascii="Arial" w:eastAsia="Arial" w:hAnsi="Arial" w:cs="Arial"/>
          <w:sz w:val="20"/>
          <w:szCs w:val="20"/>
        </w:rPr>
        <w:t xml:space="preserve">Praze  </w:t>
      </w:r>
      <w:proofErr w:type="spellStart"/>
      <w:r>
        <w:rPr>
          <w:rFonts w:ascii="Arial" w:eastAsia="Arial" w:hAnsi="Arial" w:cs="Arial"/>
          <w:sz w:val="20"/>
          <w:szCs w:val="20"/>
        </w:rPr>
        <w:t>sp</w:t>
      </w:r>
      <w:proofErr w:type="spellEnd"/>
      <w:r>
        <w:rPr>
          <w:rFonts w:ascii="Arial" w:eastAsia="Arial" w:hAnsi="Arial" w:cs="Arial"/>
          <w:sz w:val="20"/>
          <w:szCs w:val="20"/>
        </w:rPr>
        <w:t>.</w:t>
      </w:r>
      <w:proofErr w:type="gramEnd"/>
      <w:r>
        <w:rPr>
          <w:rFonts w:ascii="Arial" w:eastAsia="Arial" w:hAnsi="Arial" w:cs="Arial"/>
          <w:sz w:val="20"/>
          <w:szCs w:val="20"/>
        </w:rPr>
        <w:t xml:space="preserve"> zn. SZ MCP6 0627777/2025/139810</w:t>
      </w:r>
    </w:p>
    <w:p w14:paraId="74114D40" w14:textId="77777777" w:rsidR="0089562D" w:rsidRDefault="005A5880">
      <w:pPr>
        <w:rPr>
          <w:rFonts w:ascii="Arial" w:eastAsia="Arial" w:hAnsi="Arial" w:cs="Arial"/>
          <w:i/>
          <w:sz w:val="20"/>
          <w:szCs w:val="20"/>
        </w:rPr>
      </w:pPr>
      <w:r>
        <w:rPr>
          <w:rFonts w:ascii="Arial" w:eastAsia="Arial" w:hAnsi="Arial" w:cs="Arial"/>
          <w:sz w:val="20"/>
          <w:szCs w:val="20"/>
        </w:rPr>
        <w:t xml:space="preserve"> dále jen </w:t>
      </w:r>
      <w:r>
        <w:rPr>
          <w:rFonts w:ascii="Arial" w:eastAsia="Arial" w:hAnsi="Arial" w:cs="Arial"/>
          <w:i/>
          <w:sz w:val="20"/>
          <w:szCs w:val="20"/>
        </w:rPr>
        <w:t>„</w:t>
      </w:r>
      <w:r>
        <w:rPr>
          <w:rFonts w:ascii="Arial" w:eastAsia="Arial" w:hAnsi="Arial" w:cs="Arial"/>
          <w:b/>
          <w:sz w:val="20"/>
          <w:szCs w:val="20"/>
        </w:rPr>
        <w:t>Dodavatel</w:t>
      </w:r>
      <w:r>
        <w:rPr>
          <w:rFonts w:ascii="Arial" w:eastAsia="Arial" w:hAnsi="Arial" w:cs="Arial"/>
          <w:i/>
          <w:sz w:val="20"/>
          <w:szCs w:val="20"/>
        </w:rPr>
        <w:t>“</w:t>
      </w:r>
    </w:p>
    <w:p w14:paraId="56CD76AD" w14:textId="77777777" w:rsidR="0089562D" w:rsidRDefault="0089562D">
      <w:pPr>
        <w:rPr>
          <w:rFonts w:ascii="Arial" w:eastAsia="Arial" w:hAnsi="Arial" w:cs="Arial"/>
          <w:sz w:val="20"/>
          <w:szCs w:val="20"/>
        </w:rPr>
      </w:pPr>
    </w:p>
    <w:p w14:paraId="234EB061" w14:textId="77777777" w:rsidR="0089562D" w:rsidRDefault="005A5880">
      <w:pPr>
        <w:rPr>
          <w:rFonts w:ascii="Arial" w:eastAsia="Arial" w:hAnsi="Arial" w:cs="Arial"/>
          <w:i/>
          <w:sz w:val="20"/>
          <w:szCs w:val="20"/>
        </w:rPr>
      </w:pPr>
      <w:r>
        <w:rPr>
          <w:rFonts w:ascii="Arial" w:eastAsia="Arial" w:hAnsi="Arial" w:cs="Arial"/>
          <w:sz w:val="20"/>
          <w:szCs w:val="20"/>
        </w:rPr>
        <w:t>Objednatel a Dodavatel dále společně také jako „</w:t>
      </w:r>
      <w:r>
        <w:rPr>
          <w:rFonts w:ascii="Arial" w:eastAsia="Arial" w:hAnsi="Arial" w:cs="Arial"/>
          <w:b/>
          <w:sz w:val="20"/>
          <w:szCs w:val="20"/>
        </w:rPr>
        <w:t>Smluvní strany</w:t>
      </w:r>
      <w:r>
        <w:rPr>
          <w:rFonts w:ascii="Arial" w:eastAsia="Arial" w:hAnsi="Arial" w:cs="Arial"/>
          <w:sz w:val="20"/>
          <w:szCs w:val="20"/>
        </w:rPr>
        <w:t>“</w:t>
      </w:r>
    </w:p>
    <w:p w14:paraId="1CD13170" w14:textId="77777777" w:rsidR="0089562D" w:rsidRDefault="0089562D">
      <w:pPr>
        <w:tabs>
          <w:tab w:val="left" w:pos="5070"/>
        </w:tabs>
        <w:jc w:val="center"/>
        <w:rPr>
          <w:rFonts w:ascii="Arial" w:eastAsia="Arial" w:hAnsi="Arial" w:cs="Arial"/>
          <w:b/>
          <w:sz w:val="22"/>
          <w:szCs w:val="22"/>
        </w:rPr>
      </w:pPr>
    </w:p>
    <w:p w14:paraId="20625202" w14:textId="77777777" w:rsidR="0089562D" w:rsidRDefault="0089562D">
      <w:pPr>
        <w:tabs>
          <w:tab w:val="left" w:pos="5070"/>
        </w:tabs>
        <w:jc w:val="center"/>
        <w:rPr>
          <w:rFonts w:ascii="Arial" w:eastAsia="Arial" w:hAnsi="Arial" w:cs="Arial"/>
          <w:b/>
          <w:sz w:val="22"/>
          <w:szCs w:val="22"/>
        </w:rPr>
      </w:pPr>
    </w:p>
    <w:p w14:paraId="76F0D2AB" w14:textId="77777777" w:rsidR="0089562D" w:rsidRDefault="0089562D">
      <w:pPr>
        <w:tabs>
          <w:tab w:val="left" w:pos="5070"/>
        </w:tabs>
        <w:jc w:val="center"/>
        <w:rPr>
          <w:rFonts w:ascii="Arial" w:eastAsia="Arial" w:hAnsi="Arial" w:cs="Arial"/>
          <w:b/>
          <w:sz w:val="22"/>
          <w:szCs w:val="22"/>
        </w:rPr>
      </w:pPr>
    </w:p>
    <w:p w14:paraId="0FCECFF4" w14:textId="77777777" w:rsidR="0089562D" w:rsidRDefault="0089562D">
      <w:pPr>
        <w:tabs>
          <w:tab w:val="left" w:pos="5070"/>
        </w:tabs>
        <w:jc w:val="center"/>
        <w:rPr>
          <w:rFonts w:ascii="Arial" w:eastAsia="Arial" w:hAnsi="Arial" w:cs="Arial"/>
          <w:b/>
          <w:sz w:val="22"/>
          <w:szCs w:val="22"/>
        </w:rPr>
      </w:pPr>
    </w:p>
    <w:p w14:paraId="0C0C716D" w14:textId="77777777" w:rsidR="0089562D" w:rsidRDefault="005A5880">
      <w:pPr>
        <w:tabs>
          <w:tab w:val="left" w:pos="5070"/>
        </w:tabs>
        <w:jc w:val="center"/>
        <w:rPr>
          <w:rFonts w:ascii="Arial" w:eastAsia="Arial" w:hAnsi="Arial" w:cs="Arial"/>
          <w:b/>
          <w:sz w:val="22"/>
          <w:szCs w:val="22"/>
        </w:rPr>
      </w:pPr>
      <w:r>
        <w:rPr>
          <w:rFonts w:ascii="Arial" w:eastAsia="Arial" w:hAnsi="Arial" w:cs="Arial"/>
          <w:b/>
          <w:sz w:val="22"/>
          <w:szCs w:val="22"/>
        </w:rPr>
        <w:t>Preambule</w:t>
      </w:r>
    </w:p>
    <w:p w14:paraId="54681566" w14:textId="77777777" w:rsidR="0089562D" w:rsidRDefault="005A5880">
      <w:pPr>
        <w:widowControl w:val="0"/>
        <w:numPr>
          <w:ilvl w:val="1"/>
          <w:numId w:val="3"/>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Dodavatel prohlašuje, že není osobou nebo subjektem [1], který je určeným cílem nebo který je jinak předmětem sankcí, včetně, ale nejen, v důsledku toho, že je takový subjekt vlastněn nebo jinak ovládán, přímo či nepřímo, jakoukoli fyzickou nebo právnickou osobou, která je určeným cílem sankcí nebo která je jinak předmětem sankcí (dále jen „</w:t>
      </w:r>
      <w:r>
        <w:rPr>
          <w:rFonts w:ascii="Arial" w:eastAsia="Arial" w:hAnsi="Arial" w:cs="Arial"/>
          <w:b/>
          <w:color w:val="000000"/>
          <w:sz w:val="20"/>
          <w:szCs w:val="20"/>
        </w:rPr>
        <w:t>Sankcionovaná osoba</w:t>
      </w:r>
      <w:r>
        <w:rPr>
          <w:rFonts w:ascii="Arial" w:eastAsia="Arial" w:hAnsi="Arial" w:cs="Arial"/>
          <w:color w:val="000000"/>
          <w:sz w:val="20"/>
          <w:szCs w:val="20"/>
        </w:rPr>
        <w:t>“).</w:t>
      </w:r>
    </w:p>
    <w:p w14:paraId="3809C9BD" w14:textId="77777777" w:rsidR="0089562D" w:rsidRDefault="0089562D">
      <w:pPr>
        <w:pBdr>
          <w:top w:val="nil"/>
          <w:left w:val="nil"/>
          <w:bottom w:val="nil"/>
          <w:right w:val="nil"/>
          <w:between w:val="nil"/>
        </w:pBdr>
        <w:spacing w:line="276" w:lineRule="auto"/>
        <w:ind w:left="450"/>
        <w:rPr>
          <w:rFonts w:ascii="Arial" w:eastAsia="Arial" w:hAnsi="Arial" w:cs="Arial"/>
          <w:color w:val="000000"/>
          <w:sz w:val="20"/>
          <w:szCs w:val="20"/>
        </w:rPr>
      </w:pPr>
    </w:p>
    <w:p w14:paraId="6A8D2FC6" w14:textId="77777777" w:rsidR="0089562D" w:rsidRDefault="005A5880">
      <w:pPr>
        <w:widowControl w:val="0"/>
        <w:numPr>
          <w:ilvl w:val="1"/>
          <w:numId w:val="3"/>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Dodavatel dále prohlašuje, že neporušuje jakékoli zákony, předpisy, obchodní embarga nebo jiná omezující opatření týkající se hospodářských nebo finančních sankcí (zejména, ale nikoli výlučně, opatření týkající se financování terorismu) přijatá, spravovaná, prováděná a/nebo vynucená čas od času některým z následujících způsobů:</w:t>
      </w:r>
    </w:p>
    <w:p w14:paraId="456EB025" w14:textId="77777777" w:rsidR="0089562D" w:rsidRDefault="005A5880">
      <w:pPr>
        <w:widowControl w:val="0"/>
        <w:numPr>
          <w:ilvl w:val="0"/>
          <w:numId w:val="4"/>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Organizací spojených národů a jakoukoli agenturu nebo osobu, která je řádně jmenována, zmocněna nebo oprávněna Organizací spojených národů k přijímání, správě, provádění a/nebo uplatňování těchto opatření;</w:t>
      </w:r>
    </w:p>
    <w:p w14:paraId="426866E4" w14:textId="77777777" w:rsidR="0089562D" w:rsidRDefault="005A5880">
      <w:pPr>
        <w:widowControl w:val="0"/>
        <w:numPr>
          <w:ilvl w:val="0"/>
          <w:numId w:val="4"/>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Evropskou unií a jakoukoli agenturu nebo osobu, která je řádně jmenována, zmocněna nebo oprávněna Evropskou unií k přijímání, správě, provádění a/nebo uplatňování těchto opatření; a</w:t>
      </w:r>
    </w:p>
    <w:p w14:paraId="3A3FFE70" w14:textId="77777777" w:rsidR="0089562D" w:rsidRDefault="005A5880">
      <w:pPr>
        <w:widowControl w:val="0"/>
        <w:numPr>
          <w:ilvl w:val="0"/>
          <w:numId w:val="4"/>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vláda Spojených států amerických a jakékoli její ministerstvo, divize, agentura nebo kancelář, včetně Úřadu pro kontrolu zahraničních aktiv (OFAC) ministerstva financí USA, ministerstva zahraničí USA a/nebo ministerstvo obchodu USA (dále souhrnně jen „</w:t>
      </w:r>
      <w:r>
        <w:rPr>
          <w:rFonts w:ascii="Arial" w:eastAsia="Arial" w:hAnsi="Arial" w:cs="Arial"/>
          <w:b/>
          <w:i/>
          <w:color w:val="000000"/>
          <w:sz w:val="20"/>
          <w:szCs w:val="20"/>
        </w:rPr>
        <w:t>Sankce</w:t>
      </w:r>
      <w:r>
        <w:rPr>
          <w:rFonts w:ascii="Arial" w:eastAsia="Arial" w:hAnsi="Arial" w:cs="Arial"/>
          <w:color w:val="000000"/>
          <w:sz w:val="20"/>
          <w:szCs w:val="20"/>
        </w:rPr>
        <w:t>“).</w:t>
      </w:r>
    </w:p>
    <w:p w14:paraId="4410DEB6" w14:textId="77777777" w:rsidR="0089562D" w:rsidRDefault="0089562D">
      <w:pPr>
        <w:pBdr>
          <w:top w:val="nil"/>
          <w:left w:val="nil"/>
          <w:bottom w:val="nil"/>
          <w:right w:val="nil"/>
          <w:between w:val="nil"/>
        </w:pBdr>
        <w:spacing w:line="276" w:lineRule="auto"/>
        <w:ind w:left="1170"/>
        <w:rPr>
          <w:rFonts w:ascii="Arial" w:eastAsia="Arial" w:hAnsi="Arial" w:cs="Arial"/>
          <w:color w:val="000000"/>
          <w:sz w:val="20"/>
          <w:szCs w:val="20"/>
        </w:rPr>
      </w:pPr>
    </w:p>
    <w:p w14:paraId="563CC5A8" w14:textId="77777777" w:rsidR="0089562D" w:rsidRDefault="005A5880">
      <w:pPr>
        <w:widowControl w:val="0"/>
        <w:numPr>
          <w:ilvl w:val="1"/>
          <w:numId w:val="3"/>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Dodavatel zároveň prohlašuje, že není obchodní společností, ve které veřejný funkcionář</w:t>
      </w:r>
      <w:r>
        <w:rPr>
          <w:rFonts w:ascii="Arial" w:eastAsia="Arial" w:hAnsi="Arial" w:cs="Arial"/>
          <w:color w:val="000000"/>
          <w:sz w:val="20"/>
          <w:szCs w:val="20"/>
          <w:vertAlign w:val="superscript"/>
        </w:rPr>
        <w:footnoteReference w:id="1"/>
      </w:r>
      <w:r>
        <w:rPr>
          <w:rFonts w:ascii="Arial" w:eastAsia="Arial" w:hAnsi="Arial" w:cs="Arial"/>
          <w:color w:val="000000"/>
          <w:sz w:val="20"/>
          <w:szCs w:val="20"/>
          <w:vertAlign w:val="superscript"/>
        </w:rPr>
        <w:t>[2]</w:t>
      </w:r>
      <w:r>
        <w:rPr>
          <w:rFonts w:ascii="Arial" w:eastAsia="Arial" w:hAnsi="Arial" w:cs="Arial"/>
          <w:color w:val="000000"/>
          <w:sz w:val="20"/>
          <w:szCs w:val="20"/>
        </w:rPr>
        <w:t xml:space="preserve"> uvedený v § 2 odst. 1 písm. c) zák. č. 159/2006 Sb., o střetu zájmů, ve znění pozdějších předpisů, nebo jím ovládaná osoba vlastní podíl představující alespoň 25 % účasti společníka v obchodní společnosti, a dále prohlašuje, že takovou obchodní společností není ani žádný z jeho poddodavatelů, prostřednictvím kterého Dodavatel prokazuje kvalifikaci v rámci zadávacího řízení na Veřejnou zakázku (dále jen „</w:t>
      </w:r>
      <w:r>
        <w:rPr>
          <w:rFonts w:ascii="Arial" w:eastAsia="Arial" w:hAnsi="Arial" w:cs="Arial"/>
          <w:b/>
          <w:i/>
          <w:color w:val="000000"/>
          <w:sz w:val="20"/>
          <w:szCs w:val="20"/>
        </w:rPr>
        <w:t>Střet zájmů</w:t>
      </w:r>
      <w:r>
        <w:rPr>
          <w:rFonts w:ascii="Arial" w:eastAsia="Arial" w:hAnsi="Arial" w:cs="Arial"/>
          <w:color w:val="000000"/>
          <w:sz w:val="20"/>
          <w:szCs w:val="20"/>
        </w:rPr>
        <w:t xml:space="preserve">“). </w:t>
      </w:r>
    </w:p>
    <w:p w14:paraId="74779A31" w14:textId="77777777" w:rsidR="0089562D" w:rsidRDefault="0089562D">
      <w:pPr>
        <w:widowControl w:val="0"/>
        <w:pBdr>
          <w:top w:val="nil"/>
          <w:left w:val="nil"/>
          <w:bottom w:val="nil"/>
          <w:right w:val="nil"/>
          <w:between w:val="nil"/>
        </w:pBdr>
        <w:spacing w:after="0" w:line="276" w:lineRule="auto"/>
        <w:ind w:left="450"/>
        <w:rPr>
          <w:rFonts w:ascii="Arial" w:eastAsia="Arial" w:hAnsi="Arial" w:cs="Arial"/>
          <w:color w:val="000000"/>
          <w:sz w:val="20"/>
          <w:szCs w:val="20"/>
        </w:rPr>
      </w:pPr>
    </w:p>
    <w:p w14:paraId="2B6333AD" w14:textId="77777777" w:rsidR="0089562D" w:rsidRDefault="005A5880">
      <w:pPr>
        <w:pBdr>
          <w:top w:val="nil"/>
          <w:left w:val="nil"/>
          <w:bottom w:val="nil"/>
          <w:right w:val="nil"/>
          <w:between w:val="nil"/>
        </w:pBdr>
        <w:ind w:left="680" w:hanging="680"/>
        <w:rPr>
          <w:rFonts w:ascii="Arial" w:eastAsia="Arial" w:hAnsi="Arial" w:cs="Arial"/>
          <w:b/>
          <w:color w:val="000000"/>
          <w:sz w:val="20"/>
          <w:szCs w:val="20"/>
        </w:rPr>
      </w:pPr>
      <w:r>
        <w:rPr>
          <w:rFonts w:ascii="Arial" w:eastAsia="Arial" w:hAnsi="Arial" w:cs="Arial"/>
          <w:b/>
          <w:color w:val="000000"/>
          <w:sz w:val="20"/>
          <w:szCs w:val="20"/>
        </w:rPr>
        <w:t>VZHLEDEM K TOMU, ŽE</w:t>
      </w:r>
    </w:p>
    <w:p w14:paraId="17C240A7" w14:textId="77777777" w:rsidR="0089562D" w:rsidRDefault="005A5880">
      <w:pPr>
        <w:numPr>
          <w:ilvl w:val="0"/>
          <w:numId w:val="1"/>
        </w:num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 xml:space="preserve">Objednatel provedl poptávkové řízení na veřejnou zakázku s názvem </w:t>
      </w:r>
      <w:r>
        <w:rPr>
          <w:rFonts w:ascii="Arial" w:eastAsia="Arial" w:hAnsi="Arial" w:cs="Arial"/>
          <w:b/>
          <w:color w:val="000000"/>
          <w:sz w:val="20"/>
          <w:szCs w:val="20"/>
        </w:rPr>
        <w:t>„Projektová dokumentace pro provedení stavby Výměna oken a dveří v Památníku A. Dvořáka ve Vysoké čp. 69“</w:t>
      </w:r>
      <w:r>
        <w:rPr>
          <w:rFonts w:ascii="Arial" w:eastAsia="Arial" w:hAnsi="Arial" w:cs="Arial"/>
          <w:color w:val="000000"/>
          <w:sz w:val="20"/>
          <w:szCs w:val="20"/>
        </w:rPr>
        <w:t>, jejímž předmětem je zpracování projektové dokumentace, zpracování položkového rozpočtu, podkladů pro stavební úřad, výkaz výměr, plán organizace výstavby, technická pomoc objednateli a následné zajištění autorského dozoru pro Objednatele (dále jen „</w:t>
      </w:r>
      <w:r>
        <w:rPr>
          <w:rFonts w:ascii="Arial" w:eastAsia="Arial" w:hAnsi="Arial" w:cs="Arial"/>
          <w:b/>
          <w:color w:val="000000"/>
          <w:sz w:val="20"/>
          <w:szCs w:val="20"/>
        </w:rPr>
        <w:t>Veřejná zakázka</w:t>
      </w:r>
      <w:r>
        <w:rPr>
          <w:rFonts w:ascii="Arial" w:eastAsia="Arial" w:hAnsi="Arial" w:cs="Arial"/>
          <w:color w:val="000000"/>
          <w:sz w:val="20"/>
          <w:szCs w:val="20"/>
        </w:rPr>
        <w:t>)</w:t>
      </w:r>
    </w:p>
    <w:p w14:paraId="1237011D" w14:textId="77777777" w:rsidR="0089562D" w:rsidRDefault="005A5880">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Dodavatel podal závaznou nabídku na Veřejnou zakázku a tato byla Objednatelem vybrána jako nejvhodnější;</w:t>
      </w:r>
    </w:p>
    <w:p w14:paraId="63328316" w14:textId="77777777" w:rsidR="0089562D" w:rsidRDefault="005A5880">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Dodavatel je podnikatelem, který je schopen řádně splnit předmět Veřejné zakázky, k čemuž má příslušná oprávnění; a</w:t>
      </w:r>
    </w:p>
    <w:p w14:paraId="23DBBCC2" w14:textId="77777777" w:rsidR="0089562D" w:rsidRDefault="005A5880">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Objednatel má s ohledem na výsledek poptávkového řízení na Veřejnou zakázku v úmyslu zadat Dodavateli realizaci předmětu plnění Veřejné zakázky;</w:t>
      </w:r>
    </w:p>
    <w:p w14:paraId="3FE5292E" w14:textId="77777777" w:rsidR="0089562D" w:rsidRDefault="005A588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se Smluvní strany, vědomy si svých závazků v této Smlouvě obsažených a s úmyslem být touto Smlouvou vázány, dohodly na následujícím znění Smlouvy:</w:t>
      </w:r>
    </w:p>
    <w:p w14:paraId="5569A738" w14:textId="77777777" w:rsidR="0089562D" w:rsidRDefault="0089562D">
      <w:pPr>
        <w:pBdr>
          <w:top w:val="nil"/>
          <w:left w:val="nil"/>
          <w:bottom w:val="nil"/>
          <w:right w:val="nil"/>
          <w:between w:val="nil"/>
        </w:pBdr>
        <w:rPr>
          <w:rFonts w:ascii="Arial" w:eastAsia="Arial" w:hAnsi="Arial" w:cs="Arial"/>
          <w:color w:val="000000"/>
          <w:sz w:val="20"/>
          <w:szCs w:val="20"/>
        </w:rPr>
      </w:pPr>
    </w:p>
    <w:p w14:paraId="5141038F" w14:textId="77777777" w:rsidR="0089562D" w:rsidRDefault="0089562D">
      <w:pPr>
        <w:pBdr>
          <w:top w:val="nil"/>
          <w:left w:val="nil"/>
          <w:bottom w:val="nil"/>
          <w:right w:val="nil"/>
          <w:between w:val="nil"/>
        </w:pBdr>
        <w:rPr>
          <w:rFonts w:ascii="Arial" w:eastAsia="Arial" w:hAnsi="Arial" w:cs="Arial"/>
          <w:color w:val="000000"/>
          <w:sz w:val="20"/>
          <w:szCs w:val="20"/>
        </w:rPr>
      </w:pPr>
    </w:p>
    <w:p w14:paraId="46325439" w14:textId="77777777" w:rsidR="0089562D" w:rsidRDefault="005A5880">
      <w:pPr>
        <w:numPr>
          <w:ilvl w:val="0"/>
          <w:numId w:val="7"/>
        </w:numPr>
        <w:pBdr>
          <w:top w:val="nil"/>
          <w:left w:val="nil"/>
          <w:bottom w:val="nil"/>
          <w:right w:val="nil"/>
          <w:between w:val="nil"/>
        </w:pBdr>
        <w:spacing w:before="240"/>
        <w:jc w:val="center"/>
        <w:rPr>
          <w:rFonts w:ascii="Arial" w:eastAsia="Arial" w:hAnsi="Arial" w:cs="Arial"/>
          <w:b/>
          <w:smallCaps/>
          <w:color w:val="000000"/>
          <w:sz w:val="20"/>
          <w:szCs w:val="20"/>
        </w:rPr>
      </w:pPr>
      <w:r>
        <w:rPr>
          <w:rFonts w:ascii="Arial" w:eastAsia="Arial" w:hAnsi="Arial" w:cs="Arial"/>
          <w:b/>
          <w:smallCaps/>
          <w:color w:val="000000"/>
          <w:sz w:val="20"/>
          <w:szCs w:val="20"/>
        </w:rPr>
        <w:t>ÚČEL SMLOUVY</w:t>
      </w:r>
    </w:p>
    <w:p w14:paraId="13D5EF4B"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Účelem této Smlouvy je upravit práva a povinnosti Smluvních stran při zhotovování díla vymezeného v čl. 2 této Smlouvy tak, aby zejména došlo ze strany Dodavatele k řádnému a včasnému zhotovení díla.</w:t>
      </w:r>
    </w:p>
    <w:p w14:paraId="1149C8E5"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Účelem díla je zpracování PD pro provedení akce </w:t>
      </w:r>
      <w:r>
        <w:rPr>
          <w:rFonts w:ascii="Arial" w:eastAsia="Arial" w:hAnsi="Arial" w:cs="Arial"/>
          <w:b/>
          <w:color w:val="000000"/>
          <w:sz w:val="20"/>
          <w:szCs w:val="20"/>
        </w:rPr>
        <w:t>„Výměna oken a dveří v Památníku A. Dvořáka ve Vysoké čp. 69“</w:t>
      </w:r>
      <w:r>
        <w:rPr>
          <w:rFonts w:ascii="Arial" w:eastAsia="Arial" w:hAnsi="Arial" w:cs="Arial"/>
          <w:color w:val="000000"/>
          <w:sz w:val="20"/>
          <w:szCs w:val="20"/>
        </w:rPr>
        <w:t xml:space="preserve"> (dále jen „</w:t>
      </w:r>
      <w:r>
        <w:rPr>
          <w:rFonts w:ascii="Arial" w:eastAsia="Arial" w:hAnsi="Arial" w:cs="Arial"/>
          <w:b/>
          <w:color w:val="000000"/>
          <w:sz w:val="20"/>
          <w:szCs w:val="20"/>
        </w:rPr>
        <w:t>Stavba</w:t>
      </w:r>
      <w:r>
        <w:rPr>
          <w:rFonts w:ascii="Arial" w:eastAsia="Arial" w:hAnsi="Arial" w:cs="Arial"/>
          <w:color w:val="000000"/>
          <w:sz w:val="20"/>
          <w:szCs w:val="20"/>
        </w:rPr>
        <w:t>“) a provedení všech nezbytných kroků tak, aby mohl být vybrán Dodavatel Stavby a Stavba mohla být řádně zrealizována.</w:t>
      </w:r>
    </w:p>
    <w:p w14:paraId="56ACB8F4" w14:textId="77777777" w:rsidR="0089562D" w:rsidRDefault="005A5880">
      <w:pPr>
        <w:numPr>
          <w:ilvl w:val="0"/>
          <w:numId w:val="7"/>
        </w:numPr>
        <w:pBdr>
          <w:top w:val="nil"/>
          <w:left w:val="nil"/>
          <w:bottom w:val="nil"/>
          <w:right w:val="nil"/>
          <w:between w:val="nil"/>
        </w:pBdr>
        <w:spacing w:before="240"/>
        <w:jc w:val="center"/>
        <w:rPr>
          <w:rFonts w:ascii="Arial" w:eastAsia="Arial" w:hAnsi="Arial" w:cs="Arial"/>
          <w:smallCaps/>
          <w:color w:val="000000"/>
          <w:sz w:val="20"/>
          <w:szCs w:val="20"/>
        </w:rPr>
      </w:pPr>
      <w:bookmarkStart w:id="1" w:name="_heading=h.q255elx1r4nz" w:colFirst="0" w:colLast="0"/>
      <w:bookmarkEnd w:id="1"/>
      <w:r>
        <w:rPr>
          <w:rFonts w:ascii="Arial" w:eastAsia="Arial" w:hAnsi="Arial" w:cs="Arial"/>
          <w:b/>
          <w:smallCaps/>
          <w:color w:val="000000"/>
          <w:sz w:val="20"/>
          <w:szCs w:val="20"/>
        </w:rPr>
        <w:t>PŘEDMĚT SMLOUVY</w:t>
      </w:r>
    </w:p>
    <w:p w14:paraId="3B405896"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bookmarkStart w:id="2" w:name="_heading=h.b4opmzxnsd04" w:colFirst="0" w:colLast="0"/>
      <w:bookmarkEnd w:id="2"/>
      <w:r>
        <w:rPr>
          <w:rFonts w:ascii="Arial" w:eastAsia="Arial" w:hAnsi="Arial" w:cs="Arial"/>
          <w:color w:val="000000"/>
          <w:sz w:val="20"/>
          <w:szCs w:val="20"/>
        </w:rPr>
        <w:t xml:space="preserve">Dodavatel se touto Smlouvou zavazuje provést pro Objednatele na své náklady a nebezpečí v souladu se svou závaznou nabídkou na Veřejnou zakázku a za podmínek této Smlouvy následující dílo: zpracování projektové dokumentace, v rámci realizace projektu </w:t>
      </w:r>
      <w:r>
        <w:rPr>
          <w:rFonts w:ascii="Arial" w:eastAsia="Arial" w:hAnsi="Arial" w:cs="Arial"/>
          <w:b/>
          <w:color w:val="000000"/>
          <w:sz w:val="20"/>
          <w:szCs w:val="20"/>
        </w:rPr>
        <w:t xml:space="preserve">„Projektová dokumentace pro provedení stavby Výměna oken a dveří v Památníku A. Dvořáka ve Vysoké čp. 69“ </w:t>
      </w:r>
      <w:r>
        <w:rPr>
          <w:rFonts w:ascii="Arial" w:eastAsia="Arial" w:hAnsi="Arial" w:cs="Arial"/>
          <w:color w:val="000000"/>
          <w:sz w:val="20"/>
          <w:szCs w:val="20"/>
        </w:rPr>
        <w:t>(dále jen „</w:t>
      </w:r>
      <w:r>
        <w:rPr>
          <w:rFonts w:ascii="Arial" w:eastAsia="Arial" w:hAnsi="Arial" w:cs="Arial"/>
          <w:b/>
          <w:color w:val="000000"/>
          <w:sz w:val="20"/>
          <w:szCs w:val="20"/>
        </w:rPr>
        <w:t>Dílo</w:t>
      </w:r>
      <w:r>
        <w:rPr>
          <w:rFonts w:ascii="Arial" w:eastAsia="Arial" w:hAnsi="Arial" w:cs="Arial"/>
          <w:color w:val="000000"/>
          <w:sz w:val="20"/>
          <w:szCs w:val="20"/>
        </w:rPr>
        <w:t>“). Jednotlivé součásti Díla jsou podrobněji definovány v odst. 2.2 Smlouvy. Objednatel se zavazuje Dílo převzít a zaplatit Dodavateli za Dílo cenu ve výši stanovené v čl. 5 této Smlouvy. Objednatel poskytuje tyto podklady:</w:t>
      </w:r>
    </w:p>
    <w:p w14:paraId="2E933435" w14:textId="77777777" w:rsidR="0089562D" w:rsidRDefault="005A5880">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Architektonická studie, zpracovatel: Ing. arch. Jiří Jeřábek, IČO: 009 555 91, U </w:t>
      </w:r>
      <w:proofErr w:type="spellStart"/>
      <w:r>
        <w:rPr>
          <w:rFonts w:ascii="Arial" w:eastAsia="Arial" w:hAnsi="Arial" w:cs="Arial"/>
          <w:color w:val="000000"/>
          <w:sz w:val="20"/>
          <w:szCs w:val="20"/>
        </w:rPr>
        <w:t>Ladronky</w:t>
      </w:r>
      <w:proofErr w:type="spellEnd"/>
      <w:r>
        <w:rPr>
          <w:rFonts w:ascii="Arial" w:eastAsia="Arial" w:hAnsi="Arial" w:cs="Arial"/>
          <w:color w:val="000000"/>
          <w:sz w:val="20"/>
          <w:szCs w:val="20"/>
        </w:rPr>
        <w:t xml:space="preserve"> 1162/44, 169 00 Praha 6</w:t>
      </w:r>
    </w:p>
    <w:p w14:paraId="60469431" w14:textId="77777777" w:rsidR="0089562D" w:rsidRDefault="005A5880">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Projektová dokumentace pro povolení stavby, zpracovatel: Ing. arch. Jiří Jeřábek.</w:t>
      </w:r>
    </w:p>
    <w:p w14:paraId="0EB00BD2" w14:textId="77777777" w:rsidR="0089562D" w:rsidRDefault="005A5880">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Stavební povolení, vydané </w:t>
      </w:r>
      <w:proofErr w:type="spellStart"/>
      <w:r>
        <w:rPr>
          <w:rFonts w:ascii="Arial" w:eastAsia="Arial" w:hAnsi="Arial" w:cs="Arial"/>
          <w:color w:val="000000"/>
          <w:sz w:val="20"/>
          <w:szCs w:val="20"/>
        </w:rPr>
        <w:t>MěÚ</w:t>
      </w:r>
      <w:proofErr w:type="spellEnd"/>
      <w:r>
        <w:rPr>
          <w:rFonts w:ascii="Arial" w:eastAsia="Arial" w:hAnsi="Arial" w:cs="Arial"/>
          <w:color w:val="000000"/>
          <w:sz w:val="20"/>
          <w:szCs w:val="20"/>
        </w:rPr>
        <w:t xml:space="preserve"> Příbram</w:t>
      </w:r>
    </w:p>
    <w:p w14:paraId="12C23FF9"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Součástí Díla je zejména:</w:t>
      </w:r>
    </w:p>
    <w:p w14:paraId="411CEE47"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bookmarkStart w:id="3" w:name="_heading=h.ankv36i6oblo" w:colFirst="0" w:colLast="0"/>
      <w:bookmarkEnd w:id="3"/>
      <w:r>
        <w:rPr>
          <w:rFonts w:ascii="Arial" w:eastAsia="Arial" w:hAnsi="Arial" w:cs="Arial"/>
          <w:color w:val="000000"/>
          <w:sz w:val="20"/>
          <w:szCs w:val="20"/>
        </w:rPr>
        <w:t xml:space="preserve">vypracování projektové dokumentace pro provádění Stavby v souladu </w:t>
      </w:r>
      <w:proofErr w:type="gramStart"/>
      <w:r>
        <w:rPr>
          <w:rFonts w:ascii="Arial" w:eastAsia="Arial" w:hAnsi="Arial" w:cs="Arial"/>
          <w:color w:val="000000"/>
          <w:sz w:val="20"/>
          <w:szCs w:val="20"/>
        </w:rPr>
        <w:t>se  zákonem</w:t>
      </w:r>
      <w:proofErr w:type="gramEnd"/>
      <w:r>
        <w:rPr>
          <w:rFonts w:ascii="Arial" w:eastAsia="Arial" w:hAnsi="Arial" w:cs="Arial"/>
          <w:color w:val="000000"/>
          <w:sz w:val="20"/>
          <w:szCs w:val="20"/>
        </w:rPr>
        <w:t xml:space="preserve"> č 283/2021Sb., stavební zákon (dále jen „Stavební zákon</w:t>
      </w:r>
      <w:proofErr w:type="gramStart"/>
      <w:r>
        <w:rPr>
          <w:rFonts w:ascii="Arial" w:eastAsia="Arial" w:hAnsi="Arial" w:cs="Arial"/>
          <w:color w:val="000000"/>
          <w:sz w:val="20"/>
          <w:szCs w:val="20"/>
        </w:rPr>
        <w:t>“ ,</w:t>
      </w:r>
      <w:proofErr w:type="gramEnd"/>
      <w:r>
        <w:rPr>
          <w:rFonts w:ascii="Arial" w:eastAsia="Arial" w:hAnsi="Arial" w:cs="Arial"/>
          <w:color w:val="000000"/>
          <w:sz w:val="20"/>
          <w:szCs w:val="20"/>
        </w:rPr>
        <w:t xml:space="preserve"> Vyhláškou č. 131/2024Sb.,</w:t>
      </w:r>
      <w:r>
        <w:rPr>
          <w:rFonts w:ascii="Arial" w:eastAsia="Arial" w:hAnsi="Arial" w:cs="Arial"/>
          <w:color w:val="000000"/>
          <w:sz w:val="22"/>
          <w:szCs w:val="22"/>
        </w:rPr>
        <w:t xml:space="preserve"> </w:t>
      </w:r>
      <w:r>
        <w:rPr>
          <w:rFonts w:ascii="Arial" w:eastAsia="Arial" w:hAnsi="Arial" w:cs="Arial"/>
          <w:color w:val="000000"/>
          <w:sz w:val="20"/>
          <w:szCs w:val="20"/>
        </w:rPr>
        <w:t xml:space="preserve">Vyhláška o dokumentaci staveb (dále jen „Vyhláška č. 131/2024Sb.“  a zákonem č. 134/2016 Sb., o zadávání veřejných zakázek, ve znění pozdějších předpisů (dále jen „ZZVZ“), včetně provedení veškerých průzkumů a sond potřebných pro stavební práce obsažené v této PD (např.: </w:t>
      </w:r>
      <w:proofErr w:type="spellStart"/>
      <w:r>
        <w:rPr>
          <w:rFonts w:ascii="Arial" w:eastAsia="Arial" w:hAnsi="Arial" w:cs="Arial"/>
          <w:color w:val="000000"/>
          <w:sz w:val="20"/>
          <w:szCs w:val="20"/>
        </w:rPr>
        <w:t>odtrhové</w:t>
      </w:r>
      <w:proofErr w:type="spellEnd"/>
      <w:r>
        <w:rPr>
          <w:rFonts w:ascii="Arial" w:eastAsia="Arial" w:hAnsi="Arial" w:cs="Arial"/>
          <w:color w:val="000000"/>
          <w:sz w:val="20"/>
          <w:szCs w:val="20"/>
        </w:rPr>
        <w:t xml:space="preserve"> zkoušky, sondy k ověření složení konstrukcí, geologický, hydrogeologický, mykologický, restaurátorský průzkum, měření vlhkosti konstrukcí atd.) dále bude projektová dokumentace obsahovat předpokládaný harmonogram realizace Stavby a bude vypracován protokol určení vnějších vlivů (dále jen „</w:t>
      </w:r>
      <w:r>
        <w:rPr>
          <w:rFonts w:ascii="Arial" w:eastAsia="Arial" w:hAnsi="Arial" w:cs="Arial"/>
          <w:b/>
          <w:color w:val="000000"/>
          <w:sz w:val="20"/>
          <w:szCs w:val="20"/>
        </w:rPr>
        <w:t>Projektová dokumentace pro provádění stavby</w:t>
      </w:r>
      <w:r>
        <w:rPr>
          <w:rFonts w:ascii="Arial" w:eastAsia="Arial" w:hAnsi="Arial" w:cs="Arial"/>
          <w:color w:val="000000"/>
          <w:sz w:val="20"/>
          <w:szCs w:val="20"/>
        </w:rPr>
        <w:t>“);</w:t>
      </w:r>
    </w:p>
    <w:p w14:paraId="0DEDE3D3" w14:textId="77777777" w:rsidR="0089562D" w:rsidRDefault="005A5880">
      <w:pPr>
        <w:numPr>
          <w:ilvl w:val="2"/>
          <w:numId w:val="7"/>
        </w:num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 xml:space="preserve">průkaz energetické náročnosti budovy </w:t>
      </w:r>
      <w:r>
        <w:rPr>
          <w:rFonts w:ascii="Arial" w:eastAsia="Arial" w:hAnsi="Arial" w:cs="Arial"/>
          <w:color w:val="000000"/>
          <w:sz w:val="20"/>
          <w:szCs w:val="20"/>
        </w:rPr>
        <w:t>zpracovaný dle vyhlášky 264/2020 Sb., o energetické náročnosti budov, v platném znění, pro stav před realizací projektu (v případě rekonstrukcí) a pro stav po realizaci projektu s tím, že musí být zřejmé, které energetické zdroje a stavební konstrukce budou projektem řešeny;</w:t>
      </w:r>
    </w:p>
    <w:p w14:paraId="7A49DACF"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vypracování závazného položkového rozpočtu Stavby dle projektové dokumentace v rozsahu a podrobnostech potřebných pro realizaci zadávacího řízení na provedení Stavby podle ZZVZ, předpisů jej provádějících, zejména vyhlášky č. 169/2016 Sb., o stanovení rozsahu dokumentace veřejné zakázky na stavební práce a soupisu stavebních prací, dodávek a služeb s výkazem výměr (dále jen „vyhláška č. 169/2016 Sb.), a vnitřních předpisů Objednatele upravujících zadávání veřejných zakázek. Výkaz výměr nebude obsahovat obchodní názvy a bude zpracován ve formátu </w:t>
      </w:r>
      <w:proofErr w:type="spellStart"/>
      <w:r>
        <w:rPr>
          <w:rFonts w:ascii="Arial" w:eastAsia="Arial" w:hAnsi="Arial" w:cs="Arial"/>
          <w:color w:val="000000"/>
          <w:sz w:val="20"/>
          <w:szCs w:val="20"/>
        </w:rPr>
        <w:t>pdf</w:t>
      </w:r>
      <w:proofErr w:type="spellEnd"/>
      <w:r>
        <w:rPr>
          <w:rFonts w:ascii="Arial" w:eastAsia="Arial" w:hAnsi="Arial" w:cs="Arial"/>
          <w:color w:val="000000"/>
          <w:sz w:val="20"/>
          <w:szCs w:val="20"/>
        </w:rPr>
        <w:t xml:space="preserve"> a v elektronickém výstupu ze softwaru pro rozpočtování. Doporučené elektronické formáty jsou .</w:t>
      </w:r>
      <w:proofErr w:type="spellStart"/>
      <w:r>
        <w:rPr>
          <w:rFonts w:ascii="Arial" w:eastAsia="Arial" w:hAnsi="Arial" w:cs="Arial"/>
          <w:color w:val="000000"/>
          <w:sz w:val="20"/>
          <w:szCs w:val="20"/>
        </w:rPr>
        <w:t>kz</w:t>
      </w:r>
      <w:proofErr w:type="spellEnd"/>
      <w:proofErr w:type="gramStart"/>
      <w:r>
        <w:rPr>
          <w:rFonts w:ascii="Arial" w:eastAsia="Arial" w:hAnsi="Arial" w:cs="Arial"/>
          <w:color w:val="000000"/>
          <w:sz w:val="20"/>
          <w:szCs w:val="20"/>
        </w:rPr>
        <w:t>, .</w:t>
      </w:r>
      <w:proofErr w:type="spellStart"/>
      <w:r>
        <w:rPr>
          <w:rFonts w:ascii="Arial" w:eastAsia="Arial" w:hAnsi="Arial" w:cs="Arial"/>
          <w:color w:val="000000"/>
          <w:sz w:val="20"/>
          <w:szCs w:val="20"/>
        </w:rPr>
        <w:t>kza</w:t>
      </w:r>
      <w:proofErr w:type="spellEnd"/>
      <w:r>
        <w:rPr>
          <w:rFonts w:ascii="Arial" w:eastAsia="Arial" w:hAnsi="Arial" w:cs="Arial"/>
          <w:color w:val="000000"/>
          <w:sz w:val="20"/>
          <w:szCs w:val="20"/>
        </w:rPr>
        <w:t>, .</w:t>
      </w:r>
      <w:proofErr w:type="spellStart"/>
      <w:r>
        <w:rPr>
          <w:rFonts w:ascii="Arial" w:eastAsia="Arial" w:hAnsi="Arial" w:cs="Arial"/>
          <w:color w:val="000000"/>
          <w:sz w:val="20"/>
          <w:szCs w:val="20"/>
        </w:rPr>
        <w:t>unixml</w:t>
      </w:r>
      <w:proofErr w:type="spellEnd"/>
      <w:r>
        <w:rPr>
          <w:rFonts w:ascii="Arial" w:eastAsia="Arial" w:hAnsi="Arial" w:cs="Arial"/>
          <w:color w:val="000000"/>
          <w:sz w:val="20"/>
          <w:szCs w:val="20"/>
        </w:rPr>
        <w:t>, .</w:t>
      </w:r>
      <w:proofErr w:type="spellStart"/>
      <w:r>
        <w:rPr>
          <w:rFonts w:ascii="Arial" w:eastAsia="Arial" w:hAnsi="Arial" w:cs="Arial"/>
          <w:color w:val="000000"/>
          <w:sz w:val="20"/>
          <w:szCs w:val="20"/>
        </w:rPr>
        <w:t>rts</w:t>
      </w:r>
      <w:proofErr w:type="spellEnd"/>
      <w:r>
        <w:rPr>
          <w:rFonts w:ascii="Arial" w:eastAsia="Arial" w:hAnsi="Arial" w:cs="Arial"/>
          <w:color w:val="000000"/>
          <w:sz w:val="20"/>
          <w:szCs w:val="20"/>
        </w:rPr>
        <w:t>, .xc</w:t>
      </w:r>
      <w:proofErr w:type="gramEnd"/>
      <w:r>
        <w:rPr>
          <w:rFonts w:ascii="Arial" w:eastAsia="Arial" w:hAnsi="Arial" w:cs="Arial"/>
          <w:color w:val="000000"/>
          <w:sz w:val="20"/>
          <w:szCs w:val="20"/>
        </w:rPr>
        <w:t>4</w:t>
      </w:r>
      <w:proofErr w:type="gramStart"/>
      <w:r>
        <w:rPr>
          <w:rFonts w:ascii="Arial" w:eastAsia="Arial" w:hAnsi="Arial" w:cs="Arial"/>
          <w:color w:val="000000"/>
          <w:sz w:val="20"/>
          <w:szCs w:val="20"/>
        </w:rPr>
        <w:t>, .</w:t>
      </w:r>
      <w:proofErr w:type="spellStart"/>
      <w:r>
        <w:rPr>
          <w:rFonts w:ascii="Arial" w:eastAsia="Arial" w:hAnsi="Arial" w:cs="Arial"/>
          <w:color w:val="000000"/>
          <w:sz w:val="20"/>
          <w:szCs w:val="20"/>
        </w:rPr>
        <w:t>utf</w:t>
      </w:r>
      <w:proofErr w:type="spellEnd"/>
      <w:proofErr w:type="gram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StavData</w:t>
      </w:r>
      <w:proofErr w:type="spellEnd"/>
      <w:r>
        <w:rPr>
          <w:rFonts w:ascii="Arial" w:eastAsia="Arial" w:hAnsi="Arial" w:cs="Arial"/>
          <w:color w:val="000000"/>
          <w:sz w:val="20"/>
          <w:szCs w:val="20"/>
        </w:rPr>
        <w:t xml:space="preserve"> a jakýkoliv uzamčený excelovský soubor, který je přímým výstupem softwaru pro rozpočtování (dále jen „</w:t>
      </w:r>
      <w:r>
        <w:rPr>
          <w:rFonts w:ascii="Arial" w:eastAsia="Arial" w:hAnsi="Arial" w:cs="Arial"/>
          <w:b/>
          <w:color w:val="000000"/>
          <w:sz w:val="20"/>
          <w:szCs w:val="20"/>
        </w:rPr>
        <w:t>Výkaz výměr</w:t>
      </w:r>
      <w:r>
        <w:rPr>
          <w:rFonts w:ascii="Arial" w:eastAsia="Arial" w:hAnsi="Arial" w:cs="Arial"/>
          <w:color w:val="000000"/>
          <w:sz w:val="20"/>
          <w:szCs w:val="20"/>
        </w:rPr>
        <w:t>“);</w:t>
      </w:r>
    </w:p>
    <w:p w14:paraId="7E5C2A23"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lastRenderedPageBreak/>
        <w:t>vypracování oceněného položkového rozpočtu Stavby v aktuální cenové úrovni. V rámci vypracování oceněného položkového rozpočtu Stavby dodavatel na pokyn objednavatele aktualizuje oceněný položkový rozpočet Stavby v aktuální cenové úrovni před vyhlášením veřejné zakázky na dodavatele stavebních prací (dále jen „</w:t>
      </w:r>
      <w:r>
        <w:rPr>
          <w:rFonts w:ascii="Arial" w:eastAsia="Arial" w:hAnsi="Arial" w:cs="Arial"/>
          <w:b/>
          <w:color w:val="000000"/>
          <w:sz w:val="20"/>
          <w:szCs w:val="20"/>
        </w:rPr>
        <w:t>Položkový rozpočet stavby</w:t>
      </w:r>
      <w:r>
        <w:rPr>
          <w:rFonts w:ascii="Arial" w:eastAsia="Arial" w:hAnsi="Arial" w:cs="Arial"/>
          <w:color w:val="000000"/>
          <w:sz w:val="20"/>
          <w:szCs w:val="20"/>
        </w:rPr>
        <w:t>“);</w:t>
      </w:r>
    </w:p>
    <w:p w14:paraId="30C97322"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zajištění autorského dozoru při realizaci Stavby dle potřeb Objednatele tak, aby Stavba mohla být řádně a včas dokončena v souladu s projektovou dokumentací, zejména účastí na kontrolních dnech a v případě řešení nutných opatření na Stavbě; výkon autorského dozoru bude občasný i pravidelný v rozsahu podle potřeb Objednatele a dle odborného uvážení Dodavatele (dále jen „</w:t>
      </w:r>
      <w:r>
        <w:rPr>
          <w:rFonts w:ascii="Arial" w:eastAsia="Arial" w:hAnsi="Arial" w:cs="Arial"/>
          <w:b/>
          <w:color w:val="000000"/>
          <w:sz w:val="20"/>
          <w:szCs w:val="20"/>
        </w:rPr>
        <w:t>Autorský dozor</w:t>
      </w:r>
      <w:r>
        <w:rPr>
          <w:rFonts w:ascii="Arial" w:eastAsia="Arial" w:hAnsi="Arial" w:cs="Arial"/>
          <w:color w:val="000000"/>
          <w:sz w:val="20"/>
          <w:szCs w:val="20"/>
        </w:rPr>
        <w:t>“);</w:t>
      </w:r>
    </w:p>
    <w:p w14:paraId="3B52A0EA"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technická pomoc objednateli při zpracování odpovědí na dotazy účastníků v rámci zadávacího řízení na Dodavatele Stavby, účast Dodavatele na jednáních komise na výběr Dodavatele Stavby (dle pokynu Objednatele se bude jednat o účast na osobním jednání nebo účast na jednání přes aplikaci Teams, přičemž, pokud bude Objednatel požadovat účast Dodavatele v komisi na výběr dodavatele Stavby, bude Dodavatel do takové komise Objednatelem jmenován jako člen a náhradník člena (nominovány budou 2 osoby za dodavatele, z nichž 1 následně svým elektronickým podpisem podepíše, společně s ostatními členy komise, protokoly a zprávy o hodnocení nabídek), případně se bude účastnit jako přizvaný odborník), účast Dodavatele na prohlídce místa plnění realizace Stavby, která bude realizována dle projektové dokumentace, zpracované Dodavatelem v souladu s touto Smlouvou., zodpovídání dodatečných dotazů účastníků v rámci zadávacího řízení na výběr dodavatele stavby k dokumentaci pro provedení stavby a souvisejícím dokumentům, kontrola nabídek účastníků zadávacího řízení na výběr dodavatele stavby (nejčastěji pouze nabídky vybraného dodavatele na stavbu) dle požadavků Objednatele; kontrola rozpočtu předloženého účastníky zadávacího řízení na výběr dodavatele stavby, spočívající především v kontrole toho, zda rozpočet neobsahuje nulově oceněné položky, zda nedošlo ke změnám, mezi rozpočtem předloženým účastníkem zadávacího řízení na výběr dodavatele stavby a rozpočtem přiloženým v rámci zadávacího řízení a kontrola toho, zda rozdíl mezi cenou účastníka zadávacího řízení na výběr dodavatele stavby a cenou předpokládanou v rámci zadávacího řízení nepřesahuje stanovenou hodnotu mimořádně nízké nabídkové ceny; případně kontrola dalších parametrů na základě požadavků Objednatele. Výsledkem provedené kontroly budou připomínky v písemné či e-mailové formě, které je Dodavatel povinen Objednateli doručit v přiměřené lhůtě od poskytnutí kontrolovaného dokumentu, stanovené Objednatelem (dále jen „</w:t>
      </w:r>
      <w:r>
        <w:rPr>
          <w:rFonts w:ascii="Arial" w:eastAsia="Arial" w:hAnsi="Arial" w:cs="Arial"/>
          <w:b/>
          <w:color w:val="000000"/>
          <w:sz w:val="20"/>
          <w:szCs w:val="20"/>
        </w:rPr>
        <w:t>Technická pomoc v rámci zadávacího řízení na dodavatele stavby</w:t>
      </w:r>
      <w:r>
        <w:rPr>
          <w:rFonts w:ascii="Arial" w:eastAsia="Arial" w:hAnsi="Arial" w:cs="Arial"/>
          <w:color w:val="000000"/>
          <w:sz w:val="20"/>
          <w:szCs w:val="20"/>
        </w:rPr>
        <w:t xml:space="preserve">;“); </w:t>
      </w:r>
    </w:p>
    <w:p w14:paraId="6BF4085F"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bookmarkStart w:id="4" w:name="_heading=h.xrb3w8dkmwtq" w:colFirst="0" w:colLast="0"/>
      <w:bookmarkEnd w:id="4"/>
      <w:r>
        <w:rPr>
          <w:rFonts w:ascii="Arial" w:eastAsia="Arial" w:hAnsi="Arial" w:cs="Arial"/>
          <w:color w:val="000000"/>
          <w:sz w:val="20"/>
          <w:szCs w:val="20"/>
        </w:rPr>
        <w:t xml:space="preserve">Dílo v částech, které se zachycují na hmotném nosiči, vyhotoví Dodavatel v listinné a v elektronické podobě. Dokumentace vyhotovená v elektronické podobě musí být vyhotovena ve formátech, které jsou v souladu s právem veřejných zakázek a umožňují na jejich základě vyhlásit veřejnou zakázku na realizaci stavby jsoucí předmětem dotčené dokumentace a umožňují, aby Objednatel mohl bez součinnosti Dodavatele dokumentaci měnit a upravovat. Zejména projektové dokumentace dle odst. 2.2.1 až 2.2.4 a její součásti musí být předány ve formátu </w:t>
      </w:r>
      <w:proofErr w:type="spellStart"/>
      <w:r>
        <w:rPr>
          <w:rFonts w:ascii="Arial" w:eastAsia="Arial" w:hAnsi="Arial" w:cs="Arial"/>
          <w:color w:val="000000"/>
          <w:sz w:val="20"/>
          <w:szCs w:val="20"/>
        </w:rPr>
        <w:t>pdf</w:t>
      </w:r>
      <w:proofErr w:type="spellEnd"/>
      <w:r>
        <w:rPr>
          <w:rFonts w:ascii="Arial" w:eastAsia="Arial" w:hAnsi="Arial" w:cs="Arial"/>
          <w:color w:val="000000"/>
          <w:sz w:val="20"/>
          <w:szCs w:val="20"/>
        </w:rPr>
        <w:t xml:space="preserve"> a </w:t>
      </w:r>
      <w:proofErr w:type="spellStart"/>
      <w:r>
        <w:rPr>
          <w:rFonts w:ascii="Arial" w:eastAsia="Arial" w:hAnsi="Arial" w:cs="Arial"/>
          <w:color w:val="000000"/>
          <w:sz w:val="20"/>
          <w:szCs w:val="20"/>
        </w:rPr>
        <w:t>dwg</w:t>
      </w:r>
      <w:proofErr w:type="spellEnd"/>
      <w:r>
        <w:rPr>
          <w:rFonts w:ascii="Arial" w:eastAsia="Arial" w:hAnsi="Arial" w:cs="Arial"/>
          <w:color w:val="000000"/>
          <w:sz w:val="20"/>
          <w:szCs w:val="20"/>
        </w:rPr>
        <w:t>. Výkaz výměr musí odpovídat § 12 vyhlášky č. 169/2016 Sb.</w:t>
      </w:r>
    </w:p>
    <w:p w14:paraId="0BF21CC6"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Součástí Díla jsou i práce v této Smlouvě nespecifikované, které však jsou k řádnému plnění Díla a provedení Stavby nezbytné a o kterých Dodavatel, vzhledem ke svým odborným znalostem a zkušenostem měl nebo mohl vědět. Provedení těchto prací je zahrnuto v celkové ceně Díla dle této Smlouvy.</w:t>
      </w:r>
    </w:p>
    <w:p w14:paraId="62469FEF"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Dodavatel prohlašuje, že:</w:t>
      </w:r>
    </w:p>
    <w:p w14:paraId="4A728304"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Dílo je možné dle dostupných podkladů realizovat;</w:t>
      </w:r>
    </w:p>
    <w:p w14:paraId="26191F93"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všechny technické a dodací podmínky Díla zahrnul do kalkulace cen;</w:t>
      </w:r>
    </w:p>
    <w:p w14:paraId="2CDD0C31"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lastRenderedPageBreak/>
        <w:t>řádně překontroloval předané podkladové materiály pro zpracování projektové dokumentace a nejsou mu známy žádné překážky, které by mu bránily splnit předmět Díla tak, jak se zavázal touto Smlouvou;</w:t>
      </w:r>
    </w:p>
    <w:p w14:paraId="372979B6"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dodavatel bere na vědomí, že realizace díla je financována ze strany objednatele prostřednictvím dotací z veřejných prostředků České republiky a Evropské unie, kterými jsou finanční prostředky rozpočtu Středočeského kraje, státního rozpočtu České republiky, rozpočtu Státního fondu životního prostředí. Obě smluvní strany se tedy zavazují dodržet povinnosti, které jim vzhledem k této skutečnosti plynou z platných právních předpisů České republiky a Evropské unie, včetně podmínek upravujících poskytování dotací z Integrovaného regionálního operačního programu; </w:t>
      </w:r>
    </w:p>
    <w:p w14:paraId="4D2F00A6"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bookmarkStart w:id="5" w:name="_heading=h.o6jyl86at9hj" w:colFirst="0" w:colLast="0"/>
      <w:bookmarkEnd w:id="5"/>
      <w:r>
        <w:rPr>
          <w:rFonts w:ascii="Arial" w:eastAsia="Arial" w:hAnsi="Arial" w:cs="Arial"/>
          <w:color w:val="000000"/>
          <w:sz w:val="20"/>
          <w:szCs w:val="20"/>
        </w:rPr>
        <w:t>dodavatel je v době realizace projektu a dále po dobu 10 let následujících po roce, ve kterém objednatel (příjemce dotace) obdrží protokol o závěrečném vyhodnocení akce, povinen, za účelem ověřování plnění povinností vyplývajících z rozhodnutí o poskytnutí dotace a podmínek pro příjemce dotace, poskytovat požadované informace a dokumentaci související s realizací projektu zaměstnancům nebo zmocněncům pověřených orgánů (IROP, MMR, Ministerstva financí, Evropské komise, Evropského účetního dvora, Nejvyššího kontrolního úřadu, příslušného finančního úřadu a dalších oprávněných orgánů státní správy) a je povinen vytvořit výše uvedeným osobám podmínky k provedení kontroly vztahující se k realizaci projektu a poskytnout jim při provádění kontroly součinnost.</w:t>
      </w:r>
    </w:p>
    <w:p w14:paraId="1F38CFBA" w14:textId="77777777" w:rsidR="0089562D" w:rsidRDefault="005A5880">
      <w:pPr>
        <w:numPr>
          <w:ilvl w:val="0"/>
          <w:numId w:val="7"/>
        </w:numPr>
        <w:pBdr>
          <w:top w:val="nil"/>
          <w:left w:val="nil"/>
          <w:bottom w:val="nil"/>
          <w:right w:val="nil"/>
          <w:between w:val="nil"/>
        </w:pBdr>
        <w:spacing w:before="240"/>
        <w:jc w:val="center"/>
        <w:rPr>
          <w:rFonts w:ascii="Arial" w:eastAsia="Arial" w:hAnsi="Arial" w:cs="Arial"/>
          <w:smallCaps/>
          <w:color w:val="000000"/>
          <w:sz w:val="20"/>
          <w:szCs w:val="20"/>
        </w:rPr>
      </w:pPr>
      <w:r>
        <w:rPr>
          <w:rFonts w:ascii="Arial" w:eastAsia="Arial" w:hAnsi="Arial" w:cs="Arial"/>
          <w:b/>
          <w:smallCaps/>
          <w:color w:val="000000"/>
          <w:sz w:val="20"/>
          <w:szCs w:val="20"/>
        </w:rPr>
        <w:t>DOBA A MÍSTO PLNĚNÍ</w:t>
      </w:r>
    </w:p>
    <w:p w14:paraId="6185C9DE"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bookmarkStart w:id="6" w:name="_heading=h.f6gyun4o63z" w:colFirst="0" w:colLast="0"/>
      <w:bookmarkEnd w:id="6"/>
      <w:r>
        <w:rPr>
          <w:rFonts w:ascii="Arial" w:eastAsia="Arial" w:hAnsi="Arial" w:cs="Arial"/>
          <w:color w:val="000000"/>
          <w:sz w:val="20"/>
          <w:szCs w:val="20"/>
        </w:rPr>
        <w:t>Dodavatel se zavazuje provést Dílo, resp. jeho části dle odst. 2.2 této Smlouvy v následujících lhůtách:</w:t>
      </w:r>
    </w:p>
    <w:p w14:paraId="649E256F"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Projektová dokumentace pro provádění stavby vč. výkazu výměr, oceněného a neoceněného soupisu stavebních prací – do </w:t>
      </w:r>
      <w:r>
        <w:rPr>
          <w:rFonts w:ascii="Arial" w:eastAsia="Arial" w:hAnsi="Arial" w:cs="Arial"/>
          <w:b/>
          <w:color w:val="000000"/>
          <w:sz w:val="20"/>
          <w:szCs w:val="20"/>
        </w:rPr>
        <w:t>90 dnů</w:t>
      </w:r>
      <w:r>
        <w:rPr>
          <w:rFonts w:ascii="Arial" w:eastAsia="Arial" w:hAnsi="Arial" w:cs="Arial"/>
          <w:color w:val="000000"/>
          <w:sz w:val="20"/>
          <w:szCs w:val="20"/>
        </w:rPr>
        <w:t xml:space="preserve"> od nabytí právní moci stavebního povolení;</w:t>
      </w:r>
    </w:p>
    <w:p w14:paraId="220F00B9"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Technická pomoc zadavateli – ostatní (např. jednání komise) - dle potřeb zadavatele od podpisu Smlouvy o dílo do doby ukončení realizace Stavby;</w:t>
      </w:r>
    </w:p>
    <w:p w14:paraId="349B742D" w14:textId="77777777" w:rsidR="0089562D" w:rsidRDefault="005A5880">
      <w:pPr>
        <w:pBdr>
          <w:top w:val="nil"/>
          <w:left w:val="nil"/>
          <w:bottom w:val="nil"/>
          <w:right w:val="nil"/>
          <w:between w:val="nil"/>
        </w:pBdr>
        <w:ind w:left="794" w:hanging="680"/>
        <w:rPr>
          <w:rFonts w:ascii="Arial" w:eastAsia="Arial" w:hAnsi="Arial" w:cs="Arial"/>
          <w:color w:val="000000"/>
          <w:sz w:val="20"/>
          <w:szCs w:val="20"/>
        </w:rPr>
      </w:pPr>
      <w:r>
        <w:rPr>
          <w:rFonts w:ascii="Arial" w:eastAsia="Arial" w:hAnsi="Arial" w:cs="Arial"/>
          <w:color w:val="000000"/>
          <w:sz w:val="20"/>
          <w:szCs w:val="20"/>
        </w:rPr>
        <w:t xml:space="preserve">- zodpovězení dodatečných dotazů dodavatelů k dokumentaci pro provedení Stavby a souvisejícím dokumentům v rámci doby na podání nabídek </w:t>
      </w:r>
      <w:r>
        <w:rPr>
          <w:rFonts w:ascii="Arial" w:eastAsia="Arial" w:hAnsi="Arial" w:cs="Arial"/>
          <w:b/>
          <w:color w:val="000000"/>
          <w:sz w:val="20"/>
          <w:szCs w:val="20"/>
        </w:rPr>
        <w:t>do 5 pracovních dní</w:t>
      </w:r>
      <w:r>
        <w:rPr>
          <w:rFonts w:ascii="Arial" w:eastAsia="Arial" w:hAnsi="Arial" w:cs="Arial"/>
          <w:color w:val="000000"/>
          <w:sz w:val="20"/>
          <w:szCs w:val="20"/>
        </w:rPr>
        <w:t xml:space="preserve"> ode dne, kdy mu bude ze strany Objednatele žádost o vysvětlení zadávací dokumentace postoupena</w:t>
      </w:r>
    </w:p>
    <w:p w14:paraId="4AC4BA50" w14:textId="77777777" w:rsidR="0089562D" w:rsidRDefault="005A5880">
      <w:pPr>
        <w:pBdr>
          <w:top w:val="nil"/>
          <w:left w:val="nil"/>
          <w:bottom w:val="nil"/>
          <w:right w:val="nil"/>
          <w:between w:val="nil"/>
        </w:pBdr>
        <w:ind w:left="794" w:hanging="680"/>
        <w:rPr>
          <w:rFonts w:ascii="Arial" w:eastAsia="Arial" w:hAnsi="Arial" w:cs="Arial"/>
          <w:color w:val="000000"/>
          <w:sz w:val="20"/>
          <w:szCs w:val="20"/>
        </w:rPr>
      </w:pPr>
      <w:r>
        <w:rPr>
          <w:rFonts w:ascii="Arial" w:eastAsia="Arial" w:hAnsi="Arial" w:cs="Arial"/>
          <w:color w:val="000000"/>
          <w:sz w:val="20"/>
          <w:szCs w:val="20"/>
        </w:rPr>
        <w:t xml:space="preserve">- kontrola nabídek účastníků zadávacího řízení na výběr dodavatele Stavby (nejčastěji pouze nabídky vybraného dodavatele na stavbu), kontrola rozpočtu předloženého účastníky zadávacího řízení na výběr dodavatele Stavby, spočívající především v kontrole toho, zda rozpočet neobsahuje nulově oceněné položky, zda nedošlo ke změnám, mezi rozpočtem předloženým účastníkem zadávacího řízení na výběr dodavatele Stavby a rozpočtem přiloženým v rámci zadávacího řízení a kontrola toho, zda rozdíl mezi cenou účastníka na výběr dodavatele Stavby a cenou předpokládanou v rámci zadávacího řízení nepřesahuje stanovenou hodnotu mimořádně nízké nabídkové ceny; případně kontrola dalších parametrů na základě požadavků Objednatele provede </w:t>
      </w:r>
      <w:r>
        <w:rPr>
          <w:rFonts w:ascii="Arial" w:eastAsia="Arial" w:hAnsi="Arial" w:cs="Arial"/>
          <w:b/>
          <w:color w:val="000000"/>
          <w:sz w:val="20"/>
          <w:szCs w:val="20"/>
        </w:rPr>
        <w:t>do 5 pracovních dní</w:t>
      </w:r>
      <w:r>
        <w:rPr>
          <w:rFonts w:ascii="Arial" w:eastAsia="Arial" w:hAnsi="Arial" w:cs="Arial"/>
          <w:color w:val="000000"/>
          <w:sz w:val="20"/>
          <w:szCs w:val="20"/>
        </w:rPr>
        <w:t xml:space="preserve"> ode dne, kdy mu bude ze strany Objednatele nabídka účastníka zadávacího řízení postoupena</w:t>
      </w:r>
    </w:p>
    <w:p w14:paraId="782C7257"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Aktualizace oceněného položkového rozpočtu Stavby v aktuální cenové úrovni před vyhlášením veřejné zakázky na dodavatele stavebních prací – </w:t>
      </w:r>
      <w:r>
        <w:rPr>
          <w:rFonts w:ascii="Arial" w:eastAsia="Arial" w:hAnsi="Arial" w:cs="Arial"/>
          <w:b/>
          <w:color w:val="000000"/>
          <w:sz w:val="20"/>
          <w:szCs w:val="20"/>
        </w:rPr>
        <w:t xml:space="preserve">do 15 pracovních dní </w:t>
      </w:r>
      <w:r>
        <w:rPr>
          <w:rFonts w:ascii="Arial" w:eastAsia="Arial" w:hAnsi="Arial" w:cs="Arial"/>
          <w:color w:val="000000"/>
          <w:sz w:val="20"/>
          <w:szCs w:val="20"/>
        </w:rPr>
        <w:t>ode dne, kdy mu bude ze strany Objednatele zaslán požadavek;</w:t>
      </w:r>
    </w:p>
    <w:p w14:paraId="5C2B674B"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Zajišťovat Autorský dozor bude Dodavatel průběžně po dobu provádění Stavby až do jejího zhotovení a předání objednateli. Termín zahájení a provádění Stavby bude Dodavateli upřesněn Objednatelem alespoň patnáct (15) dnů předem;</w:t>
      </w:r>
    </w:p>
    <w:p w14:paraId="08269379"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Účastnit se na jednáních komise bude Dodavatel v souladu s termíny, které stanoví pro jednání komise Objednatel nebo komise samotná; na jednání komise bude Dodavatel pozván písemně nejméně tři (3) dny předem a o jeho případném jmenování za člena (a náhradníka člena) komise </w:t>
      </w:r>
      <w:r>
        <w:rPr>
          <w:rFonts w:ascii="Arial" w:eastAsia="Arial" w:hAnsi="Arial" w:cs="Arial"/>
          <w:color w:val="000000"/>
          <w:sz w:val="20"/>
          <w:szCs w:val="20"/>
        </w:rPr>
        <w:lastRenderedPageBreak/>
        <w:t>bude Dodavatel písemně vyrozuměn nejpozději tři (3) dny před prvním jednáním komise. Dodavatel provede případnou kontrolu nabídek dle požadavků Objednatele. Účastnit se na prohlídce místa plnění realizace Stavby bude Dodavatel v souladu s termíny, které stanoví Objednatel v zadávací dokumentaci na veřejnou zakázku na Stavbu; na prohlídku místa plnění realizace Stavby bude Dodavatel pozván písemně nejméně pět (5) dní předem.</w:t>
      </w:r>
    </w:p>
    <w:p w14:paraId="4AF439A9"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bookmarkStart w:id="7" w:name="_heading=h.8yjgt4zdk2fi" w:colFirst="0" w:colLast="0"/>
      <w:bookmarkEnd w:id="7"/>
      <w:r>
        <w:rPr>
          <w:rFonts w:ascii="Arial" w:eastAsia="Arial" w:hAnsi="Arial" w:cs="Arial"/>
          <w:color w:val="000000"/>
          <w:sz w:val="20"/>
          <w:szCs w:val="20"/>
        </w:rPr>
        <w:t>Části Díla, kterým není přidělena lhůta k provedení dle odst. 3.1 Smlouvy, provede Dodavatel dle svého odborného uvážení bez zbytečného odkladu po vzniku potřeby k jejich provedení tak, aby byl naplněn účel této Smlouvy, či v přiměřené době, kdy k tomu bude Objednatelem vyzván.</w:t>
      </w:r>
    </w:p>
    <w:p w14:paraId="1654E4C9"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Lhůty dle odst. 3.1 jsou sjednány ve prospěch Dodavatele a Dodavatel je oprávněn Dílo, resp. jeho části provést i před sjednaným termínem.</w:t>
      </w:r>
    </w:p>
    <w:p w14:paraId="51D9A512"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Provádění Díla bude zahájeno bez zbytečného odkladu po nabytí účinnosti této Smlouvy.</w:t>
      </w:r>
    </w:p>
    <w:p w14:paraId="259E8A45"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Dílo je provedeno, je-li řádně dokončeno a předáno. </w:t>
      </w:r>
    </w:p>
    <w:p w14:paraId="4E2B2DAA"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bookmarkStart w:id="8" w:name="_heading=h.tw77n8gd9bp" w:colFirst="0" w:colLast="0"/>
      <w:bookmarkEnd w:id="8"/>
      <w:r>
        <w:rPr>
          <w:rFonts w:ascii="Arial" w:eastAsia="Arial" w:hAnsi="Arial" w:cs="Arial"/>
          <w:color w:val="000000"/>
          <w:sz w:val="20"/>
          <w:szCs w:val="20"/>
        </w:rPr>
        <w:t>Dodavatel není v prodlení se splněním Díla ani v prodlení se splněním jiné své povinnosti dle této Smlouvy po dobu, po kterou trvá překážka pro splnění dané povinnosti způsobená vyšší mocí nebo prodlením Objednatele.</w:t>
      </w:r>
    </w:p>
    <w:p w14:paraId="6983C03A" w14:textId="77777777" w:rsidR="0089562D" w:rsidRDefault="005A5880">
      <w:pPr>
        <w:numPr>
          <w:ilvl w:val="0"/>
          <w:numId w:val="7"/>
        </w:numPr>
        <w:pBdr>
          <w:top w:val="nil"/>
          <w:left w:val="nil"/>
          <w:bottom w:val="nil"/>
          <w:right w:val="nil"/>
          <w:between w:val="nil"/>
        </w:pBdr>
        <w:spacing w:before="240"/>
        <w:jc w:val="center"/>
        <w:rPr>
          <w:rFonts w:ascii="Arial" w:eastAsia="Arial" w:hAnsi="Arial" w:cs="Arial"/>
          <w:smallCaps/>
          <w:color w:val="000000"/>
          <w:sz w:val="20"/>
          <w:szCs w:val="20"/>
        </w:rPr>
      </w:pPr>
      <w:r>
        <w:rPr>
          <w:rFonts w:ascii="Arial" w:eastAsia="Arial" w:hAnsi="Arial" w:cs="Arial"/>
          <w:b/>
          <w:smallCaps/>
          <w:color w:val="000000"/>
          <w:sz w:val="20"/>
          <w:szCs w:val="20"/>
        </w:rPr>
        <w:t>PŘEDÁNÍ A PŘEVZETÍ DÍLA</w:t>
      </w:r>
    </w:p>
    <w:p w14:paraId="7E72595E"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bookmarkStart w:id="9" w:name="_heading=h.q6hapnodgscm" w:colFirst="0" w:colLast="0"/>
      <w:bookmarkEnd w:id="9"/>
      <w:r>
        <w:rPr>
          <w:rFonts w:ascii="Arial" w:eastAsia="Arial" w:hAnsi="Arial" w:cs="Arial"/>
          <w:color w:val="000000"/>
          <w:sz w:val="20"/>
          <w:szCs w:val="20"/>
        </w:rPr>
        <w:t xml:space="preserve">Dodavatel splní svou povinnost provést Dílo tak, že Dílo (resp. jeho části dle článku 2 Smlouvy) dokončí a předá Objednateli v termínech podle odst. 3.1 a 3.2 této Smlouvy a Objednatel řádně dokončené Dílo (či jeho části) v souladu s touto Smlouvou převezme. Dílo (či jeho část) je dokončeno, pokud je v souladu s: </w:t>
      </w:r>
    </w:p>
    <w:p w14:paraId="03DB655C"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obecně závaznými předpisy (včetně předpisů upravujících právo veřejných zakázek a nekalé soutěže);</w:t>
      </w:r>
    </w:p>
    <w:p w14:paraId="12CC37CB"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podmínkami stanovenými touto Smlouvou;</w:t>
      </w:r>
    </w:p>
    <w:p w14:paraId="3F851128"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všemi platnými technickými normami upravujícími předmět Díla;</w:t>
      </w:r>
    </w:p>
    <w:p w14:paraId="6EEFFE06"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závaznými pravidly dotačního programu, ze kterého má být financována výstavba Stavby dle projektové dokumentace pro provedení Stavby, je-li tato Stavba financována z některého dotačního programu;</w:t>
      </w:r>
    </w:p>
    <w:p w14:paraId="07F12BDC"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pokyny Objednatele;</w:t>
      </w:r>
    </w:p>
    <w:p w14:paraId="4A2C5E2E"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dokumentací Veřejné zakázky.</w:t>
      </w:r>
    </w:p>
    <w:p w14:paraId="2325DA96"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Ustanovení této Smlouvy mají přednost před dispozitivními (nikoliv kogentními) ustanoveními ostatních právních předpisů a dokumentů či pokynů dle odst. 4.1 této Smlouvy. Na každý rozpor mezi ustanovením Smlouvy a jiného dokumentu či pokynu dle odst. 4.1 Dodavatel Objednatele předem upozorní.</w:t>
      </w:r>
    </w:p>
    <w:p w14:paraId="7E3F7817"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Dílo lze předat i po částech. </w:t>
      </w:r>
    </w:p>
    <w:p w14:paraId="63EF151F"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Dodavatel je povinen písemně oznámit Objednateli nejpozději sedm (7) dní předem termín, kdy bude Dílo připraveno k předání a převzetí. Objednatel je oprávněn určit datum předání a převzetí Díla tak, aby se předání Díla nekonalo déle než sedm (7) dní ode dne, kdy bude Dílo dle sdělení Dodavatele připraveno k předání a převzetí. O datu konání předání a převzetí Díla se zavazuje Objednatel vyrozumět Dodavatele písemně.   </w:t>
      </w:r>
    </w:p>
    <w:p w14:paraId="660A2F62"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Dodavatel je povinen připravit a předat u přejímacího řízení Objednateli všechny předepsané doklady dle stavebního zákona a vyhlášky č. 131/2024 Sb., ve znění pozdějších předpisů. Bez těchto dokladů nelze považovat Dílo za dokončené a schopné předání.</w:t>
      </w:r>
    </w:p>
    <w:p w14:paraId="2FC8BCBC"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bookmarkStart w:id="10" w:name="_heading=h.2ebebbyuj0qm" w:colFirst="0" w:colLast="0"/>
      <w:bookmarkEnd w:id="10"/>
      <w:r>
        <w:rPr>
          <w:rFonts w:ascii="Arial" w:eastAsia="Arial" w:hAnsi="Arial" w:cs="Arial"/>
          <w:color w:val="000000"/>
          <w:sz w:val="20"/>
          <w:szCs w:val="20"/>
        </w:rPr>
        <w:t>Dodavatel zejména předá při předání relevantní části Díla Objednateli následující počet pare uvedené dokumentace v tištěné podobě:</w:t>
      </w:r>
    </w:p>
    <w:tbl>
      <w:tblPr>
        <w:tblStyle w:val="a"/>
        <w:tblW w:w="864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62"/>
        <w:gridCol w:w="1985"/>
      </w:tblGrid>
      <w:tr w:rsidR="0089562D" w14:paraId="49EE9933" w14:textId="77777777">
        <w:tc>
          <w:tcPr>
            <w:tcW w:w="6662" w:type="dxa"/>
            <w:shd w:val="clear" w:color="auto" w:fill="D9D9D9"/>
          </w:tcPr>
          <w:p w14:paraId="42FD54FC" w14:textId="77777777" w:rsidR="0089562D" w:rsidRDefault="005A5880">
            <w:pPr>
              <w:pBdr>
                <w:top w:val="nil"/>
                <w:left w:val="nil"/>
                <w:bottom w:val="nil"/>
                <w:right w:val="nil"/>
                <w:between w:val="nil"/>
              </w:pBdr>
              <w:spacing w:before="40" w:after="40"/>
              <w:ind w:left="1134" w:hanging="708"/>
              <w:jc w:val="center"/>
              <w:rPr>
                <w:rFonts w:ascii="Arial" w:eastAsia="Arial" w:hAnsi="Arial" w:cs="Arial"/>
                <w:b/>
                <w:color w:val="000000"/>
                <w:sz w:val="20"/>
                <w:szCs w:val="20"/>
              </w:rPr>
            </w:pPr>
            <w:r>
              <w:rPr>
                <w:rFonts w:ascii="Arial" w:eastAsia="Arial" w:hAnsi="Arial" w:cs="Arial"/>
                <w:b/>
                <w:color w:val="000000"/>
                <w:sz w:val="20"/>
                <w:szCs w:val="20"/>
              </w:rPr>
              <w:lastRenderedPageBreak/>
              <w:t>Dokumentace</w:t>
            </w:r>
          </w:p>
        </w:tc>
        <w:tc>
          <w:tcPr>
            <w:tcW w:w="1985" w:type="dxa"/>
            <w:shd w:val="clear" w:color="auto" w:fill="D9D9D9"/>
          </w:tcPr>
          <w:p w14:paraId="0BB2157A" w14:textId="77777777" w:rsidR="0089562D" w:rsidRDefault="005A5880">
            <w:pPr>
              <w:pBdr>
                <w:top w:val="nil"/>
                <w:left w:val="nil"/>
                <w:bottom w:val="nil"/>
                <w:right w:val="nil"/>
                <w:between w:val="nil"/>
              </w:pBdr>
              <w:tabs>
                <w:tab w:val="center" w:pos="2082"/>
              </w:tabs>
              <w:spacing w:before="40" w:after="40"/>
              <w:ind w:left="1134" w:hanging="708"/>
              <w:jc w:val="center"/>
              <w:rPr>
                <w:rFonts w:ascii="Arial" w:eastAsia="Arial" w:hAnsi="Arial" w:cs="Arial"/>
                <w:b/>
                <w:color w:val="000000"/>
                <w:sz w:val="20"/>
                <w:szCs w:val="20"/>
              </w:rPr>
            </w:pPr>
            <w:r>
              <w:rPr>
                <w:rFonts w:ascii="Arial" w:eastAsia="Arial" w:hAnsi="Arial" w:cs="Arial"/>
                <w:b/>
                <w:color w:val="000000"/>
                <w:sz w:val="20"/>
                <w:szCs w:val="20"/>
              </w:rPr>
              <w:t>Počet pare</w:t>
            </w:r>
          </w:p>
        </w:tc>
      </w:tr>
      <w:tr w:rsidR="0089562D" w14:paraId="602AA1DA" w14:textId="77777777">
        <w:tc>
          <w:tcPr>
            <w:tcW w:w="6662" w:type="dxa"/>
          </w:tcPr>
          <w:p w14:paraId="617815FD" w14:textId="77777777" w:rsidR="0089562D" w:rsidRDefault="005A5880">
            <w:pPr>
              <w:pBdr>
                <w:top w:val="nil"/>
                <w:left w:val="nil"/>
                <w:bottom w:val="nil"/>
                <w:right w:val="nil"/>
                <w:between w:val="nil"/>
              </w:pBdr>
              <w:spacing w:before="40" w:after="40"/>
              <w:ind w:left="1134" w:hanging="708"/>
              <w:rPr>
                <w:rFonts w:ascii="Arial" w:eastAsia="Arial" w:hAnsi="Arial" w:cs="Arial"/>
                <w:color w:val="000000"/>
                <w:sz w:val="20"/>
                <w:szCs w:val="20"/>
              </w:rPr>
            </w:pPr>
            <w:r>
              <w:rPr>
                <w:rFonts w:ascii="Arial" w:eastAsia="Arial" w:hAnsi="Arial" w:cs="Arial"/>
                <w:color w:val="000000"/>
                <w:sz w:val="20"/>
                <w:szCs w:val="20"/>
              </w:rPr>
              <w:t>Projektová dokumentace pro provádění stavby</w:t>
            </w:r>
          </w:p>
        </w:tc>
        <w:tc>
          <w:tcPr>
            <w:tcW w:w="1985" w:type="dxa"/>
          </w:tcPr>
          <w:p w14:paraId="56F06A4B" w14:textId="77777777" w:rsidR="0089562D" w:rsidRDefault="005A5880">
            <w:pPr>
              <w:pBdr>
                <w:top w:val="nil"/>
                <w:left w:val="nil"/>
                <w:bottom w:val="nil"/>
                <w:right w:val="nil"/>
                <w:between w:val="nil"/>
              </w:pBdr>
              <w:spacing w:before="40" w:after="40"/>
              <w:ind w:left="1134" w:hanging="708"/>
              <w:jc w:val="center"/>
              <w:rPr>
                <w:rFonts w:ascii="Arial" w:eastAsia="Arial" w:hAnsi="Arial" w:cs="Arial"/>
                <w:color w:val="000000"/>
                <w:sz w:val="20"/>
                <w:szCs w:val="20"/>
              </w:rPr>
            </w:pPr>
            <w:r>
              <w:rPr>
                <w:rFonts w:ascii="Arial" w:eastAsia="Arial" w:hAnsi="Arial" w:cs="Arial"/>
                <w:color w:val="000000"/>
                <w:sz w:val="20"/>
                <w:szCs w:val="20"/>
              </w:rPr>
              <w:t xml:space="preserve">šestkrát (6) </w:t>
            </w:r>
          </w:p>
        </w:tc>
      </w:tr>
      <w:tr w:rsidR="0089562D" w14:paraId="359E10C1" w14:textId="77777777">
        <w:tc>
          <w:tcPr>
            <w:tcW w:w="6662" w:type="dxa"/>
          </w:tcPr>
          <w:p w14:paraId="5E900388" w14:textId="77777777" w:rsidR="0089562D" w:rsidRDefault="005A5880">
            <w:pPr>
              <w:pBdr>
                <w:top w:val="nil"/>
                <w:left w:val="nil"/>
                <w:bottom w:val="nil"/>
                <w:right w:val="nil"/>
                <w:between w:val="nil"/>
              </w:pBdr>
              <w:spacing w:before="40" w:after="40"/>
              <w:ind w:left="1134" w:hanging="708"/>
              <w:rPr>
                <w:rFonts w:ascii="Arial" w:eastAsia="Arial" w:hAnsi="Arial" w:cs="Arial"/>
                <w:color w:val="000000"/>
                <w:sz w:val="20"/>
                <w:szCs w:val="20"/>
              </w:rPr>
            </w:pPr>
            <w:r>
              <w:rPr>
                <w:rFonts w:ascii="Arial" w:eastAsia="Arial" w:hAnsi="Arial" w:cs="Arial"/>
                <w:color w:val="000000"/>
                <w:sz w:val="20"/>
                <w:szCs w:val="20"/>
              </w:rPr>
              <w:t>Výkaz výměr</w:t>
            </w:r>
          </w:p>
        </w:tc>
        <w:tc>
          <w:tcPr>
            <w:tcW w:w="1985" w:type="dxa"/>
          </w:tcPr>
          <w:p w14:paraId="55E4625B" w14:textId="77777777" w:rsidR="0089562D" w:rsidRDefault="005A5880">
            <w:pPr>
              <w:pBdr>
                <w:top w:val="nil"/>
                <w:left w:val="nil"/>
                <w:bottom w:val="nil"/>
                <w:right w:val="nil"/>
                <w:between w:val="nil"/>
              </w:pBdr>
              <w:spacing w:before="40" w:after="40"/>
              <w:ind w:left="1134" w:hanging="708"/>
              <w:jc w:val="center"/>
              <w:rPr>
                <w:rFonts w:ascii="Arial" w:eastAsia="Arial" w:hAnsi="Arial" w:cs="Arial"/>
                <w:color w:val="000000"/>
                <w:sz w:val="20"/>
                <w:szCs w:val="20"/>
              </w:rPr>
            </w:pPr>
            <w:r>
              <w:rPr>
                <w:rFonts w:ascii="Arial" w:eastAsia="Arial" w:hAnsi="Arial" w:cs="Arial"/>
                <w:color w:val="000000"/>
                <w:sz w:val="20"/>
                <w:szCs w:val="20"/>
              </w:rPr>
              <w:t>třikrát (3)</w:t>
            </w:r>
          </w:p>
        </w:tc>
      </w:tr>
      <w:tr w:rsidR="0089562D" w14:paraId="7D47AD76" w14:textId="77777777">
        <w:tc>
          <w:tcPr>
            <w:tcW w:w="6662" w:type="dxa"/>
          </w:tcPr>
          <w:p w14:paraId="0BF591D6" w14:textId="77777777" w:rsidR="0089562D" w:rsidRDefault="005A5880">
            <w:pPr>
              <w:pBdr>
                <w:top w:val="nil"/>
                <w:left w:val="nil"/>
                <w:bottom w:val="nil"/>
                <w:right w:val="nil"/>
                <w:between w:val="nil"/>
              </w:pBdr>
              <w:spacing w:before="40" w:after="40"/>
              <w:ind w:left="1134" w:hanging="708"/>
              <w:rPr>
                <w:rFonts w:ascii="Arial" w:eastAsia="Arial" w:hAnsi="Arial" w:cs="Arial"/>
                <w:color w:val="000000"/>
                <w:sz w:val="20"/>
                <w:szCs w:val="20"/>
              </w:rPr>
            </w:pPr>
            <w:r>
              <w:rPr>
                <w:rFonts w:ascii="Arial" w:eastAsia="Arial" w:hAnsi="Arial" w:cs="Arial"/>
                <w:color w:val="000000"/>
                <w:sz w:val="20"/>
                <w:szCs w:val="20"/>
              </w:rPr>
              <w:t>Položkový rozpočet stavby</w:t>
            </w:r>
          </w:p>
        </w:tc>
        <w:tc>
          <w:tcPr>
            <w:tcW w:w="1985" w:type="dxa"/>
          </w:tcPr>
          <w:p w14:paraId="66E86A6C" w14:textId="77777777" w:rsidR="0089562D" w:rsidRDefault="005A5880">
            <w:pPr>
              <w:pBdr>
                <w:top w:val="nil"/>
                <w:left w:val="nil"/>
                <w:bottom w:val="nil"/>
                <w:right w:val="nil"/>
                <w:between w:val="nil"/>
              </w:pBdr>
              <w:spacing w:before="40" w:after="40"/>
              <w:ind w:left="1134" w:hanging="708"/>
              <w:jc w:val="center"/>
              <w:rPr>
                <w:rFonts w:ascii="Arial" w:eastAsia="Arial" w:hAnsi="Arial" w:cs="Arial"/>
                <w:color w:val="000000"/>
                <w:sz w:val="20"/>
                <w:szCs w:val="20"/>
              </w:rPr>
            </w:pPr>
            <w:r>
              <w:rPr>
                <w:rFonts w:ascii="Arial" w:eastAsia="Arial" w:hAnsi="Arial" w:cs="Arial"/>
                <w:color w:val="000000"/>
                <w:sz w:val="20"/>
                <w:szCs w:val="20"/>
              </w:rPr>
              <w:t>třikrát (3)</w:t>
            </w:r>
          </w:p>
        </w:tc>
      </w:tr>
      <w:tr w:rsidR="0089562D" w14:paraId="1BB977EA" w14:textId="77777777">
        <w:tc>
          <w:tcPr>
            <w:tcW w:w="6662" w:type="dxa"/>
          </w:tcPr>
          <w:p w14:paraId="41D68E37" w14:textId="77777777" w:rsidR="0089562D" w:rsidRDefault="005A5880">
            <w:pPr>
              <w:pBdr>
                <w:top w:val="nil"/>
                <w:left w:val="nil"/>
                <w:bottom w:val="nil"/>
                <w:right w:val="nil"/>
                <w:between w:val="nil"/>
              </w:pBdr>
              <w:spacing w:before="40" w:after="40"/>
              <w:ind w:left="1134" w:hanging="708"/>
              <w:rPr>
                <w:rFonts w:ascii="Arial" w:eastAsia="Arial" w:hAnsi="Arial" w:cs="Arial"/>
                <w:color w:val="000000"/>
                <w:sz w:val="20"/>
                <w:szCs w:val="20"/>
              </w:rPr>
            </w:pPr>
            <w:r>
              <w:rPr>
                <w:rFonts w:ascii="Arial" w:eastAsia="Arial" w:hAnsi="Arial" w:cs="Arial"/>
                <w:color w:val="000000"/>
                <w:sz w:val="20"/>
                <w:szCs w:val="20"/>
              </w:rPr>
              <w:t xml:space="preserve">Dokladová část </w:t>
            </w:r>
          </w:p>
        </w:tc>
        <w:tc>
          <w:tcPr>
            <w:tcW w:w="1985" w:type="dxa"/>
          </w:tcPr>
          <w:p w14:paraId="5F1AA1AE" w14:textId="77777777" w:rsidR="0089562D" w:rsidRDefault="005A5880">
            <w:pPr>
              <w:pBdr>
                <w:top w:val="nil"/>
                <w:left w:val="nil"/>
                <w:bottom w:val="nil"/>
                <w:right w:val="nil"/>
                <w:between w:val="nil"/>
              </w:pBdr>
              <w:spacing w:before="40" w:after="40"/>
              <w:ind w:left="1134" w:hanging="708"/>
              <w:jc w:val="center"/>
              <w:rPr>
                <w:rFonts w:ascii="Arial" w:eastAsia="Arial" w:hAnsi="Arial" w:cs="Arial"/>
                <w:color w:val="000000"/>
                <w:sz w:val="20"/>
                <w:szCs w:val="20"/>
              </w:rPr>
            </w:pPr>
            <w:r>
              <w:rPr>
                <w:rFonts w:ascii="Arial" w:eastAsia="Arial" w:hAnsi="Arial" w:cs="Arial"/>
                <w:color w:val="000000"/>
                <w:sz w:val="20"/>
                <w:szCs w:val="20"/>
              </w:rPr>
              <w:t>třikrát (3)</w:t>
            </w:r>
          </w:p>
        </w:tc>
      </w:tr>
      <w:tr w:rsidR="0089562D" w14:paraId="22836B5E" w14:textId="77777777">
        <w:tc>
          <w:tcPr>
            <w:tcW w:w="6662" w:type="dxa"/>
          </w:tcPr>
          <w:p w14:paraId="353A0E78" w14:textId="77777777" w:rsidR="0089562D" w:rsidRDefault="005A5880">
            <w:pPr>
              <w:pBdr>
                <w:top w:val="nil"/>
                <w:left w:val="nil"/>
                <w:bottom w:val="nil"/>
                <w:right w:val="nil"/>
                <w:between w:val="nil"/>
              </w:pBdr>
              <w:spacing w:before="40" w:after="40"/>
              <w:ind w:left="1134" w:hanging="708"/>
              <w:rPr>
                <w:rFonts w:ascii="Arial" w:eastAsia="Arial" w:hAnsi="Arial" w:cs="Arial"/>
                <w:color w:val="000000"/>
                <w:sz w:val="20"/>
                <w:szCs w:val="20"/>
              </w:rPr>
            </w:pPr>
            <w:r>
              <w:rPr>
                <w:rFonts w:ascii="Arial" w:eastAsia="Arial" w:hAnsi="Arial" w:cs="Arial"/>
                <w:color w:val="000000"/>
                <w:sz w:val="20"/>
                <w:szCs w:val="20"/>
              </w:rPr>
              <w:t>Průkaz energetické náročnosti budovy</w:t>
            </w:r>
          </w:p>
        </w:tc>
        <w:tc>
          <w:tcPr>
            <w:tcW w:w="1985" w:type="dxa"/>
          </w:tcPr>
          <w:p w14:paraId="0F49EFDB" w14:textId="77777777" w:rsidR="0089562D" w:rsidRDefault="005A5880">
            <w:pPr>
              <w:pBdr>
                <w:top w:val="nil"/>
                <w:left w:val="nil"/>
                <w:bottom w:val="nil"/>
                <w:right w:val="nil"/>
                <w:between w:val="nil"/>
              </w:pBdr>
              <w:spacing w:before="40" w:after="40"/>
              <w:ind w:left="1134" w:hanging="708"/>
              <w:jc w:val="center"/>
              <w:rPr>
                <w:rFonts w:ascii="Arial" w:eastAsia="Arial" w:hAnsi="Arial" w:cs="Arial"/>
                <w:color w:val="000000"/>
                <w:sz w:val="20"/>
                <w:szCs w:val="20"/>
              </w:rPr>
            </w:pPr>
            <w:r>
              <w:rPr>
                <w:rFonts w:ascii="Arial" w:eastAsia="Arial" w:hAnsi="Arial" w:cs="Arial"/>
                <w:color w:val="000000"/>
                <w:sz w:val="20"/>
                <w:szCs w:val="20"/>
              </w:rPr>
              <w:t>třikrát (3)</w:t>
            </w:r>
          </w:p>
        </w:tc>
      </w:tr>
    </w:tbl>
    <w:p w14:paraId="26BAC194" w14:textId="77777777" w:rsidR="0089562D" w:rsidRDefault="0089562D">
      <w:pPr>
        <w:pBdr>
          <w:top w:val="nil"/>
          <w:left w:val="nil"/>
          <w:bottom w:val="nil"/>
          <w:right w:val="nil"/>
          <w:between w:val="nil"/>
        </w:pBdr>
        <w:spacing w:after="0"/>
        <w:ind w:left="680" w:hanging="680"/>
        <w:rPr>
          <w:rFonts w:ascii="Arial" w:eastAsia="Arial" w:hAnsi="Arial" w:cs="Arial"/>
          <w:color w:val="000000"/>
          <w:sz w:val="20"/>
          <w:szCs w:val="20"/>
        </w:rPr>
      </w:pPr>
    </w:p>
    <w:p w14:paraId="65A108BB"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Současně předá Dodavatel Objednateli na přenosném nosiči (např. CD, DVD či </w:t>
      </w:r>
      <w:proofErr w:type="spellStart"/>
      <w:r>
        <w:rPr>
          <w:rFonts w:ascii="Arial" w:eastAsia="Arial" w:hAnsi="Arial" w:cs="Arial"/>
          <w:color w:val="000000"/>
          <w:sz w:val="20"/>
          <w:szCs w:val="20"/>
        </w:rPr>
        <w:t>flash</w:t>
      </w:r>
      <w:proofErr w:type="spellEnd"/>
      <w:r>
        <w:rPr>
          <w:rFonts w:ascii="Arial" w:eastAsia="Arial" w:hAnsi="Arial" w:cs="Arial"/>
          <w:color w:val="000000"/>
          <w:sz w:val="20"/>
          <w:szCs w:val="20"/>
        </w:rPr>
        <w:t xml:space="preserve"> disk) uvedenou dokumentaci v elektronické podobě ve formátech dle odst. 2.3 této Smlouvy. </w:t>
      </w:r>
    </w:p>
    <w:p w14:paraId="6DD8D016"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bookmarkStart w:id="11" w:name="_heading=h.t0liwytwcbu7" w:colFirst="0" w:colLast="0"/>
      <w:bookmarkEnd w:id="11"/>
      <w:r>
        <w:rPr>
          <w:rFonts w:ascii="Arial" w:eastAsia="Arial" w:hAnsi="Arial" w:cs="Arial"/>
          <w:color w:val="000000"/>
          <w:sz w:val="20"/>
          <w:szCs w:val="20"/>
        </w:rPr>
        <w:t>O průběhu přejímacího řízení pořídí Objednatel a Dodavatel protokol. Smluvní strany vylučují aplikaci ustanovení § 2605 odst. 2 občanského zákoníku. Objednatel je oprávněn uplatnit zjevné vady Díla ještě v dodatečné lhůtě šest (6) měsíců ode dne převzetí Díla.</w:t>
      </w:r>
    </w:p>
    <w:p w14:paraId="31B3DA3F"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Objednatel je oprávněn odmítnout převzetí Díla, i když je dodáno s ojedinělými vadami a nedodělky, které nebrání řádnému užívání Díla funkčně a ani jeho užívání ke sjednanému účelu neomezují. Vadou se pro účely této Smlouvy rozumí odchylka v kvalitě, rozsahu nebo parametrech Díla, stanovených touto Smlouvou a obecně závaznými předpisy.</w:t>
      </w:r>
    </w:p>
    <w:p w14:paraId="5BC87F46"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Převezme-li Objednatel Dílo s vadami a nedodělky, dohodnou se Smluvní strany, jakým způsobem budou vady a nedodělky odstraněny a dohodu zaznamenají v protokolu o přejímacím řízení včetně způsobu a termínu odstranění vad a nedodělků. Nedohodnou-li se na způsobu či termínu odstranění takových vad a nedodělků, náleží Objednateli nároky z odpovědnosti za vady. </w:t>
      </w:r>
    </w:p>
    <w:p w14:paraId="35C778D9"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Nepřevezme-li Objednatel Dílo v souladu s touto Smlouvou, je Dodavatel v prodlení. V takovém případě Objednatel v protokolu z přejímacího řízení uvede důvody odmítnutí převzetí Díla a stanoví Dodavateli přiměřený náhradní termín pro provedení Díla (dokončení a předání). Ustanovení tohoto článku se aplikuje přiměřeně. Tímto není dotčeno právo Objednatele od Smlouvy odstoupit dle jiných ustanovení této Smlouvy.</w:t>
      </w:r>
    </w:p>
    <w:p w14:paraId="4073DD32" w14:textId="77777777" w:rsidR="0089562D" w:rsidRDefault="005A5880">
      <w:pPr>
        <w:keepNext/>
        <w:numPr>
          <w:ilvl w:val="0"/>
          <w:numId w:val="7"/>
        </w:numPr>
        <w:pBdr>
          <w:top w:val="nil"/>
          <w:left w:val="nil"/>
          <w:bottom w:val="nil"/>
          <w:right w:val="nil"/>
          <w:between w:val="nil"/>
        </w:pBdr>
        <w:spacing w:before="240"/>
        <w:jc w:val="center"/>
        <w:rPr>
          <w:rFonts w:ascii="Arial" w:eastAsia="Arial" w:hAnsi="Arial" w:cs="Arial"/>
          <w:smallCaps/>
          <w:color w:val="000000"/>
          <w:sz w:val="20"/>
          <w:szCs w:val="20"/>
        </w:rPr>
      </w:pPr>
      <w:bookmarkStart w:id="12" w:name="_heading=h.lf5rizn21ne7" w:colFirst="0" w:colLast="0"/>
      <w:bookmarkEnd w:id="12"/>
      <w:r>
        <w:rPr>
          <w:rFonts w:ascii="Arial" w:eastAsia="Arial" w:hAnsi="Arial" w:cs="Arial"/>
          <w:b/>
          <w:smallCaps/>
          <w:color w:val="000000"/>
          <w:sz w:val="20"/>
          <w:szCs w:val="20"/>
        </w:rPr>
        <w:t>CENA DÍLA</w:t>
      </w:r>
    </w:p>
    <w:p w14:paraId="37F9A221"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Cena za Dílo dle odst. 2.2 a 2.4 Smlouvy je sjednána na základě nabídkové ceny Dodavatele stanovené v souladu se zákonem č. 526/1990 Sb., o cenách, ve znění pozdějších předpisů, dle následující cenové tabulky:</w:t>
      </w:r>
    </w:p>
    <w:tbl>
      <w:tblPr>
        <w:tblStyle w:val="a0"/>
        <w:tblW w:w="7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7"/>
        <w:gridCol w:w="2406"/>
      </w:tblGrid>
      <w:tr w:rsidR="0089562D" w14:paraId="6521DBA9" w14:textId="77777777">
        <w:trPr>
          <w:jc w:val="center"/>
        </w:trPr>
        <w:tc>
          <w:tcPr>
            <w:tcW w:w="5527" w:type="dxa"/>
            <w:tcBorders>
              <w:top w:val="single" w:sz="12" w:space="0" w:color="000000"/>
              <w:left w:val="single" w:sz="12" w:space="0" w:color="000000"/>
              <w:bottom w:val="single" w:sz="12" w:space="0" w:color="000000"/>
              <w:right w:val="single" w:sz="12" w:space="0" w:color="000000"/>
            </w:tcBorders>
            <w:shd w:val="clear" w:color="auto" w:fill="D9D9D9"/>
            <w:vAlign w:val="center"/>
          </w:tcPr>
          <w:p w14:paraId="7ECD9317" w14:textId="77777777" w:rsidR="0089562D" w:rsidRDefault="005A5880">
            <w:pPr>
              <w:pBdr>
                <w:top w:val="nil"/>
                <w:left w:val="nil"/>
                <w:bottom w:val="nil"/>
                <w:right w:val="nil"/>
                <w:between w:val="nil"/>
              </w:pBdr>
              <w:spacing w:before="96" w:after="40"/>
              <w:ind w:left="1134" w:hanging="708"/>
              <w:jc w:val="center"/>
              <w:rPr>
                <w:rFonts w:ascii="Arial" w:eastAsia="Arial" w:hAnsi="Arial" w:cs="Arial"/>
                <w:b/>
                <w:color w:val="000000"/>
                <w:sz w:val="20"/>
                <w:szCs w:val="20"/>
              </w:rPr>
            </w:pPr>
            <w:r>
              <w:rPr>
                <w:rFonts w:ascii="Arial" w:eastAsia="Arial" w:hAnsi="Arial" w:cs="Arial"/>
                <w:b/>
                <w:color w:val="000000"/>
                <w:sz w:val="20"/>
                <w:szCs w:val="20"/>
              </w:rPr>
              <w:t>Součásti Díla</w:t>
            </w:r>
          </w:p>
        </w:tc>
        <w:tc>
          <w:tcPr>
            <w:tcW w:w="2406" w:type="dxa"/>
            <w:tcBorders>
              <w:top w:val="single" w:sz="12" w:space="0" w:color="000000"/>
              <w:left w:val="single" w:sz="12" w:space="0" w:color="000000"/>
              <w:bottom w:val="single" w:sz="12" w:space="0" w:color="000000"/>
              <w:right w:val="single" w:sz="12" w:space="0" w:color="000000"/>
            </w:tcBorders>
            <w:shd w:val="clear" w:color="auto" w:fill="D9D9D9"/>
            <w:vAlign w:val="center"/>
          </w:tcPr>
          <w:p w14:paraId="2F90E805" w14:textId="77777777" w:rsidR="0089562D" w:rsidRDefault="005A5880">
            <w:pPr>
              <w:pBdr>
                <w:top w:val="nil"/>
                <w:left w:val="nil"/>
                <w:bottom w:val="nil"/>
                <w:right w:val="nil"/>
                <w:between w:val="nil"/>
              </w:pBdr>
              <w:spacing w:before="96" w:after="40"/>
              <w:ind w:left="1134" w:hanging="708"/>
              <w:jc w:val="center"/>
              <w:rPr>
                <w:rFonts w:ascii="Arial" w:eastAsia="Arial" w:hAnsi="Arial" w:cs="Arial"/>
                <w:b/>
                <w:color w:val="000000"/>
                <w:sz w:val="20"/>
                <w:szCs w:val="20"/>
              </w:rPr>
            </w:pPr>
            <w:r>
              <w:rPr>
                <w:rFonts w:ascii="Arial" w:eastAsia="Arial" w:hAnsi="Arial" w:cs="Arial"/>
                <w:b/>
                <w:color w:val="000000"/>
                <w:sz w:val="20"/>
                <w:szCs w:val="20"/>
              </w:rPr>
              <w:t>Cena bez DPH</w:t>
            </w:r>
          </w:p>
        </w:tc>
      </w:tr>
      <w:tr w:rsidR="0089562D" w14:paraId="1DC0D3AA" w14:textId="77777777">
        <w:trPr>
          <w:jc w:val="center"/>
        </w:trPr>
        <w:tc>
          <w:tcPr>
            <w:tcW w:w="5527" w:type="dxa"/>
            <w:tcBorders>
              <w:top w:val="single" w:sz="12" w:space="0" w:color="000000"/>
              <w:left w:val="single" w:sz="12" w:space="0" w:color="000000"/>
              <w:bottom w:val="single" w:sz="12" w:space="0" w:color="000000"/>
              <w:right w:val="single" w:sz="12" w:space="0" w:color="000000"/>
            </w:tcBorders>
            <w:vAlign w:val="center"/>
          </w:tcPr>
          <w:p w14:paraId="5EF4C60C" w14:textId="77777777" w:rsidR="0089562D" w:rsidRDefault="005A5880">
            <w:pPr>
              <w:pBdr>
                <w:top w:val="nil"/>
                <w:left w:val="nil"/>
                <w:bottom w:val="nil"/>
                <w:right w:val="nil"/>
                <w:between w:val="nil"/>
              </w:pBdr>
              <w:spacing w:before="96" w:after="40"/>
              <w:ind w:left="1134" w:hanging="708"/>
              <w:jc w:val="left"/>
              <w:rPr>
                <w:rFonts w:ascii="Arial" w:eastAsia="Arial" w:hAnsi="Arial" w:cs="Arial"/>
                <w:color w:val="000000"/>
                <w:sz w:val="20"/>
                <w:szCs w:val="20"/>
              </w:rPr>
            </w:pPr>
            <w:r>
              <w:rPr>
                <w:rFonts w:ascii="Arial" w:eastAsia="Arial" w:hAnsi="Arial" w:cs="Arial"/>
                <w:color w:val="000000"/>
                <w:sz w:val="20"/>
                <w:szCs w:val="20"/>
              </w:rPr>
              <w:t>Projektová dokumentace pro provádění stavby</w:t>
            </w:r>
          </w:p>
        </w:tc>
        <w:tc>
          <w:tcPr>
            <w:tcW w:w="2406" w:type="dxa"/>
            <w:tcBorders>
              <w:top w:val="single" w:sz="12" w:space="0" w:color="000000"/>
              <w:left w:val="single" w:sz="12" w:space="0" w:color="000000"/>
              <w:bottom w:val="single" w:sz="12" w:space="0" w:color="000000"/>
              <w:right w:val="single" w:sz="12" w:space="0" w:color="000000"/>
            </w:tcBorders>
            <w:vAlign w:val="center"/>
          </w:tcPr>
          <w:p w14:paraId="6F5EAA86" w14:textId="77777777" w:rsidR="0089562D" w:rsidRDefault="005A5880">
            <w:pPr>
              <w:pBdr>
                <w:top w:val="nil"/>
                <w:left w:val="nil"/>
                <w:bottom w:val="nil"/>
                <w:right w:val="nil"/>
                <w:between w:val="nil"/>
              </w:pBdr>
              <w:spacing w:before="96" w:after="40"/>
              <w:ind w:left="1134" w:hanging="708"/>
              <w:jc w:val="center"/>
              <w:rPr>
                <w:rFonts w:ascii="Arial" w:eastAsia="Arial" w:hAnsi="Arial" w:cs="Arial"/>
                <w:color w:val="000000"/>
                <w:sz w:val="20"/>
                <w:szCs w:val="20"/>
              </w:rPr>
            </w:pPr>
            <w:r>
              <w:rPr>
                <w:rFonts w:ascii="Arial" w:eastAsia="Arial" w:hAnsi="Arial" w:cs="Arial"/>
                <w:sz w:val="20"/>
                <w:szCs w:val="20"/>
              </w:rPr>
              <w:t>109 000 Kč</w:t>
            </w:r>
          </w:p>
        </w:tc>
      </w:tr>
      <w:tr w:rsidR="0089562D" w14:paraId="3946854C" w14:textId="77777777">
        <w:trPr>
          <w:jc w:val="center"/>
        </w:trPr>
        <w:tc>
          <w:tcPr>
            <w:tcW w:w="5527" w:type="dxa"/>
            <w:tcBorders>
              <w:top w:val="single" w:sz="12" w:space="0" w:color="000000"/>
              <w:left w:val="single" w:sz="12" w:space="0" w:color="000000"/>
              <w:bottom w:val="single" w:sz="12" w:space="0" w:color="000000"/>
              <w:right w:val="single" w:sz="12" w:space="0" w:color="000000"/>
            </w:tcBorders>
            <w:vAlign w:val="center"/>
          </w:tcPr>
          <w:p w14:paraId="0984D357" w14:textId="77777777" w:rsidR="0089562D" w:rsidRDefault="005A5880">
            <w:pPr>
              <w:pBdr>
                <w:top w:val="nil"/>
                <w:left w:val="nil"/>
                <w:bottom w:val="nil"/>
                <w:right w:val="nil"/>
                <w:between w:val="nil"/>
              </w:pBdr>
              <w:spacing w:before="96" w:after="40"/>
              <w:ind w:left="1134" w:hanging="708"/>
              <w:jc w:val="left"/>
              <w:rPr>
                <w:rFonts w:ascii="Arial" w:eastAsia="Arial" w:hAnsi="Arial" w:cs="Arial"/>
                <w:color w:val="000000"/>
                <w:sz w:val="20"/>
                <w:szCs w:val="20"/>
              </w:rPr>
            </w:pPr>
            <w:r>
              <w:rPr>
                <w:rFonts w:ascii="Arial" w:eastAsia="Arial" w:hAnsi="Arial" w:cs="Arial"/>
                <w:color w:val="000000"/>
                <w:sz w:val="20"/>
                <w:szCs w:val="20"/>
              </w:rPr>
              <w:t>Výkaz výměr stavby</w:t>
            </w:r>
          </w:p>
        </w:tc>
        <w:tc>
          <w:tcPr>
            <w:tcW w:w="2406" w:type="dxa"/>
            <w:tcBorders>
              <w:top w:val="single" w:sz="12" w:space="0" w:color="000000"/>
              <w:left w:val="single" w:sz="12" w:space="0" w:color="000000"/>
              <w:bottom w:val="single" w:sz="12" w:space="0" w:color="000000"/>
              <w:right w:val="single" w:sz="12" w:space="0" w:color="000000"/>
            </w:tcBorders>
            <w:vAlign w:val="center"/>
          </w:tcPr>
          <w:p w14:paraId="47AC5505" w14:textId="77777777" w:rsidR="0089562D" w:rsidRDefault="005A5880">
            <w:pPr>
              <w:pBdr>
                <w:top w:val="nil"/>
                <w:left w:val="nil"/>
                <w:bottom w:val="nil"/>
                <w:right w:val="nil"/>
                <w:between w:val="nil"/>
              </w:pBdr>
              <w:spacing w:before="96" w:after="40"/>
              <w:ind w:left="1134" w:hanging="708"/>
              <w:jc w:val="center"/>
              <w:rPr>
                <w:rFonts w:ascii="Arial" w:eastAsia="Arial" w:hAnsi="Arial" w:cs="Arial"/>
                <w:color w:val="000000"/>
                <w:sz w:val="20"/>
                <w:szCs w:val="20"/>
              </w:rPr>
            </w:pPr>
            <w:r>
              <w:rPr>
                <w:rFonts w:ascii="Arial" w:eastAsia="Arial" w:hAnsi="Arial" w:cs="Arial"/>
                <w:sz w:val="20"/>
                <w:szCs w:val="20"/>
              </w:rPr>
              <w:t>6 900 Kč</w:t>
            </w:r>
          </w:p>
        </w:tc>
      </w:tr>
      <w:tr w:rsidR="0089562D" w14:paraId="512D5DAC" w14:textId="77777777">
        <w:trPr>
          <w:jc w:val="center"/>
        </w:trPr>
        <w:tc>
          <w:tcPr>
            <w:tcW w:w="5527" w:type="dxa"/>
            <w:tcBorders>
              <w:top w:val="single" w:sz="12" w:space="0" w:color="000000"/>
              <w:left w:val="single" w:sz="12" w:space="0" w:color="000000"/>
              <w:bottom w:val="single" w:sz="12" w:space="0" w:color="000000"/>
              <w:right w:val="single" w:sz="12" w:space="0" w:color="000000"/>
            </w:tcBorders>
            <w:vAlign w:val="center"/>
          </w:tcPr>
          <w:p w14:paraId="61747E56" w14:textId="77777777" w:rsidR="0089562D" w:rsidRDefault="005A5880">
            <w:pPr>
              <w:pBdr>
                <w:top w:val="nil"/>
                <w:left w:val="nil"/>
                <w:bottom w:val="nil"/>
                <w:right w:val="nil"/>
                <w:between w:val="nil"/>
              </w:pBdr>
              <w:spacing w:before="96" w:after="40"/>
              <w:ind w:left="1134" w:hanging="708"/>
              <w:jc w:val="left"/>
              <w:rPr>
                <w:rFonts w:ascii="Arial" w:eastAsia="Arial" w:hAnsi="Arial" w:cs="Arial"/>
                <w:color w:val="000000"/>
                <w:sz w:val="20"/>
                <w:szCs w:val="20"/>
              </w:rPr>
            </w:pPr>
            <w:r>
              <w:rPr>
                <w:rFonts w:ascii="Arial" w:eastAsia="Arial" w:hAnsi="Arial" w:cs="Arial"/>
                <w:color w:val="000000"/>
                <w:sz w:val="20"/>
                <w:szCs w:val="20"/>
              </w:rPr>
              <w:t>Položkový rozpočet stavby</w:t>
            </w:r>
          </w:p>
        </w:tc>
        <w:tc>
          <w:tcPr>
            <w:tcW w:w="2406" w:type="dxa"/>
            <w:tcBorders>
              <w:top w:val="single" w:sz="12" w:space="0" w:color="000000"/>
              <w:left w:val="single" w:sz="12" w:space="0" w:color="000000"/>
              <w:bottom w:val="single" w:sz="12" w:space="0" w:color="000000"/>
              <w:right w:val="single" w:sz="12" w:space="0" w:color="000000"/>
            </w:tcBorders>
            <w:vAlign w:val="center"/>
          </w:tcPr>
          <w:p w14:paraId="4D1F9F41" w14:textId="77777777" w:rsidR="0089562D" w:rsidRDefault="005A5880">
            <w:pPr>
              <w:pBdr>
                <w:top w:val="nil"/>
                <w:left w:val="nil"/>
                <w:bottom w:val="nil"/>
                <w:right w:val="nil"/>
                <w:between w:val="nil"/>
              </w:pBdr>
              <w:spacing w:before="96" w:after="40"/>
              <w:ind w:left="1134" w:hanging="708"/>
              <w:jc w:val="center"/>
              <w:rPr>
                <w:rFonts w:ascii="Arial" w:eastAsia="Arial" w:hAnsi="Arial" w:cs="Arial"/>
                <w:color w:val="000000"/>
                <w:sz w:val="20"/>
                <w:szCs w:val="20"/>
              </w:rPr>
            </w:pPr>
            <w:r>
              <w:rPr>
                <w:rFonts w:ascii="Arial" w:eastAsia="Arial" w:hAnsi="Arial" w:cs="Arial"/>
                <w:sz w:val="20"/>
                <w:szCs w:val="20"/>
              </w:rPr>
              <w:t>6 900 Kč</w:t>
            </w:r>
          </w:p>
        </w:tc>
      </w:tr>
      <w:tr w:rsidR="0089562D" w14:paraId="66281895" w14:textId="77777777">
        <w:trPr>
          <w:jc w:val="center"/>
        </w:trPr>
        <w:tc>
          <w:tcPr>
            <w:tcW w:w="5527" w:type="dxa"/>
            <w:tcBorders>
              <w:top w:val="single" w:sz="12" w:space="0" w:color="000000"/>
              <w:left w:val="single" w:sz="12" w:space="0" w:color="000000"/>
              <w:bottom w:val="single" w:sz="12" w:space="0" w:color="000000"/>
              <w:right w:val="single" w:sz="12" w:space="0" w:color="000000"/>
            </w:tcBorders>
            <w:vAlign w:val="center"/>
          </w:tcPr>
          <w:p w14:paraId="546F8040" w14:textId="77777777" w:rsidR="0089562D" w:rsidRDefault="005A5880">
            <w:pPr>
              <w:pBdr>
                <w:top w:val="nil"/>
                <w:left w:val="nil"/>
                <w:bottom w:val="nil"/>
                <w:right w:val="nil"/>
                <w:between w:val="nil"/>
              </w:pBdr>
              <w:spacing w:before="96" w:after="40"/>
              <w:ind w:left="1134" w:hanging="708"/>
              <w:jc w:val="left"/>
              <w:rPr>
                <w:rFonts w:ascii="Arial" w:eastAsia="Arial" w:hAnsi="Arial" w:cs="Arial"/>
                <w:color w:val="000000"/>
                <w:sz w:val="20"/>
                <w:szCs w:val="20"/>
              </w:rPr>
            </w:pPr>
            <w:r>
              <w:rPr>
                <w:rFonts w:ascii="Arial" w:eastAsia="Arial" w:hAnsi="Arial" w:cs="Arial"/>
                <w:color w:val="000000"/>
                <w:sz w:val="20"/>
                <w:szCs w:val="20"/>
              </w:rPr>
              <w:t xml:space="preserve">Dokladová část </w:t>
            </w:r>
          </w:p>
        </w:tc>
        <w:tc>
          <w:tcPr>
            <w:tcW w:w="2406" w:type="dxa"/>
            <w:tcBorders>
              <w:top w:val="single" w:sz="12" w:space="0" w:color="000000"/>
              <w:left w:val="single" w:sz="12" w:space="0" w:color="000000"/>
              <w:bottom w:val="single" w:sz="12" w:space="0" w:color="000000"/>
              <w:right w:val="single" w:sz="12" w:space="0" w:color="000000"/>
            </w:tcBorders>
            <w:vAlign w:val="center"/>
          </w:tcPr>
          <w:p w14:paraId="5497FF40" w14:textId="77777777" w:rsidR="0089562D" w:rsidRDefault="005A5880">
            <w:pPr>
              <w:pBdr>
                <w:top w:val="nil"/>
                <w:left w:val="nil"/>
                <w:bottom w:val="nil"/>
                <w:right w:val="nil"/>
                <w:between w:val="nil"/>
              </w:pBdr>
              <w:spacing w:before="96" w:after="40"/>
              <w:ind w:left="1134" w:hanging="708"/>
              <w:jc w:val="center"/>
              <w:rPr>
                <w:rFonts w:ascii="Arial" w:eastAsia="Arial" w:hAnsi="Arial" w:cs="Arial"/>
                <w:color w:val="000000"/>
                <w:sz w:val="20"/>
                <w:szCs w:val="20"/>
              </w:rPr>
            </w:pPr>
            <w:r>
              <w:rPr>
                <w:rFonts w:ascii="Arial" w:eastAsia="Arial" w:hAnsi="Arial" w:cs="Arial"/>
                <w:sz w:val="20"/>
                <w:szCs w:val="20"/>
              </w:rPr>
              <w:t>9 000 Kč</w:t>
            </w:r>
          </w:p>
        </w:tc>
      </w:tr>
      <w:tr w:rsidR="0089562D" w14:paraId="0D7F6438" w14:textId="77777777">
        <w:trPr>
          <w:jc w:val="center"/>
        </w:trPr>
        <w:tc>
          <w:tcPr>
            <w:tcW w:w="5527" w:type="dxa"/>
            <w:tcBorders>
              <w:top w:val="single" w:sz="12" w:space="0" w:color="000000"/>
              <w:left w:val="single" w:sz="12" w:space="0" w:color="000000"/>
              <w:bottom w:val="single" w:sz="12" w:space="0" w:color="000000"/>
              <w:right w:val="single" w:sz="12" w:space="0" w:color="000000"/>
            </w:tcBorders>
            <w:vAlign w:val="center"/>
          </w:tcPr>
          <w:p w14:paraId="2B440045" w14:textId="77777777" w:rsidR="0089562D" w:rsidRDefault="005A5880">
            <w:pPr>
              <w:pBdr>
                <w:top w:val="nil"/>
                <w:left w:val="nil"/>
                <w:bottom w:val="nil"/>
                <w:right w:val="nil"/>
                <w:between w:val="nil"/>
              </w:pBdr>
              <w:spacing w:before="96" w:after="40"/>
              <w:ind w:left="1134" w:hanging="708"/>
              <w:jc w:val="left"/>
              <w:rPr>
                <w:rFonts w:ascii="Arial" w:eastAsia="Arial" w:hAnsi="Arial" w:cs="Arial"/>
                <w:color w:val="000000"/>
                <w:sz w:val="20"/>
                <w:szCs w:val="20"/>
              </w:rPr>
            </w:pPr>
            <w:r>
              <w:rPr>
                <w:rFonts w:ascii="Arial" w:eastAsia="Arial" w:hAnsi="Arial" w:cs="Arial"/>
                <w:color w:val="000000"/>
                <w:sz w:val="20"/>
                <w:szCs w:val="20"/>
              </w:rPr>
              <w:t>Průkaz energetické náročnosti budovy</w:t>
            </w:r>
          </w:p>
        </w:tc>
        <w:tc>
          <w:tcPr>
            <w:tcW w:w="2406" w:type="dxa"/>
            <w:tcBorders>
              <w:top w:val="single" w:sz="12" w:space="0" w:color="000000"/>
              <w:left w:val="single" w:sz="12" w:space="0" w:color="000000"/>
              <w:bottom w:val="single" w:sz="12" w:space="0" w:color="000000"/>
              <w:right w:val="single" w:sz="12" w:space="0" w:color="000000"/>
            </w:tcBorders>
            <w:vAlign w:val="center"/>
          </w:tcPr>
          <w:p w14:paraId="6ACB1F5F" w14:textId="77777777" w:rsidR="0089562D" w:rsidRDefault="005A5880">
            <w:pPr>
              <w:pBdr>
                <w:top w:val="nil"/>
                <w:left w:val="nil"/>
                <w:bottom w:val="nil"/>
                <w:right w:val="nil"/>
                <w:between w:val="nil"/>
              </w:pBdr>
              <w:spacing w:before="96" w:after="40"/>
              <w:ind w:left="1134" w:hanging="708"/>
              <w:jc w:val="center"/>
              <w:rPr>
                <w:rFonts w:ascii="Arial" w:eastAsia="Arial" w:hAnsi="Arial" w:cs="Arial"/>
                <w:color w:val="000000"/>
                <w:sz w:val="20"/>
                <w:szCs w:val="20"/>
              </w:rPr>
            </w:pPr>
            <w:r>
              <w:rPr>
                <w:rFonts w:ascii="Arial" w:eastAsia="Arial" w:hAnsi="Arial" w:cs="Arial"/>
                <w:sz w:val="20"/>
                <w:szCs w:val="20"/>
              </w:rPr>
              <w:t>19 900 Kč</w:t>
            </w:r>
          </w:p>
        </w:tc>
      </w:tr>
      <w:tr w:rsidR="0089562D" w14:paraId="52DFB7E8" w14:textId="77777777">
        <w:trPr>
          <w:jc w:val="center"/>
        </w:trPr>
        <w:tc>
          <w:tcPr>
            <w:tcW w:w="5527" w:type="dxa"/>
            <w:tcBorders>
              <w:top w:val="single" w:sz="12" w:space="0" w:color="000000"/>
              <w:left w:val="single" w:sz="12" w:space="0" w:color="000000"/>
              <w:bottom w:val="single" w:sz="12" w:space="0" w:color="000000"/>
              <w:right w:val="single" w:sz="12" w:space="0" w:color="000000"/>
            </w:tcBorders>
            <w:vAlign w:val="center"/>
          </w:tcPr>
          <w:p w14:paraId="6B34709D" w14:textId="77777777" w:rsidR="0089562D" w:rsidRDefault="005A5880">
            <w:pPr>
              <w:pBdr>
                <w:top w:val="nil"/>
                <w:left w:val="nil"/>
                <w:bottom w:val="nil"/>
                <w:right w:val="nil"/>
                <w:between w:val="nil"/>
              </w:pBdr>
              <w:spacing w:before="96" w:after="40"/>
              <w:ind w:left="1134" w:hanging="708"/>
              <w:jc w:val="left"/>
              <w:rPr>
                <w:rFonts w:ascii="Arial" w:eastAsia="Arial" w:hAnsi="Arial" w:cs="Arial"/>
                <w:color w:val="000000"/>
                <w:sz w:val="20"/>
                <w:szCs w:val="20"/>
              </w:rPr>
            </w:pPr>
            <w:r>
              <w:rPr>
                <w:rFonts w:ascii="Arial" w:eastAsia="Arial" w:hAnsi="Arial" w:cs="Arial"/>
                <w:color w:val="000000"/>
                <w:sz w:val="20"/>
                <w:szCs w:val="20"/>
              </w:rPr>
              <w:t>Autorský dozor</w:t>
            </w:r>
          </w:p>
        </w:tc>
        <w:tc>
          <w:tcPr>
            <w:tcW w:w="2406" w:type="dxa"/>
            <w:tcBorders>
              <w:top w:val="single" w:sz="12" w:space="0" w:color="000000"/>
              <w:left w:val="single" w:sz="12" w:space="0" w:color="000000"/>
              <w:bottom w:val="single" w:sz="12" w:space="0" w:color="000000"/>
              <w:right w:val="single" w:sz="12" w:space="0" w:color="000000"/>
            </w:tcBorders>
            <w:vAlign w:val="center"/>
          </w:tcPr>
          <w:p w14:paraId="55D120AF" w14:textId="77777777" w:rsidR="0089562D" w:rsidRDefault="005A5880">
            <w:pPr>
              <w:pBdr>
                <w:top w:val="nil"/>
                <w:left w:val="nil"/>
                <w:bottom w:val="nil"/>
                <w:right w:val="nil"/>
                <w:between w:val="nil"/>
              </w:pBdr>
              <w:spacing w:before="96" w:after="40"/>
              <w:ind w:left="1134" w:hanging="708"/>
              <w:jc w:val="center"/>
              <w:rPr>
                <w:rFonts w:ascii="Arial" w:eastAsia="Arial" w:hAnsi="Arial" w:cs="Arial"/>
                <w:color w:val="000000"/>
                <w:sz w:val="20"/>
                <w:szCs w:val="20"/>
              </w:rPr>
            </w:pPr>
            <w:r>
              <w:rPr>
                <w:rFonts w:ascii="Arial" w:eastAsia="Arial" w:hAnsi="Arial" w:cs="Arial"/>
                <w:sz w:val="20"/>
                <w:szCs w:val="20"/>
              </w:rPr>
              <w:t>24 900 Kč</w:t>
            </w:r>
          </w:p>
        </w:tc>
      </w:tr>
      <w:tr w:rsidR="0089562D" w14:paraId="56F758E9" w14:textId="77777777">
        <w:trPr>
          <w:jc w:val="center"/>
        </w:trPr>
        <w:tc>
          <w:tcPr>
            <w:tcW w:w="5527" w:type="dxa"/>
            <w:tcBorders>
              <w:top w:val="single" w:sz="12" w:space="0" w:color="000000"/>
              <w:left w:val="single" w:sz="12" w:space="0" w:color="000000"/>
              <w:bottom w:val="single" w:sz="12" w:space="0" w:color="000000"/>
              <w:right w:val="single" w:sz="12" w:space="0" w:color="000000"/>
            </w:tcBorders>
            <w:vAlign w:val="center"/>
          </w:tcPr>
          <w:p w14:paraId="6B9F336B" w14:textId="77777777" w:rsidR="0089562D" w:rsidRDefault="005A5880">
            <w:pPr>
              <w:pBdr>
                <w:top w:val="nil"/>
                <w:left w:val="nil"/>
                <w:bottom w:val="nil"/>
                <w:right w:val="nil"/>
                <w:between w:val="nil"/>
              </w:pBdr>
              <w:spacing w:before="96" w:after="40"/>
              <w:ind w:left="1134" w:hanging="708"/>
              <w:jc w:val="left"/>
              <w:rPr>
                <w:rFonts w:ascii="Arial" w:eastAsia="Arial" w:hAnsi="Arial" w:cs="Arial"/>
                <w:color w:val="000000"/>
                <w:sz w:val="20"/>
                <w:szCs w:val="20"/>
              </w:rPr>
            </w:pPr>
            <w:r>
              <w:rPr>
                <w:rFonts w:ascii="Arial" w:eastAsia="Arial" w:hAnsi="Arial" w:cs="Arial"/>
                <w:color w:val="000000"/>
                <w:sz w:val="20"/>
                <w:szCs w:val="20"/>
              </w:rPr>
              <w:t>Technická pomoc v rámci zadávacího řízení na</w:t>
            </w:r>
            <w:r>
              <w:rPr>
                <w:rFonts w:ascii="Arial" w:eastAsia="Arial" w:hAnsi="Arial" w:cs="Arial"/>
                <w:sz w:val="20"/>
                <w:szCs w:val="20"/>
              </w:rPr>
              <w:t xml:space="preserve"> </w:t>
            </w:r>
            <w:r>
              <w:rPr>
                <w:rFonts w:ascii="Arial" w:eastAsia="Arial" w:hAnsi="Arial" w:cs="Arial"/>
                <w:color w:val="000000"/>
                <w:sz w:val="20"/>
                <w:szCs w:val="20"/>
              </w:rPr>
              <w:t>dodavatele stavby</w:t>
            </w:r>
          </w:p>
        </w:tc>
        <w:tc>
          <w:tcPr>
            <w:tcW w:w="2406" w:type="dxa"/>
            <w:tcBorders>
              <w:top w:val="single" w:sz="12" w:space="0" w:color="000000"/>
              <w:left w:val="single" w:sz="12" w:space="0" w:color="000000"/>
              <w:bottom w:val="single" w:sz="12" w:space="0" w:color="000000"/>
              <w:right w:val="single" w:sz="12" w:space="0" w:color="000000"/>
            </w:tcBorders>
            <w:vAlign w:val="center"/>
          </w:tcPr>
          <w:p w14:paraId="55847E8A" w14:textId="77777777" w:rsidR="0089562D" w:rsidRDefault="005A5880">
            <w:pPr>
              <w:pBdr>
                <w:top w:val="nil"/>
                <w:left w:val="nil"/>
                <w:bottom w:val="nil"/>
                <w:right w:val="nil"/>
                <w:between w:val="nil"/>
              </w:pBdr>
              <w:spacing w:before="96" w:after="40"/>
              <w:ind w:left="1134" w:hanging="708"/>
              <w:jc w:val="center"/>
              <w:rPr>
                <w:rFonts w:ascii="Arial" w:eastAsia="Arial" w:hAnsi="Arial" w:cs="Arial"/>
                <w:color w:val="000000"/>
                <w:sz w:val="20"/>
                <w:szCs w:val="20"/>
              </w:rPr>
            </w:pPr>
            <w:r>
              <w:rPr>
                <w:rFonts w:ascii="Arial" w:eastAsia="Arial" w:hAnsi="Arial" w:cs="Arial"/>
                <w:sz w:val="20"/>
                <w:szCs w:val="20"/>
              </w:rPr>
              <w:t>14 900 Kč</w:t>
            </w:r>
          </w:p>
        </w:tc>
      </w:tr>
      <w:tr w:rsidR="0089562D" w14:paraId="0FAD0712" w14:textId="77777777">
        <w:trPr>
          <w:jc w:val="center"/>
        </w:trPr>
        <w:tc>
          <w:tcPr>
            <w:tcW w:w="5527" w:type="dxa"/>
            <w:tcBorders>
              <w:top w:val="single" w:sz="12" w:space="0" w:color="000000"/>
              <w:left w:val="single" w:sz="12" w:space="0" w:color="000000"/>
              <w:bottom w:val="single" w:sz="12" w:space="0" w:color="000000"/>
              <w:right w:val="single" w:sz="12" w:space="0" w:color="000000"/>
            </w:tcBorders>
            <w:vAlign w:val="center"/>
          </w:tcPr>
          <w:p w14:paraId="6A1AC83F" w14:textId="77777777" w:rsidR="0089562D" w:rsidRDefault="005A5880">
            <w:pPr>
              <w:pBdr>
                <w:top w:val="nil"/>
                <w:left w:val="nil"/>
                <w:bottom w:val="nil"/>
                <w:right w:val="nil"/>
                <w:between w:val="nil"/>
              </w:pBdr>
              <w:spacing w:before="96" w:after="40"/>
              <w:ind w:left="1134" w:hanging="708"/>
              <w:jc w:val="left"/>
              <w:rPr>
                <w:rFonts w:ascii="Arial" w:eastAsia="Arial" w:hAnsi="Arial" w:cs="Arial"/>
                <w:b/>
                <w:color w:val="000000"/>
                <w:sz w:val="20"/>
                <w:szCs w:val="20"/>
              </w:rPr>
            </w:pPr>
            <w:r>
              <w:rPr>
                <w:rFonts w:ascii="Arial" w:eastAsia="Arial" w:hAnsi="Arial" w:cs="Arial"/>
                <w:b/>
                <w:color w:val="000000"/>
                <w:sz w:val="20"/>
                <w:szCs w:val="20"/>
              </w:rPr>
              <w:t>Cena celkem</w:t>
            </w:r>
          </w:p>
        </w:tc>
        <w:tc>
          <w:tcPr>
            <w:tcW w:w="2406" w:type="dxa"/>
            <w:tcBorders>
              <w:top w:val="single" w:sz="12" w:space="0" w:color="000000"/>
              <w:left w:val="single" w:sz="12" w:space="0" w:color="000000"/>
              <w:bottom w:val="single" w:sz="12" w:space="0" w:color="000000"/>
              <w:right w:val="single" w:sz="12" w:space="0" w:color="000000"/>
            </w:tcBorders>
            <w:vAlign w:val="center"/>
          </w:tcPr>
          <w:p w14:paraId="2080FE6B" w14:textId="77777777" w:rsidR="0089562D" w:rsidRDefault="005A5880">
            <w:pPr>
              <w:pBdr>
                <w:top w:val="nil"/>
                <w:left w:val="nil"/>
                <w:bottom w:val="nil"/>
                <w:right w:val="nil"/>
                <w:between w:val="nil"/>
              </w:pBdr>
              <w:spacing w:before="96" w:after="40"/>
              <w:ind w:left="1134" w:hanging="708"/>
              <w:jc w:val="center"/>
              <w:rPr>
                <w:rFonts w:ascii="Arial" w:eastAsia="Arial" w:hAnsi="Arial" w:cs="Arial"/>
                <w:b/>
                <w:color w:val="000000"/>
                <w:sz w:val="20"/>
                <w:szCs w:val="20"/>
              </w:rPr>
            </w:pPr>
            <w:r>
              <w:rPr>
                <w:rFonts w:ascii="Arial" w:eastAsia="Arial" w:hAnsi="Arial" w:cs="Arial"/>
                <w:sz w:val="20"/>
                <w:szCs w:val="20"/>
              </w:rPr>
              <w:t>191 500 Kč</w:t>
            </w:r>
          </w:p>
        </w:tc>
      </w:tr>
      <w:tr w:rsidR="0089562D" w14:paraId="39868C1D" w14:textId="77777777">
        <w:trPr>
          <w:jc w:val="center"/>
        </w:trPr>
        <w:tc>
          <w:tcPr>
            <w:tcW w:w="5527" w:type="dxa"/>
            <w:tcBorders>
              <w:top w:val="single" w:sz="12" w:space="0" w:color="000000"/>
              <w:left w:val="single" w:sz="12" w:space="0" w:color="000000"/>
              <w:bottom w:val="single" w:sz="12" w:space="0" w:color="000000"/>
              <w:right w:val="single" w:sz="12" w:space="0" w:color="000000"/>
            </w:tcBorders>
            <w:vAlign w:val="center"/>
          </w:tcPr>
          <w:p w14:paraId="7BF4F9DA" w14:textId="77777777" w:rsidR="0089562D" w:rsidRDefault="005A5880">
            <w:pPr>
              <w:pBdr>
                <w:top w:val="nil"/>
                <w:left w:val="nil"/>
                <w:bottom w:val="nil"/>
                <w:right w:val="nil"/>
                <w:between w:val="nil"/>
              </w:pBdr>
              <w:spacing w:before="96" w:after="40"/>
              <w:ind w:left="1134" w:hanging="708"/>
              <w:jc w:val="left"/>
              <w:rPr>
                <w:rFonts w:ascii="Arial" w:eastAsia="Arial" w:hAnsi="Arial" w:cs="Arial"/>
                <w:b/>
                <w:color w:val="000000"/>
                <w:sz w:val="20"/>
                <w:szCs w:val="20"/>
              </w:rPr>
            </w:pPr>
            <w:r>
              <w:rPr>
                <w:rFonts w:ascii="Arial" w:eastAsia="Arial" w:hAnsi="Arial" w:cs="Arial"/>
                <w:b/>
                <w:color w:val="000000"/>
                <w:sz w:val="20"/>
                <w:szCs w:val="20"/>
              </w:rPr>
              <w:t>DPH 21 %</w:t>
            </w:r>
          </w:p>
        </w:tc>
        <w:tc>
          <w:tcPr>
            <w:tcW w:w="2406" w:type="dxa"/>
            <w:tcBorders>
              <w:top w:val="single" w:sz="12" w:space="0" w:color="000000"/>
              <w:left w:val="single" w:sz="12" w:space="0" w:color="000000"/>
              <w:bottom w:val="single" w:sz="12" w:space="0" w:color="000000"/>
              <w:right w:val="single" w:sz="12" w:space="0" w:color="000000"/>
            </w:tcBorders>
            <w:vAlign w:val="center"/>
          </w:tcPr>
          <w:p w14:paraId="002228DE" w14:textId="77777777" w:rsidR="0089562D" w:rsidRDefault="005A5880">
            <w:pPr>
              <w:pBdr>
                <w:top w:val="nil"/>
                <w:left w:val="nil"/>
                <w:bottom w:val="nil"/>
                <w:right w:val="nil"/>
                <w:between w:val="nil"/>
              </w:pBdr>
              <w:spacing w:before="96" w:after="40"/>
              <w:ind w:left="1134" w:hanging="708"/>
              <w:jc w:val="center"/>
              <w:rPr>
                <w:rFonts w:ascii="Arial" w:eastAsia="Arial" w:hAnsi="Arial" w:cs="Arial"/>
                <w:b/>
                <w:color w:val="000000"/>
                <w:sz w:val="20"/>
                <w:szCs w:val="20"/>
              </w:rPr>
            </w:pPr>
            <w:r>
              <w:rPr>
                <w:rFonts w:ascii="Arial" w:eastAsia="Arial" w:hAnsi="Arial" w:cs="Arial"/>
                <w:sz w:val="20"/>
                <w:szCs w:val="20"/>
              </w:rPr>
              <w:t>40 215 Kč</w:t>
            </w:r>
          </w:p>
        </w:tc>
      </w:tr>
      <w:tr w:rsidR="0089562D" w14:paraId="3620C3EA" w14:textId="77777777">
        <w:trPr>
          <w:jc w:val="center"/>
        </w:trPr>
        <w:tc>
          <w:tcPr>
            <w:tcW w:w="5527" w:type="dxa"/>
            <w:tcBorders>
              <w:top w:val="single" w:sz="12" w:space="0" w:color="000000"/>
              <w:left w:val="single" w:sz="12" w:space="0" w:color="000000"/>
              <w:bottom w:val="single" w:sz="12" w:space="0" w:color="000000"/>
              <w:right w:val="single" w:sz="12" w:space="0" w:color="000000"/>
            </w:tcBorders>
            <w:vAlign w:val="center"/>
          </w:tcPr>
          <w:p w14:paraId="79BA089A" w14:textId="77777777" w:rsidR="0089562D" w:rsidRDefault="005A5880">
            <w:pPr>
              <w:pBdr>
                <w:top w:val="nil"/>
                <w:left w:val="nil"/>
                <w:bottom w:val="nil"/>
                <w:right w:val="nil"/>
                <w:between w:val="nil"/>
              </w:pBdr>
              <w:spacing w:before="96" w:after="40"/>
              <w:ind w:left="1134" w:hanging="708"/>
              <w:jc w:val="left"/>
              <w:rPr>
                <w:rFonts w:ascii="Arial" w:eastAsia="Arial" w:hAnsi="Arial" w:cs="Arial"/>
                <w:b/>
                <w:color w:val="000000"/>
                <w:sz w:val="20"/>
                <w:szCs w:val="20"/>
              </w:rPr>
            </w:pPr>
            <w:r>
              <w:rPr>
                <w:rFonts w:ascii="Arial" w:eastAsia="Arial" w:hAnsi="Arial" w:cs="Arial"/>
                <w:b/>
                <w:color w:val="000000"/>
                <w:sz w:val="20"/>
                <w:szCs w:val="20"/>
              </w:rPr>
              <w:lastRenderedPageBreak/>
              <w:t>Cena celkem včetně DPH</w:t>
            </w:r>
          </w:p>
        </w:tc>
        <w:tc>
          <w:tcPr>
            <w:tcW w:w="2406" w:type="dxa"/>
            <w:tcBorders>
              <w:top w:val="single" w:sz="12" w:space="0" w:color="000000"/>
              <w:left w:val="single" w:sz="12" w:space="0" w:color="000000"/>
              <w:bottom w:val="single" w:sz="12" w:space="0" w:color="000000"/>
              <w:right w:val="single" w:sz="12" w:space="0" w:color="000000"/>
            </w:tcBorders>
            <w:vAlign w:val="center"/>
          </w:tcPr>
          <w:p w14:paraId="70E902E3" w14:textId="77777777" w:rsidR="0089562D" w:rsidRDefault="005A5880">
            <w:pPr>
              <w:pBdr>
                <w:top w:val="nil"/>
                <w:left w:val="nil"/>
                <w:bottom w:val="nil"/>
                <w:right w:val="nil"/>
                <w:between w:val="nil"/>
              </w:pBdr>
              <w:spacing w:before="96" w:after="40"/>
              <w:ind w:left="1134" w:hanging="708"/>
              <w:jc w:val="center"/>
              <w:rPr>
                <w:rFonts w:ascii="Arial" w:eastAsia="Arial" w:hAnsi="Arial" w:cs="Arial"/>
                <w:b/>
                <w:color w:val="000000"/>
                <w:sz w:val="20"/>
                <w:szCs w:val="20"/>
              </w:rPr>
            </w:pPr>
            <w:r>
              <w:rPr>
                <w:rFonts w:ascii="Arial" w:eastAsia="Arial" w:hAnsi="Arial" w:cs="Arial"/>
                <w:sz w:val="20"/>
                <w:szCs w:val="20"/>
              </w:rPr>
              <w:t>231 715 Kč</w:t>
            </w:r>
          </w:p>
        </w:tc>
      </w:tr>
    </w:tbl>
    <w:p w14:paraId="2208AED1" w14:textId="77777777" w:rsidR="0089562D" w:rsidRDefault="0089562D">
      <w:pPr>
        <w:pBdr>
          <w:top w:val="nil"/>
          <w:left w:val="nil"/>
          <w:bottom w:val="nil"/>
          <w:right w:val="nil"/>
          <w:between w:val="nil"/>
        </w:pBdr>
        <w:spacing w:before="240"/>
        <w:ind w:left="680" w:hanging="680"/>
        <w:rPr>
          <w:rFonts w:ascii="Arial" w:eastAsia="Arial" w:hAnsi="Arial" w:cs="Arial"/>
          <w:b/>
          <w:smallCaps/>
          <w:color w:val="000000"/>
          <w:sz w:val="20"/>
          <w:szCs w:val="20"/>
        </w:rPr>
      </w:pPr>
    </w:p>
    <w:p w14:paraId="4227545A"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Cena za zhotovení Díla je stanovena dle cenové nabídky Dodavatele pro celý rozsah předmětu Díla dle této Smlouvy. V ceně Díla jsou zahrnuty veškeré náklady Dodavatele na realizaci Díla, tedy veškeré práce, dodávky, služby, poplatky, výkony a další činnosti nutné pro řádné splnění Díla, s výjimkou úkonů nutných za účelem zhotovení Stavby, dle odst. 5.4 Smlouvy.</w:t>
      </w:r>
    </w:p>
    <w:p w14:paraId="79DBE505"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Cena za zhotovení Díla je konečná a nepřekročitelná, ani jedna strana není oprávněna požadovat změnu ceny Díla proto, že si Dílo vyžádalo jiné úsilí nebo jiné náklady, než bylo předpokládáno.</w:t>
      </w:r>
    </w:p>
    <w:p w14:paraId="03EDF957"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bookmarkStart w:id="13" w:name="_heading=h.s3nfr579v108" w:colFirst="0" w:colLast="0"/>
      <w:bookmarkEnd w:id="13"/>
      <w:r>
        <w:rPr>
          <w:rFonts w:ascii="Arial" w:eastAsia="Arial" w:hAnsi="Arial" w:cs="Arial"/>
          <w:color w:val="000000"/>
          <w:sz w:val="20"/>
          <w:szCs w:val="20"/>
        </w:rPr>
        <w:t>Práce nad rámec předmětu plnění této Smlouvy vyžadují předchozí dohodu Smluvních stran formou písemného dodatku k této Smlouvě. Pokud Dodavatel provede tyto práce bez předchozího sjednání písemného dodatku k této Smlouvě, považuje se hodnota takových prací za zahrnutou v celkové ceně Díla dle této Smlouvy. Písemný dodatek může být uzavřen pouze v souladu s § 222 ZZVZ, tedy za předpokladu, že se nebude jednat o podstatnou změnu závazku ze smlouvy. Pokud by cenový nárůst za změny závazku byl vyšší, než limity uvedené v § 222 odst. 4, odst. 5, odst. 6 a odst. 9 ZZVZ, je Objednatel povinen provést nové zadávací řízení a po dobu jeho průběhu nepřipustit změnu rozsahu závazku z této Smlouvy.</w:t>
      </w:r>
    </w:p>
    <w:p w14:paraId="5B833048"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Dodavatel je povinen snížit cenu Díla za neprovedené práce, a to ve výši ceny stanovené v jeho nabídce, a pokud ji nelze určit, ve výši ceny neprovedených prací v místě a čase obvyklé. </w:t>
      </w:r>
    </w:p>
    <w:p w14:paraId="52E02467" w14:textId="77777777" w:rsidR="0089562D" w:rsidRDefault="005A5880">
      <w:pPr>
        <w:numPr>
          <w:ilvl w:val="0"/>
          <w:numId w:val="7"/>
        </w:numPr>
        <w:pBdr>
          <w:top w:val="nil"/>
          <w:left w:val="nil"/>
          <w:bottom w:val="nil"/>
          <w:right w:val="nil"/>
          <w:between w:val="nil"/>
        </w:pBdr>
        <w:spacing w:before="240"/>
        <w:jc w:val="center"/>
        <w:rPr>
          <w:rFonts w:ascii="Arial" w:eastAsia="Arial" w:hAnsi="Arial" w:cs="Arial"/>
          <w:smallCaps/>
          <w:color w:val="000000"/>
          <w:sz w:val="20"/>
          <w:szCs w:val="20"/>
        </w:rPr>
      </w:pPr>
      <w:r>
        <w:rPr>
          <w:rFonts w:ascii="Arial" w:eastAsia="Arial" w:hAnsi="Arial" w:cs="Arial"/>
          <w:b/>
          <w:smallCaps/>
          <w:color w:val="000000"/>
          <w:sz w:val="20"/>
          <w:szCs w:val="20"/>
        </w:rPr>
        <w:t>PLATEBNÍ PODMÍNKY</w:t>
      </w:r>
    </w:p>
    <w:p w14:paraId="7BE172FC"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Objednatel uhradí cenu za Dílo dle cenové tabulky v čl. 5 Smlouvy. Objednatel nebude poskytovat na provedení Díla zálohy.</w:t>
      </w:r>
    </w:p>
    <w:p w14:paraId="13051926"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bookmarkStart w:id="14" w:name="_heading=h.kwpk0qexwvio" w:colFirst="0" w:colLast="0"/>
      <w:bookmarkEnd w:id="14"/>
      <w:r>
        <w:rPr>
          <w:rFonts w:ascii="Arial" w:eastAsia="Arial" w:hAnsi="Arial" w:cs="Arial"/>
          <w:color w:val="000000"/>
          <w:sz w:val="20"/>
          <w:szCs w:val="20"/>
        </w:rPr>
        <w:t>Fakturace Díla bude uskutečněna na základě dílčích faktur (řádným daňovým dokladem) za jednotlivé části Díla (s uvedením samostatné položkové kalkulace jednotlivých částí Díla) a účtovány na základě Objednatelem písemně odsouhlaseného přehledu provedených činností, po jejich řádném provedení ve smyslu odst. 4.1 této Smlouvy.</w:t>
      </w:r>
    </w:p>
    <w:p w14:paraId="45A273FD"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Každá faktura musí splňovat náležitosti daňového dokladu dle platných obecně závazných předpisů a bude obsahovat název akce </w:t>
      </w:r>
      <w:r>
        <w:rPr>
          <w:rFonts w:ascii="Arial" w:eastAsia="Arial" w:hAnsi="Arial" w:cs="Arial"/>
          <w:b/>
          <w:color w:val="000000"/>
          <w:sz w:val="20"/>
          <w:szCs w:val="20"/>
        </w:rPr>
        <w:t>„Projektová dokumentace pro provedení stavby Výměna oken a dveří v Památníku A. Dvořáka ve Vysoké čp. 69“</w:t>
      </w:r>
      <w:r>
        <w:rPr>
          <w:rFonts w:ascii="Arial" w:eastAsia="Arial" w:hAnsi="Arial" w:cs="Arial"/>
          <w:color w:val="000000"/>
          <w:sz w:val="20"/>
          <w:szCs w:val="20"/>
        </w:rPr>
        <w:t>.</w:t>
      </w:r>
    </w:p>
    <w:p w14:paraId="044878B2"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Doručovat faktury bude Dodavatel na adresu sídla Objednatele, nedohodou-</w:t>
      </w:r>
      <w:proofErr w:type="spellStart"/>
      <w:r>
        <w:rPr>
          <w:rFonts w:ascii="Arial" w:eastAsia="Arial" w:hAnsi="Arial" w:cs="Arial"/>
          <w:color w:val="000000"/>
          <w:sz w:val="20"/>
          <w:szCs w:val="20"/>
        </w:rPr>
        <w:t>li</w:t>
      </w:r>
      <w:proofErr w:type="spellEnd"/>
      <w:r>
        <w:rPr>
          <w:rFonts w:ascii="Arial" w:eastAsia="Arial" w:hAnsi="Arial" w:cs="Arial"/>
          <w:color w:val="000000"/>
          <w:sz w:val="20"/>
          <w:szCs w:val="20"/>
        </w:rPr>
        <w:t xml:space="preserve"> se Smluvní strany jinak.</w:t>
      </w:r>
    </w:p>
    <w:p w14:paraId="6B4AF896"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Splatnost faktur se sjednává na třicet (30) dnů od jejího doručení Objednateli. Za okamžik uhrazení faktury se považuje datum, kdy byla předmětná částka odepsána z účtu Objednatele. Při nedodržení této splatnosti je Objednatel povinen uhradit Dodavateli zákonný úrok z prodlení stanovený nařízením vlády č.351/2013 Sb.</w:t>
      </w:r>
    </w:p>
    <w:p w14:paraId="362F8DFA"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Faktury budou vystavené v souladu s platebními podmínkami a budou splňovat všechny náležitosti daňových dokladů. Pokud faktura nebude vystavena v souladu s platebními podmínkami nebo nebude splňovat požadované náležitostí, je Objednatel oprávněn fakturu Dodavateli Díla vrátit; vrácením pozbývá faktura splatnosti.</w:t>
      </w:r>
    </w:p>
    <w:p w14:paraId="5966707B"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Objednatel je oprávněn pozastavit úhradu kterékoliv platby ve prospěch Dodavatele, pokud je Dodavatel v prodlení s plněním jakéhokoliv dluhu (v dřívější terminologii závazku) vůči Objednateli podle této Smlouvy.</w:t>
      </w:r>
    </w:p>
    <w:p w14:paraId="49F61585"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Je-li úhrada faktury Objednatelem vázána na obdržení finančních prostředků z dotace udělené z rozpočtu Středočeského kraje, státního rozpočtu České republiky, není Objednatel povinen hradit úrok z prodlení za nejvýše třicet (30) dnů prodlení, pokud prokáže, že tyto finanční prostředky nemá </w:t>
      </w:r>
      <w:r>
        <w:rPr>
          <w:rFonts w:ascii="Arial" w:eastAsia="Arial" w:hAnsi="Arial" w:cs="Arial"/>
          <w:color w:val="000000"/>
          <w:sz w:val="20"/>
          <w:szCs w:val="20"/>
        </w:rPr>
        <w:lastRenderedPageBreak/>
        <w:t>k dispozici. Objednatel je však povinen nejpozději do deseti (10) pracovních dnů od obdržení těchto prostředků poukázat dlužnou částku na bankovní účet Dodavatele. Neučiní-li tak, podléhá povinnosti uhradit Dodavateli zákonný úrok z prodlení stanovený nařízením vlády č.351/2013 Sb. od uplynutí deseti (10) denní lhůty po obdržení finančních prostředků od poskytovatele dotace.</w:t>
      </w:r>
    </w:p>
    <w:p w14:paraId="00A46C4E" w14:textId="77777777" w:rsidR="0089562D" w:rsidRDefault="005A5880">
      <w:pPr>
        <w:numPr>
          <w:ilvl w:val="0"/>
          <w:numId w:val="7"/>
        </w:numPr>
        <w:pBdr>
          <w:top w:val="nil"/>
          <w:left w:val="nil"/>
          <w:bottom w:val="nil"/>
          <w:right w:val="nil"/>
          <w:between w:val="nil"/>
        </w:pBdr>
        <w:spacing w:before="240"/>
        <w:jc w:val="center"/>
        <w:rPr>
          <w:rFonts w:ascii="Arial" w:eastAsia="Arial" w:hAnsi="Arial" w:cs="Arial"/>
          <w:b/>
          <w:smallCaps/>
          <w:color w:val="000000"/>
          <w:sz w:val="20"/>
          <w:szCs w:val="20"/>
        </w:rPr>
      </w:pPr>
      <w:r>
        <w:rPr>
          <w:rFonts w:ascii="Arial" w:eastAsia="Arial" w:hAnsi="Arial" w:cs="Arial"/>
          <w:b/>
          <w:smallCaps/>
          <w:color w:val="000000"/>
          <w:sz w:val="20"/>
          <w:szCs w:val="20"/>
        </w:rPr>
        <w:t>VLASTNICKÉ PRÁVO, NEBEZPEČÍ ŠKODY NA DÍLE, AUTORSKÁ PRÁVA</w:t>
      </w:r>
    </w:p>
    <w:p w14:paraId="3EDBAFC6"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Vlastníkem Díla je po celou dobu zhotovování Dodavatel.</w:t>
      </w:r>
    </w:p>
    <w:p w14:paraId="0CF304B1"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Dodavatel nese nebezpečí škody nebo zničení Díla až do okamžiku, kdy Objednateli vznikne povinnost Dílo převzít (bez ohledu na skutečnost, zda Dílo převezme), ledaže by ke škodě došlo i jinak. </w:t>
      </w:r>
    </w:p>
    <w:p w14:paraId="6207BD5C"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Objednatel </w:t>
      </w:r>
      <w:proofErr w:type="gramStart"/>
      <w:r>
        <w:rPr>
          <w:rFonts w:ascii="Arial" w:eastAsia="Arial" w:hAnsi="Arial" w:cs="Arial"/>
          <w:color w:val="000000"/>
          <w:sz w:val="20"/>
          <w:szCs w:val="20"/>
        </w:rPr>
        <w:t>nabyde</w:t>
      </w:r>
      <w:proofErr w:type="gramEnd"/>
      <w:r>
        <w:rPr>
          <w:rFonts w:ascii="Arial" w:eastAsia="Arial" w:hAnsi="Arial" w:cs="Arial"/>
          <w:color w:val="000000"/>
          <w:sz w:val="20"/>
          <w:szCs w:val="20"/>
        </w:rPr>
        <w:t xml:space="preserve"> vlastnické právo k Dílu či jeho části okamžikem jeho převzetí.</w:t>
      </w:r>
    </w:p>
    <w:p w14:paraId="5DF86210"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Provedením Díla (respektive jednotlivých jeho částí) poskytuje Dodavatel Objednateli časově neomezenou výhradní licenci k užití Díla, resp. všech jeho částí dle odst. 2.2 Smlouvy všemi způsoby, které zákon stanoví a umožňuje, včetně možného přepracování Díla jinou osobou. Cena licence je zahrnuta v ceně Díla, respektive jeho jednotlivých částí, na které se poskytnutí licence v konkrétním případě vztahuje. Dojde-li k zániku závazku z této Smlouvy před provedením Díla či jeho části, poskytuje Dodavatel Objednateli licenci v rozsahu uvedeném v tomto odstavci tohoto článku okamžikem, kdy mu vznikne povinnost nedokončené Dílo či jeho nedokončenou část Objednateli předat.</w:t>
      </w:r>
    </w:p>
    <w:p w14:paraId="1CD6F261"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Dodavatel tímto poskytuje Objednateli svůj neodvolatelný a bezpodmínečný souhlas a výhradní licenci k užití projektové dokumentace pro provádění stavby a poskytuje Objednateli oprávnění k výkonu práva, jakkoliv v maximální míře dovolené právními předpisy, avšak s teritoriálním omezením na katastrálním území realizace Díla, užívat projektovou dokumentaci neomezeně, a k pořizování kopií a rozmnoženin projektové dokumentace, avšak až po vyrovnání všech závazků mezi oběma Smluvními stranami. </w:t>
      </w:r>
    </w:p>
    <w:p w14:paraId="7D1D42A9"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Objednatel je jakožto nabyvatel licence oprávněn poskytnout v rozsahu poskytnuté licence podlicenci třetí osobě či převést práva z poskytnuté licence na třetí osobu, s čímž Dodavatel jakožto poskytovatel licence tímto vyslovuje svůj souhlas. Licence bude poskytnuta na dobu trvání majetkových práv Dodavatele, resp. autora ve smyslu ustanovení § 27 odst. 1 zák. č. 121/2000 Sb., autorský zákon, ve znění pozdějších předpisů.</w:t>
      </w:r>
    </w:p>
    <w:p w14:paraId="66933BE9" w14:textId="77777777" w:rsidR="0089562D" w:rsidRDefault="005A5880">
      <w:pPr>
        <w:numPr>
          <w:ilvl w:val="0"/>
          <w:numId w:val="7"/>
        </w:numPr>
        <w:pBdr>
          <w:top w:val="nil"/>
          <w:left w:val="nil"/>
          <w:bottom w:val="nil"/>
          <w:right w:val="nil"/>
          <w:between w:val="nil"/>
        </w:pBdr>
        <w:spacing w:before="240"/>
        <w:jc w:val="center"/>
        <w:rPr>
          <w:rFonts w:ascii="Arial" w:eastAsia="Arial" w:hAnsi="Arial" w:cs="Arial"/>
          <w:smallCaps/>
          <w:color w:val="000000"/>
          <w:sz w:val="20"/>
          <w:szCs w:val="20"/>
        </w:rPr>
      </w:pPr>
      <w:r>
        <w:rPr>
          <w:rFonts w:ascii="Arial" w:eastAsia="Arial" w:hAnsi="Arial" w:cs="Arial"/>
          <w:b/>
          <w:smallCaps/>
          <w:color w:val="000000"/>
          <w:sz w:val="20"/>
          <w:szCs w:val="20"/>
        </w:rPr>
        <w:t>PODMÍNKY PROVÁDĚNÍ DÍLA</w:t>
      </w:r>
    </w:p>
    <w:p w14:paraId="396E56DA"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Práva a povinnosti Dodavatele:</w:t>
      </w:r>
    </w:p>
    <w:p w14:paraId="5906B0AD"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Dodavatel se zavazuje provést Dílo s odbornou péčí tak, aby odpovídalo této Smlouvě a účelu dle odst. 1.2 této Smlouvy. Dodavatel se též zavazuje k poskytnutí veškeré případné součinnosti při plnění povinností vyplývajících ze ZZVZ.</w:t>
      </w:r>
    </w:p>
    <w:p w14:paraId="70B4C1A0"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Dodavatel bere na vědomí, že realizace Díla může být financována ze strany objednatele prostřednictvím dotace z veřejných prostředků České republiky a Evropské unie. Obě smluvní strany se pro tento případ zavazují dodržet povinnosti, které jim vzhledem k této skutečnosti plynou z platných právních předpisů České republiky a Evropské unie, včetně podmínek upravujících poskytovaní dotace. </w:t>
      </w:r>
    </w:p>
    <w:p w14:paraId="6174FCBA"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Dodavatel zajišťuje provedení Díla svými zaměstnanci nebo prostřednictvím třetích osob, které uvedl ve své nabídce nebo s jejichž využitím mu Objednatel předem poskytnul písemný souhlas. </w:t>
      </w:r>
    </w:p>
    <w:p w14:paraId="60105119"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Změna třetích osob oproti obsahu nabídky podané Dodavatelem v zadávacím řízení na dodavatele tohoto Díla nebo jejichž využití mu Objednatel předem písemně odsouhlasil je možná pouze na základě písemného souhlasu Objednatele. Objednatel se zavazuje, že takový souhlas nebude odpírat v případě, že nový poddodavatel bude splňovat veškeré kvalifikační požadavky, </w:t>
      </w:r>
      <w:r>
        <w:rPr>
          <w:rFonts w:ascii="Arial" w:eastAsia="Arial" w:hAnsi="Arial" w:cs="Arial"/>
          <w:color w:val="000000"/>
          <w:sz w:val="20"/>
          <w:szCs w:val="20"/>
        </w:rPr>
        <w:lastRenderedPageBreak/>
        <w:t>které splňoval původní poddodavatel a z informací, kterými bude objednatel v dané situaci disponovat, nebude vyplývat obava, že nový poddodavatel by mohl provést jemu svěřenou část Díla vadně nebo jiným způsobem narušit realizaci Díla dle této Smlouvy.</w:t>
      </w:r>
    </w:p>
    <w:p w14:paraId="6D040AA4"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Dodavatel je povinen poskytnout Objednateli součinnost a zapracovat bez zbytečného odkladu jeho připomínky k prováděnému Dílu.</w:t>
      </w:r>
    </w:p>
    <w:p w14:paraId="4F191842"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Dodavateli je uložena povinnost podat Objednateli informaci o činnosti a postupu prováděných prací 1x měsíčně písemnou formou.</w:t>
      </w:r>
    </w:p>
    <w:p w14:paraId="10C47E5C"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Dodavatel je povinen Objednateli neprodleně oznámit jakoukoliv skutečnost, která by mohla mít, byť i částečně, vliv na schopnost Dodavatele plnit jeho povinnosti vyplývající z této Smlouvy. Takovým oznámením však Dodavatel není zbaven povinnosti nadále plnit povinnosti vyplývající mu z této Smlouvy.</w:t>
      </w:r>
    </w:p>
    <w:p w14:paraId="5D3055DA"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Dodavatel se zavazuje v průběhu plnění Smlouvy i po jejím ukončení zachovávat mlčenlivost o všech skutečnostech, o kterých se dozví od Objednatele v souvislosti s plněním Smlouvy. Tato povinnost mlčenlivosti se vztahuje na všechny zaměstnance a spolupracovníky Dodavatele i po skončení trvání této Smlouvy.</w:t>
      </w:r>
    </w:p>
    <w:p w14:paraId="225A8282"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Dodavatel není oprávněn bez předchozího písemného souhlasu Objednatele provádět jakékoliv zápočty svých pohledávek vůči Objednateli proti jakýmkoliv pohledávkám Objednatele vůči Dodavateli, ani postupovat či zastavovat jakákoliv svoje práva a pohledávky vůči Objednateli ve prospěch třetích osob.</w:t>
      </w:r>
    </w:p>
    <w:p w14:paraId="054D87CD"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Dodavatel souhlasí dle </w:t>
      </w:r>
      <w:proofErr w:type="spellStart"/>
      <w:r>
        <w:rPr>
          <w:rFonts w:ascii="Arial" w:eastAsia="Arial" w:hAnsi="Arial" w:cs="Arial"/>
          <w:color w:val="000000"/>
          <w:sz w:val="20"/>
          <w:szCs w:val="20"/>
        </w:rPr>
        <w:t>ust</w:t>
      </w:r>
      <w:proofErr w:type="spellEnd"/>
      <w:r>
        <w:rPr>
          <w:rFonts w:ascii="Arial" w:eastAsia="Arial" w:hAnsi="Arial" w:cs="Arial"/>
          <w:color w:val="000000"/>
          <w:sz w:val="20"/>
          <w:szCs w:val="20"/>
        </w:rPr>
        <w:t>. § 2 písm. e) zákona č. 320/2001 Sb., o finanční kontrole, s výkonem kontroly na předmět zakázky. Dodavatel souhlasí se vstupem kontrolních orgánů strukturálních fondů Evropské unie do svých objektů, ve kterých se předmět Smlouvy realizuje. Dále se zavazuje předložit ke kontrole kontrolním orgánům veškerou provozní a účetní evidenci, která se týká předmětu smlouvy. Tato evidence musí být archivována v souladu s požadavky zákona o účetnictví a zákona o daních z příjmů. Dodavatel se zavazuje poskytovat příslušným orgánům ve stanovených termínech úplné, pravdivé informace a dokumentaci související se smlouvou a projektem (zakázkou, předmětem smlouvy), dokladovat svoji činnost a umožnit vstup kontrolou pověřeným osobám – zaměstnancům Objednavatele, Ministerstva pro místní rozvoj, Ministerstva financí ČR, Evropské komise, Evropského účetního dvora, Nejvyššího kontrolního úřadu, finančního úřadu, a dalších oprávněných orgánů statní správy do svých objektů a na pozemky k ověřování plnění podmínek Smlouvy, a to po celou dobu realizace projektu (zakázky, předmětu Smlouvy) za účelem kontroly plnění Smlouvy a tuto kontrolu, dle požadavků pověřených osob v jimi požadovaném rozsahu, neprodleně umožnit. V případě, že část Díla bude dodavatel plnit prostřednictvím jiných subjektů je povinen zajistit, aby tyto subjekty podléhali povinnostem uvedeným v tomto bodě Smlouvy. Tuto povinnost má Dodavatel i v případě dodavatelských subjektů. Dodavatel se dále zavazuje uchovávat veškerou dokumentaci související se Smlouvou a realizací projektu po dobu deseti (10) let ode dne předání a převzetí Díla. Dodavatel je povinen smluvně zajistit, aby součinnost při plnění jeho závazků dle tohoto bodu Smlouvy v plném rozsahu poskytli i jeho poddodavatelé. Pokud tak neučiní, bude odpovídat objednateli za jejich nesoučinnost sám.</w:t>
      </w:r>
    </w:p>
    <w:p w14:paraId="0A5F7D65"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Dodavatel si je vědom skutečnosti, že Objednatel má zájem o realizaci předmětu této Smlouvy v souladu se zásadami sociálně odpovědného zadávání veřejných zakázek. Dodavatel se proto výslovně zavazuje při realizaci Smlouvy dodržovat veškeré pracovněprávní předpisy (a to zejména, nikoliv však výlučně, předpisy upravující mzdové podmínky, pracovní dobu, dobu odpočinku mezi směnami, placené přesčasy), dále předpisy týkající se oblasti zaměstnanosti a bezpečnosti a ochrany zdraví při práci, a to vůči všem osobám, které se na realizaci této Smlouvy podílejí, tedy bez ohledu na to, zda se jedná o zaměstnance Dodavatele či jeho poddodavatele. Dodavatel je povinen zajistit plnění těchto podmínek i u svých poddodavatelů.</w:t>
      </w:r>
    </w:p>
    <w:p w14:paraId="0C5A4ED5"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lastRenderedPageBreak/>
        <w:t>Dodavatel se zavazuje, že u veškerých výstupů bude dbát na to, aby</w:t>
      </w:r>
    </w:p>
    <w:p w14:paraId="7F8EEB43" w14:textId="77777777" w:rsidR="0089562D" w:rsidRDefault="005A5880">
      <w:pPr>
        <w:numPr>
          <w:ilvl w:val="0"/>
          <w:numId w:val="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Navrhl vždy ekonomicky přijatelné řešení, které umožní získat plnění šetrnější k životnímu prostředí, zejména které povede k omezení spotřeby energií, vody, surovin, produkce znečišťujících látek uvolňovaných do ovzduší, vody, půdy, omezení uhlíkové stopy apod.</w:t>
      </w:r>
    </w:p>
    <w:p w14:paraId="28E457C9" w14:textId="77777777" w:rsidR="0089562D" w:rsidRDefault="005A5880">
      <w:pPr>
        <w:numPr>
          <w:ilvl w:val="0"/>
          <w:numId w:val="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Navrhl vždy ekonomicky přijatelné řešení, které umožní využití obnovitelných zdrojů, recyklovaných surovin, snížení množství odpadu, zohlednění nákladů životního cyklu či zapojení jiných aspektů cirkulární ekonomiky.</w:t>
      </w:r>
    </w:p>
    <w:p w14:paraId="5B0889F7" w14:textId="77777777" w:rsidR="0089562D" w:rsidRDefault="005A5880">
      <w:pPr>
        <w:numPr>
          <w:ilvl w:val="0"/>
          <w:numId w:val="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Vyhledával slibná inovativní řešení, která jsou vhodná pro uspokojení potřeb zadavatele.</w:t>
      </w:r>
    </w:p>
    <w:p w14:paraId="71A1C1A9" w14:textId="77777777" w:rsidR="0089562D" w:rsidRDefault="005A5880">
      <w:pPr>
        <w:numPr>
          <w:ilvl w:val="0"/>
          <w:numId w:val="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Pokud je to ekonomicky a technicky možné, aby nabízel řešení pro inovaci, tedy pro implementaci nového nebo značně zlepšeného produktu, služby nebo postupu souvisejícího s předmětem Veřejné zakázky.</w:t>
      </w:r>
    </w:p>
    <w:p w14:paraId="658F770A" w14:textId="77777777" w:rsidR="0089562D" w:rsidRDefault="0089562D">
      <w:pPr>
        <w:pBdr>
          <w:top w:val="nil"/>
          <w:left w:val="nil"/>
          <w:bottom w:val="nil"/>
          <w:right w:val="nil"/>
          <w:between w:val="nil"/>
        </w:pBdr>
        <w:spacing w:before="240"/>
        <w:ind w:left="680" w:hanging="680"/>
        <w:jc w:val="center"/>
        <w:rPr>
          <w:rFonts w:ascii="Arial" w:eastAsia="Arial" w:hAnsi="Arial" w:cs="Arial"/>
          <w:b/>
          <w:smallCaps/>
          <w:color w:val="000000"/>
          <w:sz w:val="20"/>
          <w:szCs w:val="20"/>
        </w:rPr>
      </w:pPr>
    </w:p>
    <w:p w14:paraId="4BD6A435" w14:textId="77777777" w:rsidR="0089562D" w:rsidRDefault="005A5880">
      <w:pPr>
        <w:numPr>
          <w:ilvl w:val="0"/>
          <w:numId w:val="7"/>
        </w:numPr>
        <w:pBdr>
          <w:top w:val="nil"/>
          <w:left w:val="nil"/>
          <w:bottom w:val="nil"/>
          <w:right w:val="nil"/>
          <w:between w:val="nil"/>
        </w:pBdr>
        <w:spacing w:before="240"/>
        <w:jc w:val="center"/>
      </w:pPr>
      <w:r>
        <w:rPr>
          <w:rFonts w:ascii="Arial" w:eastAsia="Arial" w:hAnsi="Arial" w:cs="Arial"/>
          <w:b/>
          <w:smallCaps/>
          <w:color w:val="000000"/>
          <w:sz w:val="22"/>
          <w:szCs w:val="22"/>
        </w:rPr>
        <w:t>POJIŠTĚNÍ DODAVATELE</w:t>
      </w:r>
    </w:p>
    <w:p w14:paraId="04665C79"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Dodavatel prohlašuje, že ke dni uzavření této Smlouvy má uzavřenou pojistnou smlouvu, jejímž předmětem je pojištění odpovědnosti za škody způsobené Dodavatelem třetím osobám v souvislosti s výkonem jeho činnosti, včetně možných škod způsobených pracovníky Dodavatele, minimálně ve výši 1.000.000,00 Kč, a jejíž prostá kopie nebo prostá kopie pojistného certifikátu je přílohou č. 1 této Smlouvy. Dodavatel se zavazuje, že po celou dobu trvání této Smlouvy a v přiměřeném rozsahu i po dobu záruční doby bude pojištěn ve smyslu tohoto ustanovení a že nedojde ke snížení pojistného plnění pod částku uvedenou v předchozí větě.</w:t>
      </w:r>
    </w:p>
    <w:p w14:paraId="65F651EA"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Prostá kopie pojistné smlouvy Dodavatele nebo prostá kopie pojistného certifikátu, resp. akceptovaný návrh na uzavření pojistné smlouvy ze strany pojišťovny dle tohoto článku byl předán Objednateli před podpisem této Smlouvy, jako jedna z podmínek pro uzavření Smlouvy dle </w:t>
      </w:r>
      <w:proofErr w:type="spellStart"/>
      <w:r>
        <w:rPr>
          <w:rFonts w:ascii="Arial" w:eastAsia="Arial" w:hAnsi="Arial" w:cs="Arial"/>
          <w:color w:val="000000"/>
          <w:sz w:val="20"/>
          <w:szCs w:val="20"/>
        </w:rPr>
        <w:t>ust</w:t>
      </w:r>
      <w:proofErr w:type="spellEnd"/>
      <w:r>
        <w:rPr>
          <w:rFonts w:ascii="Arial" w:eastAsia="Arial" w:hAnsi="Arial" w:cs="Arial"/>
          <w:color w:val="000000"/>
          <w:sz w:val="20"/>
          <w:szCs w:val="20"/>
        </w:rPr>
        <w:t>. § 104 písm. a) ZZVZ. Na žádost Objednatele je Dodavatel povinen kdykoliv později v průběhu trvání Smlouvy předložit uspokojivé doklady o tom, že pojistná smlouva uzavřená Dodavatelem je a zůstává v platnosti.</w:t>
      </w:r>
    </w:p>
    <w:p w14:paraId="35B1748C"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Dodavatel je povinen řádně platit pojistné tak, aby pojistná smlouva či smlouvy sjednané dle této Smlouvy či v souvislosti s ní byly platné po celou dobu provádění Díla a v přiměřeném rozsahu i po dobu záruky. V případě, že dojde k zániku pojištění, je Dodavatel povinen o této skutečnosti neprodleně informovat Objednatele a ve lhůtě 3 pracovních dnů uzavřít pojistnou smlouvu ve výše uvedeném rozsahu. Porušení této povinnosti ze strany Dodavatele považují strany této Smlouvy za podstatné porušení Smlouvy zakládající právo Objednatele od Smlouvy odstoupit.</w:t>
      </w:r>
    </w:p>
    <w:p w14:paraId="73D0DFF8"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Jestliže Dodavatel poruší svou povinnost udržovat po celou dobu trvání závazku z této Smlouvy pojištění v rozsahu stanoveném touto Smlouvou a nezřídí je ani neprodleně poté, co k tomu bude vyzván Objednatelem, je Objednatel oprávněn sjednat pojištění v rozsahu dle tohoto článku této Smlouvy sám. Dodavatel se zavazuje Objednateli uhradit veškeré náklady vzniklé se sjednáním takového pojištění (zejména pojistné, poplatky atd.), a to neprodleně poté, co k tomu bude vyzván Objednatelem. Objednatel je oprávněn započítat splatné i nesplatné pojistné a veškeré související platby proti jakýmkoliv splatným i nesplatným pohledávkám Dodavatele vůči Objednateli.</w:t>
      </w:r>
    </w:p>
    <w:p w14:paraId="2F2D2761" w14:textId="77777777" w:rsidR="0089562D" w:rsidRDefault="005A5880">
      <w:pPr>
        <w:numPr>
          <w:ilvl w:val="1"/>
          <w:numId w:val="7"/>
        </w:num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Porušení povinností udržovat pojištění v rozsahu dle tohoto článku považují Smluvní strany za podstatné porušení Smlouvy zakládající právo Objednatele od Smlouvy odstoupit.</w:t>
      </w:r>
    </w:p>
    <w:p w14:paraId="724C787F" w14:textId="77777777" w:rsidR="0089562D" w:rsidRDefault="0089562D">
      <w:pPr>
        <w:spacing w:after="0" w:line="240" w:lineRule="auto"/>
        <w:jc w:val="left"/>
        <w:rPr>
          <w:rFonts w:ascii="Arial" w:eastAsia="Arial" w:hAnsi="Arial" w:cs="Arial"/>
          <w:b/>
          <w:smallCaps/>
          <w:sz w:val="20"/>
          <w:szCs w:val="20"/>
        </w:rPr>
      </w:pPr>
    </w:p>
    <w:p w14:paraId="7AB78C2E" w14:textId="77777777" w:rsidR="0089562D" w:rsidRDefault="005A5880">
      <w:pPr>
        <w:numPr>
          <w:ilvl w:val="0"/>
          <w:numId w:val="7"/>
        </w:numPr>
        <w:pBdr>
          <w:top w:val="nil"/>
          <w:left w:val="nil"/>
          <w:bottom w:val="nil"/>
          <w:right w:val="nil"/>
          <w:between w:val="nil"/>
        </w:pBdr>
        <w:spacing w:before="240"/>
        <w:jc w:val="center"/>
        <w:rPr>
          <w:rFonts w:ascii="Arial" w:eastAsia="Arial" w:hAnsi="Arial" w:cs="Arial"/>
          <w:smallCaps/>
          <w:color w:val="000000"/>
          <w:sz w:val="20"/>
          <w:szCs w:val="20"/>
        </w:rPr>
      </w:pPr>
      <w:r>
        <w:rPr>
          <w:rFonts w:ascii="Arial" w:eastAsia="Arial" w:hAnsi="Arial" w:cs="Arial"/>
          <w:b/>
          <w:smallCaps/>
          <w:color w:val="000000"/>
          <w:sz w:val="20"/>
          <w:szCs w:val="20"/>
        </w:rPr>
        <w:t>ODPOVĚDNOST ZA VADY A ODPOVĚDNOST ZE ZÁRUKY</w:t>
      </w:r>
    </w:p>
    <w:p w14:paraId="6E89BE37"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Záruční doba je sjednána na třicet šest (36) měsíců od provedení konkrétní části Díla. Záruka se vztahuje na vady a nedodělky Díla, resp. jeho části, které se projeví u Díla během záruční doby </w:t>
      </w:r>
      <w:r>
        <w:rPr>
          <w:rFonts w:ascii="Arial" w:eastAsia="Arial" w:hAnsi="Arial" w:cs="Arial"/>
          <w:color w:val="000000"/>
          <w:sz w:val="20"/>
          <w:szCs w:val="20"/>
        </w:rPr>
        <w:lastRenderedPageBreak/>
        <w:t>s výjimkou vad, u nichž Dodavatel prokáže, že jejich vznik zavinil Objednatel. Toto ustanovení však neomezuje obecnou odpovědnost Dodavatele za Dílo stanovenou zákonnými předpisy, zejména zákonem č. 360/1992 Sb., o výkonu povolání autorizovaných architektů a o výkonu povolání autorizovaných inženýrů a techniků činných ve výstavbě, ve znění pozdějších předpisů.</w:t>
      </w:r>
    </w:p>
    <w:p w14:paraId="35532769"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bookmarkStart w:id="15" w:name="_heading=h.9iqd3mx36sw5" w:colFirst="0" w:colLast="0"/>
      <w:bookmarkEnd w:id="15"/>
      <w:r>
        <w:rPr>
          <w:rFonts w:ascii="Arial" w:eastAsia="Arial" w:hAnsi="Arial" w:cs="Arial"/>
          <w:color w:val="000000"/>
          <w:sz w:val="20"/>
          <w:szCs w:val="20"/>
        </w:rPr>
        <w:t xml:space="preserve">Objednatel je povinen vytknout vadu Dodavateli v přiměřené době poté, co ji zjistil, nejpozději však v záruční době. Tím není dotčeno ustanovení odst. 4.8 této Smlouvy. </w:t>
      </w:r>
    </w:p>
    <w:p w14:paraId="521BC27B"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bookmarkStart w:id="16" w:name="_heading=h.wm4lls1h20lr" w:colFirst="0" w:colLast="0"/>
      <w:bookmarkEnd w:id="16"/>
      <w:r>
        <w:rPr>
          <w:rFonts w:ascii="Arial" w:eastAsia="Arial" w:hAnsi="Arial" w:cs="Arial"/>
          <w:color w:val="000000"/>
          <w:sz w:val="20"/>
          <w:szCs w:val="20"/>
        </w:rPr>
        <w:t>V průběhu záruční doby Dodavatel odstraní prokázané vady, resp. nedodělky, ve lhůtě přiměřené jejich povaze, obvykle do pěti (5) kalendářních dnů od doručení písemné reklamace Dodavateli, pokud si Smluvní strany nedohodnou lhůtu delší z důvodů faktické nemožnosti odstranění vady ve výše uvedené lhůtě, nejdéle však do dvaceti (20) dnů.</w:t>
      </w:r>
    </w:p>
    <w:p w14:paraId="0E00D2A3"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Neodstraní-li Dodavatel reklamované vady či nedodělky ve lhůtě stanovené v odst. 10.2 Smlouvy, anebo oznámí před jejím uplynutím, že vady či nedodělky neodstraní, uplatní Objednatel přiměřenou slevu ze sjednané ceny Díla, zajistí provedení oprav prostřednictvím jiné osoby na náklady Dodavatele nebo je oprávněn od této Smlouvy odstoupit.</w:t>
      </w:r>
    </w:p>
    <w:p w14:paraId="509D648C"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Nároky z odpovědnosti za vady se nedotýkají nároků na náhradu škody nebo na smluvní pokutu.</w:t>
      </w:r>
    </w:p>
    <w:p w14:paraId="41272494"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Za vadu nebo nedodělek Díla se pro potřeby této Smlouvy považuje zejména nesoulad Díla s technickými normami, právními předpisy, jakož i s obecně uznávanými postupy a pokyny výrobců materiálů či Dodavatelů zařízení, jejichž užití nebo instalace budou v rámci předmětu Díla Dodavatelem v projektové dokumentaci předpokládány. Za vadu bude rovněž považován jakýkoliv nesoulad mezi textovou a grafickou částí projektové dokumentace, případně nesoulad mezi projektovou dokumentací nebo její částí a výkazem výměr či položkovým rozpočtem.</w:t>
      </w:r>
    </w:p>
    <w:p w14:paraId="15B313D1"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Dodavatel prohlašuje a poskytuje Objednateli záruku, že cena, za kterou bude vysoutěženo zhotovení Stavby na základě projektové dokumentace dle odst. 2.2.6 této Smlouvy nebude v průběhu zhotovování Stavby zvýšena v důsledku vad Díla. Poruší-li Dodavatel tuto záruku, nahradí Objednateli škodu způsobenou porušením této záruky. Výše této škody se určí jako částka navýšení ceny Stavby v důsledku vad Díla Dodavatele. Tato záruka trvá do doby provedení Stavby.</w:t>
      </w:r>
    </w:p>
    <w:p w14:paraId="120BE86F" w14:textId="77777777" w:rsidR="0089562D" w:rsidRDefault="005A5880">
      <w:pPr>
        <w:keepNext/>
        <w:numPr>
          <w:ilvl w:val="0"/>
          <w:numId w:val="7"/>
        </w:numPr>
        <w:pBdr>
          <w:top w:val="nil"/>
          <w:left w:val="nil"/>
          <w:bottom w:val="nil"/>
          <w:right w:val="nil"/>
          <w:between w:val="nil"/>
        </w:pBdr>
        <w:spacing w:before="240"/>
        <w:jc w:val="center"/>
        <w:rPr>
          <w:rFonts w:ascii="Arial" w:eastAsia="Arial" w:hAnsi="Arial" w:cs="Arial"/>
          <w:b/>
          <w:smallCaps/>
          <w:color w:val="000000"/>
          <w:sz w:val="20"/>
          <w:szCs w:val="20"/>
        </w:rPr>
      </w:pPr>
      <w:r>
        <w:rPr>
          <w:rFonts w:ascii="Arial" w:eastAsia="Arial" w:hAnsi="Arial" w:cs="Arial"/>
          <w:b/>
          <w:smallCaps/>
          <w:color w:val="000000"/>
          <w:sz w:val="20"/>
          <w:szCs w:val="20"/>
        </w:rPr>
        <w:t>ODPOVĚDNOST ZA ŠKODU</w:t>
      </w:r>
    </w:p>
    <w:p w14:paraId="6DE0A3F1"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Dodavatel odpovídá za škodu způsobenou porušením této Smlouvy. Škoda se nahrazuje v penězích, ledaže Objednatel či poškozený požaduje náhradu škody uvedením v předešlý stav za předpokladu, je-li to objektivně možné. Dodavatel zejména odpovídá za:</w:t>
      </w:r>
    </w:p>
    <w:p w14:paraId="5DFE488A"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zničení, ztrátu, poškození či snížení hodnoty majetku Objednatele, veřejného majetku či majetku třetích osob;</w:t>
      </w:r>
    </w:p>
    <w:p w14:paraId="7F31B6DD"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škodu vzniklou Objednateli či třetím osobám v důsledku vad Díla včetně škody vzniklé třetím osobám a Objednateli v důsledku vad Stavby realizované na základě Díla; </w:t>
      </w:r>
    </w:p>
    <w:p w14:paraId="3141293B"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případné sankce či korekce, které budou Objednateli jako zadavateli Veřejné zakázky a příjemci dotace (či jiné veřejné podpory) uloženy ze strany orgánů státní správy nebo poskytovatele dotace, a to jak formou povinnosti odvodu do státního rozpočtu, snížení přislíbené dotace, uložení pokuty nebo finanční sankce či jiného způsobu finanční újmy, bude-li sankce uložena z důvodu vad Díla;</w:t>
      </w:r>
    </w:p>
    <w:p w14:paraId="2BD79A78"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udělení shora popsaných sankcí či korekcí v důsledku nesplnění termínů stanovených poskytovatelem dotace či zákonem, ke kterým dojde v příčinné souvislosti s vadami předmětu plnění (kupř. v důsledku nutnosti zrušení zadávacího řízení na výběr dodavatele stavebních prací, které jsou předmětem projektové dokumentace, pro vady takové dokumentace a podobně). </w:t>
      </w:r>
    </w:p>
    <w:p w14:paraId="094DC5DD"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náklady, které při zhotovení uvedené Stavby nebudou poskytovatelem případné dotace považovány jako uznatelné náklady z důvodu, že jejich potřeba nevyplývala z projektové dokumentace, která je předmětem této Smlouvy, ač bylo takové náklady potřeba vynaložit za </w:t>
      </w:r>
      <w:r>
        <w:rPr>
          <w:rFonts w:ascii="Arial" w:eastAsia="Arial" w:hAnsi="Arial" w:cs="Arial"/>
          <w:color w:val="000000"/>
          <w:sz w:val="20"/>
          <w:szCs w:val="20"/>
        </w:rPr>
        <w:lastRenderedPageBreak/>
        <w:t>účelem dokončení Díla tak, aby bylo plně funkční a způsobilé k užívání za účelem, k němuž je dle projektové dokumentace dle této Smlouvy určeno.</w:t>
      </w:r>
    </w:p>
    <w:p w14:paraId="07AC61B7" w14:textId="77777777" w:rsidR="0089562D" w:rsidRDefault="005A5880">
      <w:pPr>
        <w:numPr>
          <w:ilvl w:val="0"/>
          <w:numId w:val="7"/>
        </w:numPr>
        <w:pBdr>
          <w:top w:val="nil"/>
          <w:left w:val="nil"/>
          <w:bottom w:val="nil"/>
          <w:right w:val="nil"/>
          <w:between w:val="nil"/>
        </w:pBdr>
        <w:spacing w:before="240"/>
        <w:jc w:val="center"/>
        <w:rPr>
          <w:rFonts w:ascii="Arial" w:eastAsia="Arial" w:hAnsi="Arial" w:cs="Arial"/>
          <w:b/>
          <w:smallCaps/>
          <w:color w:val="000000"/>
          <w:sz w:val="20"/>
          <w:szCs w:val="20"/>
        </w:rPr>
      </w:pPr>
      <w:r>
        <w:rPr>
          <w:rFonts w:ascii="Arial" w:eastAsia="Arial" w:hAnsi="Arial" w:cs="Arial"/>
          <w:b/>
          <w:smallCaps/>
          <w:color w:val="000000"/>
          <w:sz w:val="20"/>
          <w:szCs w:val="20"/>
        </w:rPr>
        <w:t>ODSTOUPENÍ OD SMLOUVY</w:t>
      </w:r>
    </w:p>
    <w:p w14:paraId="7B2D6652"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bookmarkStart w:id="17" w:name="_heading=h.rmsycr6h6yfu" w:colFirst="0" w:colLast="0"/>
      <w:bookmarkEnd w:id="17"/>
      <w:r>
        <w:rPr>
          <w:rFonts w:ascii="Arial" w:eastAsia="Arial" w:hAnsi="Arial" w:cs="Arial"/>
          <w:color w:val="000000"/>
          <w:sz w:val="20"/>
          <w:szCs w:val="20"/>
        </w:rPr>
        <w:t xml:space="preserve">  Objednatel může odstoupit od Smlouvy nebo od jejích částí týkajících se dílčích plnění: </w:t>
      </w:r>
    </w:p>
    <w:p w14:paraId="17BB4483"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poruší-li Dodavatel podstatným způsobem své povinnosti dle této Smlouvy; </w:t>
      </w:r>
    </w:p>
    <w:p w14:paraId="06401EA6"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pokud zjistí, že Dodavatel nabízel, dával, přijímal nebo zprostředkovával nějaké hodnoty s cílem ovlivnit chování nebo jednání kohokoliv, ať již úředníka nebo někoho jiného, přímo nebo nepřímo, v zadávacím řízení nebo při provádění Smlouvy; nebo</w:t>
      </w:r>
    </w:p>
    <w:p w14:paraId="64E47D9A"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pokud zjistí, že Dodavatel zkresloval skutečnosti za účelem ovlivnění zadávacího řízení nebo provádění Smlouvy ke škodě Objednatele, včetně užití podvodných praktik k potlačení a snížení výhod volné a otevřené soutěže; nebo</w:t>
      </w:r>
    </w:p>
    <w:p w14:paraId="2CB358BC"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zjistí-li Objednatel, že Dodavatel je Sankcionovanou osobou, porušil či porušuje Sankce, je ve Střetu zájmů či jakýmkoliv jiným způsobem Dodavatel porušil či porušuje prohlášení uvedená v Preambuli v článku 1 až 3 této Smlouvy; Pokud takové Sankce dopadají na jakoukoli osobu, kterou Dodavatel používá k plnění smlouvy, včetně poddodavatelů, je Dodavatel povinen o takové skutečnosti nejpozději následující pracovní den poté, co ji zjistí, informovat Objednatele a do čtrnácti (14) dní od výzvy Objednatele je povinen zjednat nápravu a takovou osobu nahradit. Pokud tak neučiní, je Objednatel oprávněn od této Smlouvy odstoupit.</w:t>
      </w:r>
    </w:p>
    <w:p w14:paraId="775FEB53"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v dalších případech stanovených touto Smlouvou.</w:t>
      </w:r>
    </w:p>
    <w:p w14:paraId="35D3D6D9"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bookmarkStart w:id="18" w:name="_heading=h.6fr1hqgr3z80" w:colFirst="0" w:colLast="0"/>
      <w:bookmarkEnd w:id="18"/>
      <w:r>
        <w:rPr>
          <w:rFonts w:ascii="Arial" w:eastAsia="Arial" w:hAnsi="Arial" w:cs="Arial"/>
          <w:color w:val="000000"/>
          <w:sz w:val="20"/>
          <w:szCs w:val="20"/>
        </w:rPr>
        <w:t>Podstatným porušením Smlouvy ze strany Dodavatele se rozumí zejména nesplnění smluvních termínů podle této Smlouvy a neoprávněné použití poddodavatele (třetí osoby).</w:t>
      </w:r>
    </w:p>
    <w:p w14:paraId="1AE61AE0"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Dodavatel je oprávněn od této Smlouvy odstoupit v případě, že své závazky dle této Smlouvy nebude moci plnit pro nesoučinnost Objednatele přesto, že Objednatele k poskytnutí součinnosti písemně vyzve a stanoví mu pro její poskytnutí přiměřenou, alespoň patnácti (15) denní lhůtu. </w:t>
      </w:r>
    </w:p>
    <w:p w14:paraId="08A1C744"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Dále jsou Smluvní strany oprávněné odstoupit od Smlouvy v případě úpadku či hrozícího úpadku druhé Smluvní strany.</w:t>
      </w:r>
    </w:p>
    <w:p w14:paraId="41661E8C"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Stanoví-li oprávněná strana pro dodatečné plnění lhůtu, vzniká jí právo odstoupit od Smlouvy po marném uplynutí této lhůty. Jestliže však strana, která je v prodlení, písemně prohlásí, že svůj závazek nesplní, může oprávněná strana odstoupit od Smlouvy před uplynutím lhůty dodatečného plnění, kterou stanovila, tzn. ihned poté, co prohlášení povinné strany obdrží.</w:t>
      </w:r>
    </w:p>
    <w:p w14:paraId="05AEA619"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Odstoupení od Smlouvy musí oprávněná Smluvní strana spolu s důvodem odstoupení písemně oznámit povinné Smluvní straně bez zbytečného odkladu poté, co se o porušení dozvěděla. </w:t>
      </w:r>
    </w:p>
    <w:p w14:paraId="1826BA44"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Smlouva se ruší doručením písemného oznámení o odstoupení druhé Smluvní straně.</w:t>
      </w:r>
    </w:p>
    <w:p w14:paraId="20C48A7D"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Odstoupením od Smlouvy zanikají všechna práva a povinnosti stran ze Smlouvy. Odstoupení od Smlouvy se však nedotýká nároku na náhradu škody vzniklé porušením Smlouvy, řešení sporů mezi Smluvními stranami, nároků na smluvní pokuty a jiných nároků, které podle této Smlouvy nebo vzhledem ke své povaze mají trvat i po ukončení Smlouvy. </w:t>
      </w:r>
    </w:p>
    <w:p w14:paraId="2F019156"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Smluvní strany vylučují aplikaci ustanovení §1978 odst. 2 občanského zákoníku a stanoví, že poskytnou-li si navzájem dodatečnou lhůtu k plnění v souladu s tímto článkem, ve které prohlásí, že ji již neprodlouží, tak její marné uplynutí nemá za následek odstoupení od Smlouvy, ledaže by při poskytnutí dodatečné lhůty výslovně stanovily, že marné uplynutí lhůty takový následek mít má.</w:t>
      </w:r>
    </w:p>
    <w:p w14:paraId="6A31655C"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bookmarkStart w:id="19" w:name="_heading=h.vli3bf1s4oog" w:colFirst="0" w:colLast="0"/>
      <w:bookmarkEnd w:id="19"/>
      <w:r>
        <w:rPr>
          <w:rFonts w:ascii="Arial" w:eastAsia="Arial" w:hAnsi="Arial" w:cs="Arial"/>
          <w:color w:val="000000"/>
          <w:sz w:val="20"/>
          <w:szCs w:val="20"/>
        </w:rPr>
        <w:t>Odstoupí-li některá ze Smluvních stran oprávněně od této Smlouvy, Smluvní strany se vypořádají následujícím způsobem (nestanoví-li tato Smlouva jinak):</w:t>
      </w:r>
    </w:p>
    <w:p w14:paraId="040A6174" w14:textId="77777777" w:rsidR="0089562D" w:rsidRDefault="005A5880">
      <w:pPr>
        <w:widowControl w:val="0"/>
        <w:numPr>
          <w:ilvl w:val="2"/>
          <w:numId w:val="7"/>
        </w:numPr>
        <w:pBdr>
          <w:top w:val="nil"/>
          <w:left w:val="nil"/>
          <w:bottom w:val="nil"/>
          <w:right w:val="nil"/>
          <w:between w:val="nil"/>
        </w:pBdr>
      </w:pPr>
      <w:r>
        <w:rPr>
          <w:rFonts w:ascii="Arial" w:eastAsia="Arial" w:hAnsi="Arial" w:cs="Arial"/>
          <w:color w:val="000000"/>
          <w:sz w:val="20"/>
          <w:szCs w:val="20"/>
        </w:rPr>
        <w:t xml:space="preserve">odstoupí-li některá ze Smluvních stran od Smlouvy z důvodů nikoliv na straně Objednatele (tj. </w:t>
      </w:r>
      <w:r>
        <w:rPr>
          <w:rFonts w:ascii="Arial" w:eastAsia="Arial" w:hAnsi="Arial" w:cs="Arial"/>
          <w:color w:val="000000"/>
          <w:sz w:val="20"/>
          <w:szCs w:val="20"/>
        </w:rPr>
        <w:lastRenderedPageBreak/>
        <w:t xml:space="preserve">nikoliv pro porušení povinností Objednatele), má Dodavatel nárok na zaplacení částky, o kterou se Objednatel dodáním Díla obohatil, maximálně však částky odpovídající ceně dané části Díla snížené o částku připadající na záruky, které v důsledku odstoupení Objednatel </w:t>
      </w:r>
      <w:proofErr w:type="gramStart"/>
      <w:r>
        <w:rPr>
          <w:rFonts w:ascii="Arial" w:eastAsia="Arial" w:hAnsi="Arial" w:cs="Arial"/>
          <w:color w:val="000000"/>
          <w:sz w:val="20"/>
          <w:szCs w:val="20"/>
        </w:rPr>
        <w:t>pozbyde</w:t>
      </w:r>
      <w:proofErr w:type="gramEnd"/>
      <w:r>
        <w:rPr>
          <w:rFonts w:ascii="Arial" w:eastAsia="Arial" w:hAnsi="Arial" w:cs="Arial"/>
          <w:color w:val="000000"/>
          <w:sz w:val="20"/>
          <w:szCs w:val="20"/>
        </w:rPr>
        <w:t>;</w:t>
      </w:r>
    </w:p>
    <w:p w14:paraId="1D494941" w14:textId="77777777" w:rsidR="0089562D" w:rsidRDefault="005A5880">
      <w:pPr>
        <w:widowControl w:val="0"/>
        <w:numPr>
          <w:ilvl w:val="2"/>
          <w:numId w:val="7"/>
        </w:numPr>
        <w:pBdr>
          <w:top w:val="nil"/>
          <w:left w:val="nil"/>
          <w:bottom w:val="nil"/>
          <w:right w:val="nil"/>
          <w:between w:val="nil"/>
        </w:pBdr>
      </w:pPr>
      <w:r>
        <w:rPr>
          <w:rFonts w:ascii="Arial" w:eastAsia="Arial" w:hAnsi="Arial" w:cs="Arial"/>
          <w:color w:val="000000"/>
          <w:sz w:val="20"/>
          <w:szCs w:val="20"/>
        </w:rPr>
        <w:t>odstoupí-li Dodavatel od Smlouvy z důvodů porušení Smlouvy Objednatelem, má Dodavatel nárok na zaplacení plné ceny těch částí Díla, které dokončil, případně započal s jejich plněním, sníženou o částku, kterou neprovedením Díla ušetřil.</w:t>
      </w:r>
    </w:p>
    <w:p w14:paraId="1F8BF93D"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Částky dle odst. 12.10 jsou splatné do třiceti (30) dnů ode dne doručení jejich vyčíslení Objednateli v řádné faktuře s doložením jejich výše. </w:t>
      </w:r>
    </w:p>
    <w:p w14:paraId="57E55C98"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V případě odstoupení od této Smlouvy některou ze Smluvních stran předá Dodavatel nedokončené i dokončené (nepředané) části Díla neprodleně Objednateli. Převzetím nabude Objednatel vlastnictví k Dílu či jeho části. Objednatel Dílo či jeho části nepřevezme, je-li pro něj nevyužitelné a odstoupil-li od Smlouvy z důvodů na straně Dodavatele. V takovém případě není povinen platit cenu Díla. Na převzetí se aplikuje čl. 4 této Smlouvy přiměřeně.</w:t>
      </w:r>
    </w:p>
    <w:p w14:paraId="151E1F58"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Tato Smlouva zaniká písemnou dohodou Smluvních stran, nebo písemnou výpovědí Smlouvy Objednatelem. Písemnou výpověď Smlouvy může podat Objednatel bez udání důvodu.</w:t>
      </w:r>
    </w:p>
    <w:p w14:paraId="3FA52A91"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Výpovědní lhůta činí 14 kalendářních dní a počíná běžet prvním dnem po doručení výpovědi Dodavateli.</w:t>
      </w:r>
    </w:p>
    <w:p w14:paraId="3E5ECDF9"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Smluvní strany této Smlouvy se dohodly, že podstatným porušením Smlouvy, zakládajícím právo Objednatele na odstoupení od Smlouvy, se rozumí rovněž případ, kdy příslušný orgán veřejné moci (Státní úřad inspekce práce či oblastní inspektorát práce, Krajská hygienická stanice atd.) zjistí svým pravomocným rozhodnutím v souvislosti s prováděním díla porušení obecně závazných právních předpisů.</w:t>
      </w:r>
    </w:p>
    <w:p w14:paraId="5610A65E" w14:textId="77777777" w:rsidR="0089562D" w:rsidRDefault="0089562D">
      <w:pPr>
        <w:pBdr>
          <w:top w:val="nil"/>
          <w:left w:val="nil"/>
          <w:bottom w:val="nil"/>
          <w:right w:val="nil"/>
          <w:between w:val="nil"/>
        </w:pBdr>
        <w:ind w:left="680" w:hanging="680"/>
        <w:rPr>
          <w:rFonts w:ascii="Arial" w:eastAsia="Arial" w:hAnsi="Arial" w:cs="Arial"/>
          <w:color w:val="000000"/>
          <w:sz w:val="20"/>
          <w:szCs w:val="20"/>
        </w:rPr>
      </w:pPr>
    </w:p>
    <w:p w14:paraId="57CB46FA" w14:textId="77777777" w:rsidR="0089562D" w:rsidRDefault="005A5880">
      <w:pPr>
        <w:numPr>
          <w:ilvl w:val="0"/>
          <w:numId w:val="7"/>
        </w:numPr>
        <w:pBdr>
          <w:top w:val="nil"/>
          <w:left w:val="nil"/>
          <w:bottom w:val="nil"/>
          <w:right w:val="nil"/>
          <w:between w:val="nil"/>
        </w:pBdr>
        <w:spacing w:before="240"/>
        <w:jc w:val="center"/>
        <w:rPr>
          <w:rFonts w:ascii="Arial" w:eastAsia="Arial" w:hAnsi="Arial" w:cs="Arial"/>
          <w:b/>
          <w:smallCaps/>
          <w:color w:val="000000"/>
          <w:sz w:val="20"/>
          <w:szCs w:val="20"/>
        </w:rPr>
      </w:pPr>
      <w:r>
        <w:rPr>
          <w:rFonts w:ascii="Arial" w:eastAsia="Arial" w:hAnsi="Arial" w:cs="Arial"/>
          <w:b/>
          <w:smallCaps/>
          <w:color w:val="000000"/>
          <w:sz w:val="20"/>
          <w:szCs w:val="20"/>
        </w:rPr>
        <w:t>SMLUVNÍ POKUTA</w:t>
      </w:r>
    </w:p>
    <w:p w14:paraId="2C6ED510"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V případě, že Dodavatel bude v prodlení se svojí povinností plnit Dílo, resp. jeho části řádně a včas v souladu s odst. 3.1 Smlouvy vyjma odst. 3.1.2 a 3.1.3. Smlouvy, je povinen zaplatit Objednateli smluvní pokutu ve výši 0,1 % z ceny části Díla, se kterou je v prodlení, za každý započatý den prodlení.</w:t>
      </w:r>
    </w:p>
    <w:p w14:paraId="32F0A466"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V případě, že Dodavatel nedodrží lhůtu stanovenou v odst. 3.1.2 a 3.1.3 Smlouvy, je povinen zaplatit Objednateli smluvní pokutu ve výši 5.000,00 Kč (slovy: pět tisíc korun českých) za každý započatý den prodlení.</w:t>
      </w:r>
    </w:p>
    <w:p w14:paraId="54DFB1DF"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V případě, že Dodavatel nedodrží lhůtu pro odstranění vad, resp. nedodělků dle odst. 10.3 Smlouvy, je povinen zaplatit Objednateli smluvní pokutu ve výši 1.000,00 Kč (slovy: jeden tisíc korun českých) za každý započatý den prodlení.</w:t>
      </w:r>
    </w:p>
    <w:p w14:paraId="24B7A988"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Poruší-li Dodavatel svou povinnost dodat Dílo bez vad a v průběhu záruční doby dojde ke zvýšení nákladů na provedení Stavby, které byly prokazatelně způsobené v důsledku vady Díla (např. neoceněním některých částí Stavby nezahrnutých do výkazu výměr, nedostatečným zohledněním skutečného stavu, nebo jinou vadou projektové dokumentace), zaplatí smluvní pokutu ve výši určené jako částka navýšení ceny Stavby v důsledku vad Díla Dodavatele.</w:t>
      </w:r>
    </w:p>
    <w:p w14:paraId="34EF8100"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Smluvní strany se dohodly, že Objednatel je vedle smluvních pokut oprávněn vůči Dodavateli uplatňovat i náhradu škody, která Objednateli v důsledku vad nebo nedodělků Díla vznikne, a to v celé výši.</w:t>
      </w:r>
    </w:p>
    <w:p w14:paraId="6334B87C"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Objednatel není povinen hradit úrok z prodlení v případě, že cena za dílo, či její část, není uhrazena ve lhůtě splatnosti z důvodu zadržení platby pro účely zajištění práv Objednatele plynoucích z této Smlouvy.</w:t>
      </w:r>
    </w:p>
    <w:p w14:paraId="789664EE" w14:textId="77777777" w:rsidR="0089562D" w:rsidRDefault="0089562D">
      <w:pPr>
        <w:spacing w:after="0" w:line="240" w:lineRule="auto"/>
        <w:jc w:val="left"/>
        <w:rPr>
          <w:rFonts w:ascii="Arial" w:eastAsia="Arial" w:hAnsi="Arial" w:cs="Arial"/>
          <w:b/>
          <w:smallCaps/>
          <w:sz w:val="20"/>
          <w:szCs w:val="20"/>
        </w:rPr>
      </w:pPr>
    </w:p>
    <w:p w14:paraId="3CAAF047" w14:textId="77777777" w:rsidR="0089562D" w:rsidRDefault="005A5880">
      <w:pPr>
        <w:numPr>
          <w:ilvl w:val="0"/>
          <w:numId w:val="7"/>
        </w:numPr>
        <w:pBdr>
          <w:top w:val="nil"/>
          <w:left w:val="nil"/>
          <w:bottom w:val="nil"/>
          <w:right w:val="nil"/>
          <w:between w:val="nil"/>
        </w:pBdr>
        <w:spacing w:before="240"/>
        <w:jc w:val="center"/>
        <w:rPr>
          <w:rFonts w:ascii="Arial" w:eastAsia="Arial" w:hAnsi="Arial" w:cs="Arial"/>
          <w:b/>
          <w:smallCaps/>
          <w:color w:val="000000"/>
          <w:sz w:val="20"/>
          <w:szCs w:val="20"/>
        </w:rPr>
      </w:pPr>
      <w:r>
        <w:rPr>
          <w:rFonts w:ascii="Arial" w:eastAsia="Arial" w:hAnsi="Arial" w:cs="Arial"/>
          <w:b/>
          <w:smallCaps/>
          <w:color w:val="000000"/>
          <w:sz w:val="20"/>
          <w:szCs w:val="20"/>
        </w:rPr>
        <w:t>KONTAKTNÍ OSOBY SMLUVNÍCH STRAN</w:t>
      </w:r>
    </w:p>
    <w:p w14:paraId="04D0AA57"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Oprávněnými zástupci Objednatele:</w:t>
      </w:r>
    </w:p>
    <w:p w14:paraId="54237736"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ve věcech technických:</w:t>
      </w:r>
      <w:r>
        <w:rPr>
          <w:rFonts w:ascii="Arial" w:eastAsia="Arial" w:hAnsi="Arial" w:cs="Arial"/>
          <w:b/>
          <w:color w:val="000000"/>
          <w:sz w:val="20"/>
          <w:szCs w:val="20"/>
        </w:rPr>
        <w:t xml:space="preserve"> </w:t>
      </w:r>
      <w:r>
        <w:rPr>
          <w:rFonts w:ascii="Arial" w:eastAsia="Arial" w:hAnsi="Arial" w:cs="Arial"/>
          <w:color w:val="000000"/>
          <w:sz w:val="20"/>
          <w:szCs w:val="20"/>
        </w:rPr>
        <w:t xml:space="preserve">Jan Hájek, </w:t>
      </w:r>
      <w:r>
        <w:rPr>
          <w:rFonts w:ascii="Wingdings" w:eastAsia="Wingdings" w:hAnsi="Wingdings" w:cs="Wingdings"/>
          <w:color w:val="000000"/>
          <w:sz w:val="20"/>
          <w:szCs w:val="20"/>
        </w:rPr>
        <w:t>🕿</w:t>
      </w:r>
      <w:r>
        <w:rPr>
          <w:rFonts w:ascii="Arial" w:eastAsia="Arial" w:hAnsi="Arial" w:cs="Arial"/>
          <w:color w:val="000000"/>
          <w:sz w:val="20"/>
          <w:szCs w:val="20"/>
        </w:rPr>
        <w:t xml:space="preserve"> 608 498 889, </w:t>
      </w:r>
      <w:r>
        <w:rPr>
          <w:rFonts w:ascii="Wingdings" w:eastAsia="Wingdings" w:hAnsi="Wingdings" w:cs="Wingdings"/>
          <w:color w:val="000000"/>
          <w:sz w:val="20"/>
          <w:szCs w:val="20"/>
        </w:rPr>
        <w:t>🖂</w:t>
      </w:r>
      <w:r>
        <w:rPr>
          <w:rFonts w:ascii="Arial" w:eastAsia="Arial" w:hAnsi="Arial" w:cs="Arial"/>
          <w:color w:val="000000"/>
          <w:sz w:val="20"/>
          <w:szCs w:val="20"/>
        </w:rPr>
        <w:t xml:space="preserve"> </w:t>
      </w:r>
      <w:hyperlink r:id="rId8">
        <w:r>
          <w:rPr>
            <w:rFonts w:ascii="Arial" w:eastAsia="Arial" w:hAnsi="Arial" w:cs="Arial"/>
            <w:color w:val="000000"/>
            <w:sz w:val="20"/>
            <w:szCs w:val="20"/>
            <w:u w:val="single"/>
          </w:rPr>
          <w:t>hajek@antonindvorak.cz</w:t>
        </w:r>
      </w:hyperlink>
      <w:r>
        <w:rPr>
          <w:rFonts w:ascii="Arial" w:eastAsia="Arial" w:hAnsi="Arial" w:cs="Arial"/>
          <w:color w:val="000000"/>
          <w:sz w:val="20"/>
          <w:szCs w:val="20"/>
        </w:rPr>
        <w:t xml:space="preserve"> </w:t>
      </w:r>
    </w:p>
    <w:p w14:paraId="6FA147E1" w14:textId="77777777" w:rsidR="0089562D" w:rsidRDefault="005A5880">
      <w:pPr>
        <w:numPr>
          <w:ilvl w:val="2"/>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ve věcech smluvních: Mgr. Vojtěch Poláček, ředitel, </w:t>
      </w:r>
      <w:r>
        <w:rPr>
          <w:rFonts w:ascii="Wingdings" w:eastAsia="Wingdings" w:hAnsi="Wingdings" w:cs="Wingdings"/>
          <w:color w:val="000000"/>
          <w:sz w:val="20"/>
          <w:szCs w:val="20"/>
        </w:rPr>
        <w:t>🕿</w:t>
      </w:r>
      <w:r>
        <w:rPr>
          <w:rFonts w:ascii="Arial" w:eastAsia="Arial" w:hAnsi="Arial" w:cs="Arial"/>
          <w:color w:val="000000"/>
          <w:sz w:val="20"/>
          <w:szCs w:val="20"/>
        </w:rPr>
        <w:t xml:space="preserve"> 607126794, </w:t>
      </w:r>
      <w:r>
        <w:rPr>
          <w:rFonts w:ascii="Wingdings" w:eastAsia="Wingdings" w:hAnsi="Wingdings" w:cs="Wingdings"/>
          <w:color w:val="000000"/>
          <w:sz w:val="20"/>
          <w:szCs w:val="20"/>
        </w:rPr>
        <w:t>🖂</w:t>
      </w:r>
      <w:r>
        <w:rPr>
          <w:rFonts w:ascii="Arial" w:eastAsia="Arial" w:hAnsi="Arial" w:cs="Arial"/>
          <w:color w:val="000000"/>
          <w:sz w:val="20"/>
          <w:szCs w:val="20"/>
        </w:rPr>
        <w:t xml:space="preserve"> </w:t>
      </w:r>
      <w:hyperlink r:id="rId9">
        <w:r>
          <w:rPr>
            <w:rFonts w:ascii="Arial" w:eastAsia="Arial" w:hAnsi="Arial" w:cs="Arial"/>
            <w:color w:val="000000"/>
            <w:sz w:val="20"/>
            <w:szCs w:val="20"/>
            <w:u w:val="single"/>
          </w:rPr>
          <w:t>reditel@antonindvorak.cz</w:t>
        </w:r>
      </w:hyperlink>
    </w:p>
    <w:p w14:paraId="194F66D8" w14:textId="77777777" w:rsidR="0089562D" w:rsidRDefault="005A5880">
      <w:pPr>
        <w:numPr>
          <w:ilvl w:val="1"/>
          <w:numId w:val="7"/>
        </w:numPr>
        <w:pBdr>
          <w:top w:val="nil"/>
          <w:left w:val="nil"/>
          <w:bottom w:val="nil"/>
          <w:right w:val="nil"/>
          <w:between w:val="nil"/>
        </w:pBdr>
        <w:spacing w:after="120"/>
        <w:rPr>
          <w:rFonts w:ascii="Arial" w:eastAsia="Arial" w:hAnsi="Arial" w:cs="Arial"/>
          <w:color w:val="000000"/>
          <w:sz w:val="20"/>
          <w:szCs w:val="20"/>
        </w:rPr>
      </w:pPr>
      <w:r>
        <w:rPr>
          <w:rFonts w:ascii="Arial" w:eastAsia="Arial" w:hAnsi="Arial" w:cs="Arial"/>
          <w:color w:val="000000"/>
          <w:sz w:val="20"/>
          <w:szCs w:val="20"/>
        </w:rPr>
        <w:t>Oprávněnými zástupci Dodavatele při provádění a předávání Díla a ve věcech:</w:t>
      </w:r>
    </w:p>
    <w:p w14:paraId="162939B9" w14:textId="77777777" w:rsidR="0089562D" w:rsidRDefault="005A5880">
      <w:pPr>
        <w:numPr>
          <w:ilvl w:val="2"/>
          <w:numId w:val="7"/>
        </w:numPr>
        <w:pBdr>
          <w:top w:val="nil"/>
          <w:left w:val="nil"/>
          <w:bottom w:val="nil"/>
          <w:right w:val="nil"/>
          <w:between w:val="nil"/>
        </w:pBdr>
        <w:spacing w:after="120"/>
        <w:rPr>
          <w:rFonts w:ascii="Arial" w:eastAsia="Arial" w:hAnsi="Arial" w:cs="Arial"/>
          <w:color w:val="000000"/>
          <w:sz w:val="20"/>
          <w:szCs w:val="20"/>
        </w:rPr>
      </w:pPr>
      <w:r>
        <w:rPr>
          <w:rFonts w:ascii="Arial" w:eastAsia="Arial" w:hAnsi="Arial" w:cs="Arial"/>
          <w:color w:val="000000"/>
          <w:sz w:val="20"/>
          <w:szCs w:val="20"/>
        </w:rPr>
        <w:t xml:space="preserve">smluvních je </w:t>
      </w:r>
      <w:r>
        <w:rPr>
          <w:rFonts w:ascii="Arial" w:eastAsia="Arial" w:hAnsi="Arial" w:cs="Arial"/>
          <w:sz w:val="20"/>
          <w:szCs w:val="20"/>
        </w:rPr>
        <w:t>Ing. arch. Jiří Jeřábek</w:t>
      </w:r>
      <w:r>
        <w:rPr>
          <w:rFonts w:ascii="Arial" w:eastAsia="Arial" w:hAnsi="Arial" w:cs="Arial"/>
          <w:color w:val="000000"/>
          <w:sz w:val="20"/>
          <w:szCs w:val="20"/>
        </w:rPr>
        <w:t xml:space="preserve">, telefon </w:t>
      </w:r>
      <w:r>
        <w:rPr>
          <w:rFonts w:ascii="Arial" w:eastAsia="Arial" w:hAnsi="Arial" w:cs="Arial"/>
          <w:sz w:val="20"/>
          <w:szCs w:val="20"/>
        </w:rPr>
        <w:t>724 124 122</w:t>
      </w:r>
      <w:r>
        <w:rPr>
          <w:rFonts w:ascii="Arial" w:eastAsia="Arial" w:hAnsi="Arial" w:cs="Arial"/>
          <w:color w:val="000000"/>
          <w:sz w:val="20"/>
          <w:szCs w:val="20"/>
        </w:rPr>
        <w:t>, e-mail</w:t>
      </w:r>
      <w:r>
        <w:rPr>
          <w:rFonts w:ascii="Arial" w:eastAsia="Arial" w:hAnsi="Arial" w:cs="Arial"/>
          <w:sz w:val="20"/>
          <w:szCs w:val="20"/>
        </w:rPr>
        <w:t xml:space="preserve"> jiri.jerabek.jbc@gmail.com</w:t>
      </w:r>
    </w:p>
    <w:p w14:paraId="46982C19" w14:textId="77777777" w:rsidR="0089562D" w:rsidRDefault="005A5880">
      <w:pPr>
        <w:numPr>
          <w:ilvl w:val="2"/>
          <w:numId w:val="7"/>
        </w:numPr>
        <w:pBdr>
          <w:top w:val="nil"/>
          <w:left w:val="nil"/>
          <w:bottom w:val="nil"/>
          <w:right w:val="nil"/>
          <w:between w:val="nil"/>
        </w:pBdr>
        <w:spacing w:after="120"/>
        <w:rPr>
          <w:rFonts w:ascii="Arial" w:eastAsia="Arial" w:hAnsi="Arial" w:cs="Arial"/>
          <w:color w:val="000000"/>
          <w:sz w:val="20"/>
          <w:szCs w:val="20"/>
        </w:rPr>
      </w:pPr>
      <w:r>
        <w:rPr>
          <w:rFonts w:ascii="Arial" w:eastAsia="Arial" w:hAnsi="Arial" w:cs="Arial"/>
          <w:color w:val="000000"/>
          <w:sz w:val="20"/>
          <w:szCs w:val="20"/>
        </w:rPr>
        <w:t>technických jsou:</w:t>
      </w:r>
    </w:p>
    <w:p w14:paraId="56E09645" w14:textId="77777777" w:rsidR="0089562D" w:rsidRDefault="005A5880">
      <w:pPr>
        <w:rPr>
          <w:rFonts w:ascii="Arial" w:eastAsia="Arial" w:hAnsi="Arial" w:cs="Arial"/>
          <w:sz w:val="20"/>
          <w:szCs w:val="20"/>
        </w:rPr>
      </w:pPr>
      <w:r>
        <w:rPr>
          <w:rFonts w:ascii="Arial" w:eastAsia="Arial" w:hAnsi="Arial" w:cs="Arial"/>
          <w:sz w:val="20"/>
          <w:szCs w:val="20"/>
        </w:rPr>
        <w:t>osoba provádějící hlavního inženýra projektu</w:t>
      </w:r>
    </w:p>
    <w:p w14:paraId="00F1B115" w14:textId="77777777" w:rsidR="0089562D" w:rsidRDefault="005A5880">
      <w:pPr>
        <w:spacing w:after="120"/>
        <w:ind w:firstLine="720"/>
        <w:rPr>
          <w:rFonts w:ascii="Arial" w:eastAsia="Arial" w:hAnsi="Arial" w:cs="Arial"/>
          <w:sz w:val="20"/>
          <w:szCs w:val="20"/>
        </w:rPr>
      </w:pPr>
      <w:r>
        <w:rPr>
          <w:rFonts w:ascii="Arial" w:eastAsia="Arial" w:hAnsi="Arial" w:cs="Arial"/>
          <w:sz w:val="20"/>
          <w:szCs w:val="20"/>
        </w:rPr>
        <w:t>Ing. arch. Jiří Jeřábek, telefon 724 124 122, e-mail jiri.jerabek.jbc@gmail.com</w:t>
      </w:r>
    </w:p>
    <w:p w14:paraId="53232834" w14:textId="77777777" w:rsidR="0089562D" w:rsidRDefault="005A5880">
      <w:pPr>
        <w:rPr>
          <w:rFonts w:ascii="Arial" w:eastAsia="Arial" w:hAnsi="Arial" w:cs="Arial"/>
          <w:sz w:val="20"/>
          <w:szCs w:val="20"/>
        </w:rPr>
      </w:pPr>
      <w:r>
        <w:rPr>
          <w:rFonts w:ascii="Arial" w:eastAsia="Arial" w:hAnsi="Arial" w:cs="Arial"/>
          <w:sz w:val="20"/>
          <w:szCs w:val="20"/>
        </w:rPr>
        <w:t>osoba poskytující služby v oboru tvorby a kontroly rozpočtů</w:t>
      </w:r>
    </w:p>
    <w:p w14:paraId="06CA27DD" w14:textId="77777777" w:rsidR="0089562D" w:rsidRDefault="005A5880">
      <w:pPr>
        <w:pBdr>
          <w:top w:val="nil"/>
          <w:left w:val="nil"/>
          <w:bottom w:val="nil"/>
          <w:right w:val="nil"/>
          <w:between w:val="nil"/>
        </w:pBdr>
        <w:spacing w:after="120"/>
        <w:ind w:left="1400" w:hanging="680"/>
        <w:rPr>
          <w:rFonts w:ascii="Arial" w:eastAsia="Arial" w:hAnsi="Arial" w:cs="Arial"/>
          <w:color w:val="000000"/>
          <w:sz w:val="20"/>
          <w:szCs w:val="20"/>
        </w:rPr>
      </w:pPr>
      <w:r>
        <w:rPr>
          <w:rFonts w:ascii="Arial" w:eastAsia="Arial" w:hAnsi="Arial" w:cs="Arial"/>
          <w:sz w:val="20"/>
          <w:szCs w:val="20"/>
        </w:rPr>
        <w:t xml:space="preserve">Ing. Jan </w:t>
      </w:r>
      <w:proofErr w:type="spellStart"/>
      <w:r>
        <w:rPr>
          <w:rFonts w:ascii="Arial" w:eastAsia="Arial" w:hAnsi="Arial" w:cs="Arial"/>
          <w:sz w:val="20"/>
          <w:szCs w:val="20"/>
        </w:rPr>
        <w:t>Vaškanin</w:t>
      </w:r>
      <w:proofErr w:type="spellEnd"/>
      <w:r>
        <w:rPr>
          <w:rFonts w:ascii="Arial" w:eastAsia="Arial" w:hAnsi="Arial" w:cs="Arial"/>
          <w:sz w:val="20"/>
          <w:szCs w:val="20"/>
        </w:rPr>
        <w:t xml:space="preserve">, telefon 606 307 110, </w:t>
      </w:r>
      <w:r>
        <w:rPr>
          <w:rFonts w:ascii="Roboto" w:eastAsia="Roboto" w:hAnsi="Roboto" w:cs="Roboto"/>
          <w:color w:val="222222"/>
          <w:sz w:val="21"/>
          <w:szCs w:val="21"/>
          <w:highlight w:val="white"/>
        </w:rPr>
        <w:t>vaskanin.jan@gmail.com</w:t>
      </w:r>
    </w:p>
    <w:p w14:paraId="1468077B" w14:textId="77777777" w:rsidR="0089562D" w:rsidRDefault="005A5880">
      <w:pPr>
        <w:numPr>
          <w:ilvl w:val="0"/>
          <w:numId w:val="7"/>
        </w:numPr>
        <w:pBdr>
          <w:top w:val="nil"/>
          <w:left w:val="nil"/>
          <w:bottom w:val="nil"/>
          <w:right w:val="nil"/>
          <w:between w:val="nil"/>
        </w:pBdr>
        <w:spacing w:before="240"/>
        <w:jc w:val="center"/>
        <w:rPr>
          <w:rFonts w:ascii="Arial" w:eastAsia="Arial" w:hAnsi="Arial" w:cs="Arial"/>
          <w:b/>
          <w:smallCaps/>
          <w:color w:val="000000"/>
          <w:sz w:val="20"/>
          <w:szCs w:val="20"/>
        </w:rPr>
      </w:pPr>
      <w:r>
        <w:rPr>
          <w:rFonts w:ascii="Arial" w:eastAsia="Arial" w:hAnsi="Arial" w:cs="Arial"/>
          <w:b/>
          <w:smallCaps/>
          <w:color w:val="000000"/>
          <w:sz w:val="20"/>
          <w:szCs w:val="20"/>
        </w:rPr>
        <w:t>SALVATORNÍ KLAUZULE</w:t>
      </w:r>
    </w:p>
    <w:p w14:paraId="75F3A404"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Pokud by se kterékoliv ustanovení této Smlouvy ukázalo být neplatným nebo nevynutitelným, nebo se jím stalo po uzavření této Smlouvy, pak tato skutečnost nepůsobí neplatnost ani nevynutitelnost ostatních ustanovení této Smlouvy, nevyplývá-li z donucujících ustanovení právních předpisů jinak. Smluvní strany se zavazují bez zbytečného odkladu po výzvě kterékoliv Smluvní strany takové neplatné či nevynutitelné ustanovení nahradit platným a vynutitelným ustanovením, které je svým obsahem nejbližší účelu neplatného či nevynutitelného ustanovení.</w:t>
      </w:r>
    </w:p>
    <w:p w14:paraId="1EE81F59" w14:textId="77777777" w:rsidR="0089562D" w:rsidRDefault="005A5880">
      <w:pPr>
        <w:numPr>
          <w:ilvl w:val="0"/>
          <w:numId w:val="7"/>
        </w:numPr>
        <w:pBdr>
          <w:top w:val="nil"/>
          <w:left w:val="nil"/>
          <w:bottom w:val="nil"/>
          <w:right w:val="nil"/>
          <w:between w:val="nil"/>
        </w:pBdr>
        <w:spacing w:before="240"/>
        <w:jc w:val="center"/>
        <w:rPr>
          <w:rFonts w:ascii="Arial" w:eastAsia="Arial" w:hAnsi="Arial" w:cs="Arial"/>
          <w:b/>
          <w:smallCaps/>
          <w:color w:val="000000"/>
          <w:sz w:val="20"/>
          <w:szCs w:val="20"/>
        </w:rPr>
      </w:pPr>
      <w:r>
        <w:rPr>
          <w:rFonts w:ascii="Arial" w:eastAsia="Arial" w:hAnsi="Arial" w:cs="Arial"/>
          <w:b/>
          <w:smallCaps/>
          <w:color w:val="000000"/>
          <w:sz w:val="20"/>
          <w:szCs w:val="20"/>
        </w:rPr>
        <w:t>ZÁVĚREČNÁ USTANOVENÍ</w:t>
      </w:r>
    </w:p>
    <w:p w14:paraId="4A075067"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Tato Smlouva obsahuje úplné ujednání o předmětu Smlouvy a všech náležitostech, které strany měly a chtěly ve Smlouvě ujednat, a které považují za důležité pro její závaznost. Žádný projev stran učiněný při jednání o této Smlouvě ani projev učiněný po uzavření této Smlouvy nesmí být vykládán v rozporu s výslovnými ustanoveními této Smlouvy a nezakládá žádný závazek ze stran, ledaže tato Smlouva stanoví jinak.</w:t>
      </w:r>
    </w:p>
    <w:p w14:paraId="15A46CAB"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V případech touto Smlouvou výslovně neupravených se práva a povinnosti Smluvních stran řídí platnými právními předpisy České republiky, zejména občanským zákoníkem.</w:t>
      </w:r>
    </w:p>
    <w:p w14:paraId="5FE98927"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Ukáže-li se některé z ustanovení této Smlouvy zdánlivým (nicotným), posoudí se vliv této vady na ostatní ustanovení Smlouvy obdobně podle § 576 občanského zákoníku.</w:t>
      </w:r>
    </w:p>
    <w:p w14:paraId="1D3F7D61"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Smluvní strany jsou povinny vyrozumět druhou Smluvní stranu bez zbytečného odkladu o skutečnostech, které by mohly mít vliv na obsah závazkového vztahu založeného Smlouvou.</w:t>
      </w:r>
    </w:p>
    <w:p w14:paraId="27B9AE68"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Jakákoliv ústní ujednání při provádění Díla, která nejsou písemně potvrzena oprávněnými zástupci všech Smluvních stran, jsou právně neúčinná. Vzájemná komunikace mezi Objednatelem a Dodavatelem není návrhem ani akceptací nové smlouvy, pokud není podepsána statutárními zástupci Smluvních stran.</w:t>
      </w:r>
    </w:p>
    <w:p w14:paraId="1964A027"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Veškeré případné spory vzniklé mezi Smluvními stranami na základě nebo v souvislosti s touto Smlouvou budou primárně řešeny dohodou Smluvních stran. V případě, že tyto spory nebudou v přiměřené době vyřešeny, budou k jejich projednání a rozhodnutí příslušné soudy České republiky.</w:t>
      </w:r>
    </w:p>
    <w:p w14:paraId="4460BFE0"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Smluvní strany souhlasí s uveřejněním této Smlouvy včetně jejích případných změn a dodatků a výše skutečně uhrazené ceny dle této Smlouvy na profilu Objednatele, dle § 147a odst. 2 a 3 </w:t>
      </w:r>
      <w:r>
        <w:rPr>
          <w:rFonts w:ascii="Arial" w:eastAsia="Arial" w:hAnsi="Arial" w:cs="Arial"/>
          <w:color w:val="000000"/>
          <w:sz w:val="20"/>
          <w:szCs w:val="20"/>
        </w:rPr>
        <w:lastRenderedPageBreak/>
        <w:t>zákona o veřejných zakázkách, jakož i se všemi dalšími formami uveřejnění vyžadovanými právními předpisy.</w:t>
      </w:r>
    </w:p>
    <w:p w14:paraId="4EADC7B2"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Tato Smlouva může být měněna nebo doplňována pouze formou písemných vzestupně číslovaných dodatků podepsaných všemi Smluvními stranami. Ke změnám či doplnění neprovedeným písemnou formou se nepřihlíží. </w:t>
      </w:r>
    </w:p>
    <w:p w14:paraId="7BD2D0E6"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Smluvní strany na sebe přebírají nebezpečí změny okolností v souvislosti s právy a povinnostmi Smluvních stran vzniklými na základě této Smlouvy. Smluvní strany vylučují uplatnění § 1765 odst. 1 a § 1766 občanského zákoníku na svůj smluvní vztah založený touto Smlouvou.</w:t>
      </w:r>
    </w:p>
    <w:p w14:paraId="61A51491"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Tato Smlouva nabývá platnosti pozdějším dnem jejího podpisu kteroukoliv ze Smluvních stran. Vzhledem k tomu, že se na Smlouvu vztahuje povinnost uveřejnění dle zákona č. 340/2015 Sb., zákon o registru smluv, ve znění pozdějších předpisů, nabývá Smlouva účinnosti nejdříve dnem uveřejnění v registru smluv vedeným Ministerstvem vnitra, které provede Objednatel.</w:t>
      </w:r>
    </w:p>
    <w:p w14:paraId="1512F930"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Veškerá ujednání a jiná ustanovení uvedená v nabídce Dodavatele, podané v rámci poptávkového řízení Veřejné zakázky, jsou nedílnou součástí této Smlouvy, pokud tato smlouva nestanoví jinak. Dodavatel má povinnost se řídit zároveň i podmínkami vyplývajícími z Výzvy k podání nabídky a zadávací dokumentace a jím podanou nabídkou.</w:t>
      </w:r>
    </w:p>
    <w:p w14:paraId="13EE593E"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Nedílnou součástí Smlouvy jsou následující přílohy:</w:t>
      </w:r>
    </w:p>
    <w:p w14:paraId="39E258D8" w14:textId="77777777" w:rsidR="0089562D" w:rsidRDefault="005A5880">
      <w:pPr>
        <w:numPr>
          <w:ilvl w:val="0"/>
          <w:numId w:val="2"/>
        </w:numPr>
        <w:pBdr>
          <w:top w:val="nil"/>
          <w:left w:val="nil"/>
          <w:bottom w:val="nil"/>
          <w:right w:val="nil"/>
          <w:between w:val="nil"/>
        </w:pBdr>
        <w:jc w:val="left"/>
        <w:rPr>
          <w:rFonts w:ascii="Arial" w:eastAsia="Arial" w:hAnsi="Arial" w:cs="Arial"/>
          <w:color w:val="000000"/>
          <w:sz w:val="20"/>
          <w:szCs w:val="20"/>
        </w:rPr>
      </w:pPr>
      <w:r>
        <w:rPr>
          <w:rFonts w:ascii="Arial" w:eastAsia="Arial" w:hAnsi="Arial" w:cs="Arial"/>
          <w:color w:val="000000"/>
          <w:sz w:val="20"/>
          <w:szCs w:val="20"/>
        </w:rPr>
        <w:t xml:space="preserve">Příloha č. 1: Prostá kopie pojistné smlouvy nebo prostá kopie pojistného certifikátu  </w:t>
      </w:r>
    </w:p>
    <w:p w14:paraId="3B772E96"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Tato smlouva je vyhotovena v elektronickém originálu, který obdrží každá ze smluvních stran.</w:t>
      </w:r>
    </w:p>
    <w:p w14:paraId="6642FB58" w14:textId="77777777" w:rsidR="0089562D" w:rsidRDefault="005A5880">
      <w:pPr>
        <w:numPr>
          <w:ilvl w:val="1"/>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Dodavatel v souladu s § 219 ZZVZ a v souladu se zákonem č.106/1999 Sb., o svobodném přístupu k informacím, v platném znění, souhlasí, aby veřejný zadavatel (Objednatel) uveřejnil na profilu zadavatele smlouvu uzavřenou na veřejnou zakázku včetně všech jejích změn, dodatků a příloh. Dále Dodavatel souhlasí se zveřejněním této Smlouvy Objednatelem v registru smluv podle zákona č. 340/2015 Sb.</w:t>
      </w:r>
    </w:p>
    <w:p w14:paraId="32B14A6B" w14:textId="77777777" w:rsidR="0089562D" w:rsidRDefault="0089562D">
      <w:pPr>
        <w:pBdr>
          <w:top w:val="nil"/>
          <w:left w:val="nil"/>
          <w:bottom w:val="nil"/>
          <w:right w:val="nil"/>
          <w:between w:val="nil"/>
        </w:pBdr>
        <w:ind w:left="680" w:hanging="680"/>
        <w:rPr>
          <w:rFonts w:ascii="Arial" w:eastAsia="Arial" w:hAnsi="Arial" w:cs="Arial"/>
          <w:color w:val="000000"/>
          <w:sz w:val="20"/>
          <w:szCs w:val="20"/>
        </w:rPr>
      </w:pPr>
    </w:p>
    <w:p w14:paraId="5680B07A" w14:textId="77777777" w:rsidR="0089562D" w:rsidRDefault="005A5880">
      <w:pPr>
        <w:pBdr>
          <w:top w:val="nil"/>
          <w:left w:val="nil"/>
          <w:bottom w:val="nil"/>
          <w:right w:val="nil"/>
          <w:between w:val="nil"/>
        </w:pBdr>
        <w:ind w:left="680" w:hanging="680"/>
        <w:rPr>
          <w:rFonts w:ascii="Arial" w:eastAsia="Arial" w:hAnsi="Arial" w:cs="Arial"/>
          <w:color w:val="000000"/>
          <w:sz w:val="20"/>
          <w:szCs w:val="20"/>
        </w:rPr>
      </w:pPr>
      <w:r>
        <w:rPr>
          <w:rFonts w:ascii="Arial" w:eastAsia="Arial" w:hAnsi="Arial" w:cs="Arial"/>
          <w:color w:val="000000"/>
          <w:sz w:val="20"/>
          <w:szCs w:val="20"/>
        </w:rPr>
        <w:t>NA DŮKAZ TOHO, že Smluvní strany s obsahem této Smlouvy souhlasí, rozumí jí a zavazují se k jejímu plnění, připojují své podpisy a prohlašují, že tato Smlouva byla uzavřena podle jejich svobodné a vážné vůle.</w:t>
      </w:r>
    </w:p>
    <w:p w14:paraId="21FF2EB6" w14:textId="77777777" w:rsidR="0089562D" w:rsidRDefault="0089562D">
      <w:pPr>
        <w:pBdr>
          <w:top w:val="nil"/>
          <w:left w:val="nil"/>
          <w:bottom w:val="nil"/>
          <w:right w:val="nil"/>
          <w:between w:val="nil"/>
        </w:pBdr>
        <w:ind w:left="680" w:hanging="680"/>
        <w:rPr>
          <w:rFonts w:ascii="Arial" w:eastAsia="Arial" w:hAnsi="Arial" w:cs="Arial"/>
          <w:color w:val="000000"/>
          <w:sz w:val="20"/>
          <w:szCs w:val="20"/>
        </w:rPr>
      </w:pPr>
    </w:p>
    <w:p w14:paraId="55AFAF4B" w14:textId="77777777" w:rsidR="0089562D" w:rsidRDefault="005A5880">
      <w:pPr>
        <w:pBdr>
          <w:top w:val="nil"/>
          <w:left w:val="nil"/>
          <w:bottom w:val="nil"/>
          <w:right w:val="nil"/>
          <w:between w:val="nil"/>
        </w:pBdr>
        <w:ind w:left="680" w:hanging="680"/>
        <w:rPr>
          <w:rFonts w:ascii="Arial" w:eastAsia="Arial" w:hAnsi="Arial" w:cs="Arial"/>
          <w:color w:val="000000"/>
          <w:sz w:val="20"/>
          <w:szCs w:val="20"/>
        </w:rPr>
      </w:pPr>
      <w:r>
        <w:rPr>
          <w:rFonts w:ascii="Arial" w:eastAsia="Arial" w:hAnsi="Arial" w:cs="Arial"/>
          <w:color w:val="000000"/>
          <w:sz w:val="20"/>
          <w:szCs w:val="20"/>
        </w:rPr>
        <w:t>Ve Vysoké u Příbramě,</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V ……………………………………,</w:t>
      </w:r>
    </w:p>
    <w:p w14:paraId="4FE4AC68" w14:textId="77777777" w:rsidR="0089562D" w:rsidRDefault="005A5880">
      <w:pPr>
        <w:pBdr>
          <w:top w:val="nil"/>
          <w:left w:val="nil"/>
          <w:bottom w:val="nil"/>
          <w:right w:val="nil"/>
          <w:between w:val="nil"/>
        </w:pBdr>
        <w:ind w:left="680" w:hanging="680"/>
        <w:rPr>
          <w:rFonts w:ascii="Arial" w:eastAsia="Arial" w:hAnsi="Arial" w:cs="Arial"/>
          <w:color w:val="000000"/>
          <w:sz w:val="20"/>
          <w:szCs w:val="20"/>
        </w:rPr>
      </w:pPr>
      <w:r>
        <w:rPr>
          <w:rFonts w:ascii="Arial" w:eastAsia="Arial" w:hAnsi="Arial" w:cs="Arial"/>
          <w:color w:val="000000"/>
          <w:sz w:val="20"/>
          <w:szCs w:val="20"/>
        </w:rPr>
        <w:t>datum shodné s datem el. podpisu</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datum shodné s datem el. podpisu</w:t>
      </w:r>
    </w:p>
    <w:p w14:paraId="12B6FBA8" w14:textId="77777777" w:rsidR="0089562D" w:rsidRDefault="0089562D">
      <w:pPr>
        <w:pBdr>
          <w:top w:val="nil"/>
          <w:left w:val="nil"/>
          <w:bottom w:val="nil"/>
          <w:right w:val="nil"/>
          <w:between w:val="nil"/>
        </w:pBdr>
        <w:ind w:left="680" w:hanging="680"/>
        <w:rPr>
          <w:rFonts w:ascii="Arial" w:eastAsia="Arial" w:hAnsi="Arial" w:cs="Arial"/>
          <w:color w:val="000000"/>
          <w:sz w:val="20"/>
          <w:szCs w:val="20"/>
        </w:rPr>
      </w:pPr>
    </w:p>
    <w:p w14:paraId="10E128C3" w14:textId="77777777" w:rsidR="0089562D" w:rsidRDefault="0089562D">
      <w:pPr>
        <w:pBdr>
          <w:top w:val="nil"/>
          <w:left w:val="nil"/>
          <w:bottom w:val="nil"/>
          <w:right w:val="nil"/>
          <w:between w:val="nil"/>
        </w:pBdr>
        <w:ind w:left="680" w:hanging="680"/>
        <w:rPr>
          <w:rFonts w:ascii="Arial" w:eastAsia="Arial" w:hAnsi="Arial" w:cs="Arial"/>
          <w:color w:val="000000"/>
          <w:sz w:val="20"/>
          <w:szCs w:val="20"/>
        </w:rPr>
      </w:pPr>
    </w:p>
    <w:p w14:paraId="28E57451" w14:textId="77777777" w:rsidR="0089562D" w:rsidRDefault="005A5880">
      <w:pPr>
        <w:pBdr>
          <w:top w:val="nil"/>
          <w:left w:val="nil"/>
          <w:bottom w:val="nil"/>
          <w:right w:val="nil"/>
          <w:between w:val="nil"/>
        </w:pBdr>
        <w:ind w:left="680" w:hanging="680"/>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Objednatel</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tab/>
      </w:r>
      <w:r>
        <w:rPr>
          <w:rFonts w:ascii="Arial" w:eastAsia="Arial" w:hAnsi="Arial" w:cs="Arial"/>
          <w:color w:val="000000"/>
          <w:sz w:val="20"/>
          <w:szCs w:val="20"/>
        </w:rPr>
        <w:tab/>
        <w:t>Dodavatel</w:t>
      </w:r>
    </w:p>
    <w:p w14:paraId="05AC191A" w14:textId="77777777" w:rsidR="0089562D" w:rsidRDefault="0089562D">
      <w:pPr>
        <w:pBdr>
          <w:top w:val="nil"/>
          <w:left w:val="nil"/>
          <w:bottom w:val="nil"/>
          <w:right w:val="nil"/>
          <w:between w:val="nil"/>
        </w:pBdr>
        <w:ind w:left="680" w:hanging="680"/>
        <w:rPr>
          <w:rFonts w:ascii="Arial" w:eastAsia="Arial" w:hAnsi="Arial" w:cs="Arial"/>
          <w:color w:val="000000"/>
          <w:sz w:val="20"/>
          <w:szCs w:val="20"/>
        </w:rPr>
      </w:pPr>
    </w:p>
    <w:p w14:paraId="364BAD79" w14:textId="77777777" w:rsidR="0089562D" w:rsidRDefault="0089562D">
      <w:pPr>
        <w:pBdr>
          <w:top w:val="nil"/>
          <w:left w:val="nil"/>
          <w:bottom w:val="nil"/>
          <w:right w:val="nil"/>
          <w:between w:val="nil"/>
        </w:pBdr>
        <w:ind w:left="680" w:hanging="680"/>
        <w:rPr>
          <w:rFonts w:ascii="Arial" w:eastAsia="Arial" w:hAnsi="Arial" w:cs="Arial"/>
          <w:color w:val="000000"/>
          <w:sz w:val="20"/>
          <w:szCs w:val="20"/>
        </w:rPr>
      </w:pPr>
    </w:p>
    <w:p w14:paraId="104AC92F" w14:textId="77777777" w:rsidR="0089562D" w:rsidRDefault="0089562D">
      <w:pPr>
        <w:pBdr>
          <w:top w:val="nil"/>
          <w:left w:val="nil"/>
          <w:bottom w:val="nil"/>
          <w:right w:val="nil"/>
          <w:between w:val="nil"/>
        </w:pBdr>
        <w:ind w:left="680" w:hanging="680"/>
        <w:rPr>
          <w:rFonts w:ascii="Arial" w:eastAsia="Arial" w:hAnsi="Arial" w:cs="Arial"/>
          <w:color w:val="000000"/>
          <w:sz w:val="20"/>
          <w:szCs w:val="20"/>
        </w:rPr>
      </w:pPr>
    </w:p>
    <w:p w14:paraId="2014DBD4" w14:textId="77777777" w:rsidR="0089562D" w:rsidRDefault="0089562D">
      <w:pPr>
        <w:pBdr>
          <w:top w:val="nil"/>
          <w:left w:val="nil"/>
          <w:bottom w:val="nil"/>
          <w:right w:val="nil"/>
          <w:between w:val="nil"/>
        </w:pBdr>
        <w:ind w:left="680" w:hanging="680"/>
        <w:rPr>
          <w:rFonts w:ascii="Arial" w:eastAsia="Arial" w:hAnsi="Arial" w:cs="Arial"/>
          <w:color w:val="000000"/>
          <w:sz w:val="20"/>
          <w:szCs w:val="20"/>
        </w:rPr>
      </w:pPr>
    </w:p>
    <w:p w14:paraId="5B421FFE" w14:textId="77777777" w:rsidR="0089562D" w:rsidRDefault="005A5880">
      <w:pPr>
        <w:pBdr>
          <w:top w:val="nil"/>
          <w:left w:val="nil"/>
          <w:bottom w:val="nil"/>
          <w:right w:val="nil"/>
          <w:between w:val="nil"/>
        </w:pBdr>
        <w:ind w:left="680" w:hanging="680"/>
        <w:rPr>
          <w:rFonts w:ascii="Arial" w:eastAsia="Arial" w:hAnsi="Arial" w:cs="Arial"/>
          <w:color w:val="000000"/>
          <w:sz w:val="20"/>
          <w:szCs w:val="20"/>
        </w:rPr>
      </w:pPr>
      <w:r>
        <w:rPr>
          <w:rFonts w:ascii="Arial" w:eastAsia="Arial" w:hAnsi="Arial" w:cs="Arial"/>
          <w:color w:val="000000"/>
          <w:sz w:val="20"/>
          <w:szCs w:val="20"/>
        </w:rPr>
        <w:t>___________________________________</w:t>
      </w:r>
      <w:r>
        <w:rPr>
          <w:rFonts w:ascii="Arial" w:eastAsia="Arial" w:hAnsi="Arial" w:cs="Arial"/>
          <w:color w:val="000000"/>
          <w:sz w:val="20"/>
          <w:szCs w:val="20"/>
        </w:rPr>
        <w:tab/>
      </w:r>
      <w:r>
        <w:rPr>
          <w:rFonts w:ascii="Arial" w:eastAsia="Arial" w:hAnsi="Arial" w:cs="Arial"/>
          <w:color w:val="000000"/>
          <w:sz w:val="20"/>
          <w:szCs w:val="20"/>
        </w:rPr>
        <w:tab/>
        <w:t>___________________________________</w:t>
      </w:r>
    </w:p>
    <w:p w14:paraId="12D23429" w14:textId="77777777" w:rsidR="0089562D" w:rsidRDefault="005A5880">
      <w:pPr>
        <w:pBdr>
          <w:top w:val="nil"/>
          <w:left w:val="nil"/>
          <w:bottom w:val="nil"/>
          <w:right w:val="nil"/>
          <w:between w:val="nil"/>
        </w:pBdr>
        <w:ind w:left="680" w:hanging="680"/>
        <w:rPr>
          <w:rFonts w:ascii="Arial" w:eastAsia="Arial" w:hAnsi="Arial" w:cs="Arial"/>
          <w:color w:val="000000"/>
          <w:sz w:val="20"/>
          <w:szCs w:val="20"/>
        </w:rPr>
      </w:pPr>
      <w:r>
        <w:rPr>
          <w:rFonts w:ascii="Arial" w:eastAsia="Arial" w:hAnsi="Arial" w:cs="Arial"/>
          <w:color w:val="000000"/>
          <w:sz w:val="20"/>
          <w:szCs w:val="20"/>
        </w:rPr>
        <w:t xml:space="preserve">                  Mgr. Vojtěch Poláček</w:t>
      </w:r>
      <w:r>
        <w:rPr>
          <w:rFonts w:ascii="Arial" w:eastAsia="Arial" w:hAnsi="Arial" w:cs="Arial"/>
          <w:color w:val="000000"/>
          <w:sz w:val="20"/>
          <w:szCs w:val="20"/>
        </w:rPr>
        <w:tab/>
      </w:r>
      <w:r>
        <w:rPr>
          <w:rFonts w:ascii="Arial" w:eastAsia="Arial" w:hAnsi="Arial" w:cs="Arial"/>
          <w:color w:val="000000"/>
          <w:sz w:val="20"/>
          <w:szCs w:val="20"/>
        </w:rPr>
        <w:tab/>
      </w:r>
      <w:r>
        <w:tab/>
      </w:r>
      <w:r>
        <w:rPr>
          <w:rFonts w:ascii="Arial" w:eastAsia="Arial" w:hAnsi="Arial" w:cs="Arial"/>
          <w:sz w:val="20"/>
          <w:szCs w:val="20"/>
        </w:rPr>
        <w:tab/>
        <w:t>Ing. arch. Jiří Jeřábek</w:t>
      </w:r>
    </w:p>
    <w:p w14:paraId="2527B70D" w14:textId="77777777" w:rsidR="0089562D" w:rsidRDefault="005A5880">
      <w:pPr>
        <w:pBdr>
          <w:top w:val="nil"/>
          <w:left w:val="nil"/>
          <w:bottom w:val="nil"/>
          <w:right w:val="nil"/>
          <w:between w:val="nil"/>
        </w:pBdr>
        <w:ind w:left="680" w:hanging="680"/>
        <w:rPr>
          <w:rFonts w:ascii="Arial" w:eastAsia="Arial" w:hAnsi="Arial" w:cs="Arial"/>
          <w:color w:val="000000"/>
          <w:sz w:val="22"/>
          <w:szCs w:val="22"/>
        </w:rPr>
      </w:pPr>
      <w:r>
        <w:rPr>
          <w:rFonts w:ascii="Arial" w:eastAsia="Arial" w:hAnsi="Arial" w:cs="Arial"/>
          <w:color w:val="000000"/>
          <w:sz w:val="20"/>
          <w:szCs w:val="20"/>
        </w:rPr>
        <w:tab/>
        <w:t xml:space="preserve">    </w:t>
      </w:r>
      <w:r>
        <w:rPr>
          <w:rFonts w:ascii="Arial" w:eastAsia="Arial" w:hAnsi="Arial" w:cs="Arial"/>
          <w:color w:val="000000"/>
          <w:sz w:val="20"/>
          <w:szCs w:val="20"/>
        </w:rPr>
        <w:tab/>
        <w:t xml:space="preserve">   ředitel </w:t>
      </w:r>
    </w:p>
    <w:sectPr w:rsidR="0089562D">
      <w:footerReference w:type="default" r:id="rId10"/>
      <w:pgSz w:w="11906" w:h="16838"/>
      <w:pgMar w:top="1418" w:right="1134" w:bottom="1134" w:left="1418" w:header="709"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25329" w14:textId="77777777" w:rsidR="00C95D49" w:rsidRDefault="00C95D49">
      <w:pPr>
        <w:spacing w:after="0" w:line="240" w:lineRule="auto"/>
      </w:pPr>
      <w:r>
        <w:separator/>
      </w:r>
    </w:p>
  </w:endnote>
  <w:endnote w:type="continuationSeparator" w:id="0">
    <w:p w14:paraId="4CC1C5E0" w14:textId="77777777" w:rsidR="00C95D49" w:rsidRDefault="00C95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1CBA4E39-BE1F-49EF-89ED-57037FE9157C}"/>
  </w:font>
  <w:font w:name="Calibri">
    <w:panose1 w:val="020F0502020204030204"/>
    <w:charset w:val="EE"/>
    <w:family w:val="swiss"/>
    <w:pitch w:val="variable"/>
    <w:sig w:usb0="E4002EFF" w:usb1="C200247B" w:usb2="00000009" w:usb3="00000000" w:csb0="000001FF" w:csb1="00000000"/>
    <w:embedRegular r:id="rId2" w:fontKey="{0C237741-D722-4422-ACFB-5CC25C252815}"/>
    <w:embedBold r:id="rId3" w:fontKey="{68B79369-5403-4C94-A8E9-273CDF83D3ED}"/>
    <w:embedItalic r:id="rId4" w:fontKey="{4C5A2FBF-17B3-43CC-8185-23E8D5621904}"/>
  </w:font>
  <w:font w:name="Cambria">
    <w:panose1 w:val="02040503050406030204"/>
    <w:charset w:val="EE"/>
    <w:family w:val="roman"/>
    <w:pitch w:val="variable"/>
    <w:sig w:usb0="E00006FF" w:usb1="420024FF" w:usb2="02000000" w:usb3="00000000" w:csb0="0000019F" w:csb1="00000000"/>
    <w:embedRegular r:id="rId5" w:fontKey="{CB16892F-42A5-4A02-BA42-338866295787}"/>
    <w:embedBold r:id="rId6" w:fontKey="{B91CE630-4998-4657-B2D5-5AABA4BE7C92}"/>
    <w:embedItalic r:id="rId7" w:fontKey="{F031C613-8AEC-434B-9B38-668117260BB3}"/>
  </w:font>
  <w:font w:name="Times New Roman Bold">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embedRegular r:id="rId8" w:fontKey="{6B12C91C-54C5-43E5-866E-99A44D60760F}"/>
  </w:font>
  <w:font w:name="Tahoma">
    <w:panose1 w:val="020B0604030504040204"/>
    <w:charset w:val="EE"/>
    <w:family w:val="swiss"/>
    <w:pitch w:val="variable"/>
    <w:sig w:usb0="E1002EFF" w:usb1="C000605B" w:usb2="00000029" w:usb3="00000000" w:csb0="000101FF" w:csb1="00000000"/>
    <w:embedRegular r:id="rId9" w:fontKey="{8C1B282D-20AD-47E3-A69A-9C3F4843C45B}"/>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0" w:fontKey="{68A1B14E-092E-4A4E-8994-E2804FB545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76536" w14:textId="77777777" w:rsidR="0089562D" w:rsidRDefault="0089562D">
    <w:pPr>
      <w:pBdr>
        <w:top w:val="nil"/>
        <w:left w:val="nil"/>
        <w:bottom w:val="nil"/>
        <w:right w:val="nil"/>
        <w:between w:val="nil"/>
      </w:pBdr>
      <w:tabs>
        <w:tab w:val="center" w:pos="4536"/>
        <w:tab w:val="right" w:pos="9072"/>
      </w:tabs>
      <w:jc w:val="center"/>
      <w:rPr>
        <w:rFonts w:ascii="Arial" w:eastAsia="Arial" w:hAnsi="Arial" w:cs="Arial"/>
        <w:color w:val="000000"/>
        <w:sz w:val="20"/>
        <w:szCs w:val="20"/>
      </w:rPr>
    </w:pPr>
  </w:p>
  <w:p w14:paraId="18C2A827" w14:textId="77777777" w:rsidR="0089562D" w:rsidRDefault="005A5880">
    <w:pPr>
      <w:pBdr>
        <w:top w:val="nil"/>
        <w:left w:val="nil"/>
        <w:bottom w:val="nil"/>
        <w:right w:val="nil"/>
        <w:between w:val="nil"/>
      </w:pBdr>
      <w:tabs>
        <w:tab w:val="center" w:pos="4536"/>
        <w:tab w:val="right" w:pos="9072"/>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w:t>
    </w:r>
    <w:r>
      <w:rPr>
        <w:color w:val="000000"/>
        <w:sz w:val="20"/>
        <w:szCs w:val="20"/>
      </w:rPr>
      <w:fldChar w:fldCharType="end"/>
    </w:r>
  </w:p>
  <w:p w14:paraId="7EB9AA58" w14:textId="77777777" w:rsidR="0089562D" w:rsidRDefault="0089562D">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2858B" w14:textId="77777777" w:rsidR="00C95D49" w:rsidRDefault="00C95D49">
      <w:pPr>
        <w:spacing w:after="0" w:line="240" w:lineRule="auto"/>
      </w:pPr>
      <w:r>
        <w:separator/>
      </w:r>
    </w:p>
  </w:footnote>
  <w:footnote w:type="continuationSeparator" w:id="0">
    <w:p w14:paraId="137439CD" w14:textId="77777777" w:rsidR="00C95D49" w:rsidRDefault="00C95D49">
      <w:pPr>
        <w:spacing w:after="0" w:line="240" w:lineRule="auto"/>
      </w:pPr>
      <w:r>
        <w:continuationSeparator/>
      </w:r>
    </w:p>
  </w:footnote>
  <w:footnote w:id="1">
    <w:p w14:paraId="1F7AD322" w14:textId="77777777" w:rsidR="0089562D" w:rsidRDefault="005A5880">
      <w:pPr>
        <w:pBdr>
          <w:top w:val="nil"/>
          <w:left w:val="nil"/>
          <w:bottom w:val="nil"/>
          <w:right w:val="nil"/>
          <w:between w:val="nil"/>
        </w:pBdr>
        <w:tabs>
          <w:tab w:val="right" w:pos="9354"/>
        </w:tabs>
        <w:spacing w:after="0" w:line="240" w:lineRule="auto"/>
        <w:jc w:val="left"/>
        <w:rPr>
          <w:rFonts w:ascii="Arial" w:eastAsia="Arial" w:hAnsi="Arial" w:cs="Arial"/>
          <w:color w:val="000000"/>
          <w:sz w:val="16"/>
          <w:szCs w:val="16"/>
        </w:rPr>
      </w:pPr>
      <w:r>
        <w:rPr>
          <w:vertAlign w:val="superscript"/>
        </w:rPr>
        <w:footnoteRef/>
      </w:r>
      <w:r>
        <w:rPr>
          <w:rFonts w:ascii="Arial" w:eastAsia="Arial" w:hAnsi="Arial" w:cs="Arial"/>
          <w:color w:val="000000"/>
          <w:sz w:val="16"/>
          <w:szCs w:val="16"/>
          <w:vertAlign w:val="superscript"/>
        </w:rPr>
        <w:t>[1]</w:t>
      </w:r>
      <w:r>
        <w:rPr>
          <w:rFonts w:ascii="Arial" w:eastAsia="Arial" w:hAnsi="Arial" w:cs="Arial"/>
          <w:color w:val="000000"/>
          <w:sz w:val="16"/>
          <w:szCs w:val="16"/>
        </w:rPr>
        <w:t xml:space="preserve"> Pojem subjekt zahrnuje, ale není omezen na jakoukoli vládu, skupinu nebo teroristickou organizaci.</w:t>
      </w:r>
      <w:r>
        <w:rPr>
          <w:rFonts w:ascii="Arial" w:eastAsia="Arial" w:hAnsi="Arial" w:cs="Arial"/>
          <w:color w:val="000000"/>
          <w:sz w:val="16"/>
          <w:szCs w:val="16"/>
        </w:rPr>
        <w:tab/>
      </w:r>
    </w:p>
    <w:p w14:paraId="46028E1A" w14:textId="77777777" w:rsidR="0089562D" w:rsidRDefault="005A5880">
      <w:pPr>
        <w:pBdr>
          <w:top w:val="nil"/>
          <w:left w:val="nil"/>
          <w:bottom w:val="nil"/>
          <w:right w:val="nil"/>
          <w:between w:val="nil"/>
        </w:pBdr>
        <w:spacing w:after="0" w:line="240" w:lineRule="auto"/>
        <w:jc w:val="left"/>
        <w:rPr>
          <w:rFonts w:ascii="Arial" w:eastAsia="Arial" w:hAnsi="Arial" w:cs="Arial"/>
          <w:color w:val="000000"/>
          <w:sz w:val="16"/>
          <w:szCs w:val="16"/>
        </w:rPr>
      </w:pPr>
      <w:r>
        <w:rPr>
          <w:rFonts w:ascii="Arial" w:eastAsia="Arial" w:hAnsi="Arial" w:cs="Arial"/>
          <w:color w:val="000000"/>
          <w:sz w:val="16"/>
          <w:szCs w:val="16"/>
          <w:vertAlign w:val="superscript"/>
        </w:rPr>
        <w:t>[2]</w:t>
      </w:r>
      <w:r>
        <w:rPr>
          <w:rFonts w:ascii="Arial" w:eastAsia="Arial" w:hAnsi="Arial" w:cs="Arial"/>
          <w:color w:val="000000"/>
          <w:sz w:val="16"/>
          <w:szCs w:val="16"/>
        </w:rPr>
        <w:t xml:space="preserve"> Člen vlády nebo vedoucí jiného ústředního správního úřadu, v jehož čele není člen vlády.</w:t>
      </w:r>
    </w:p>
    <w:p w14:paraId="6B12519C" w14:textId="77777777" w:rsidR="0089562D" w:rsidRDefault="0089562D">
      <w:pPr>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8C57B9"/>
    <w:multiLevelType w:val="multilevel"/>
    <w:tmpl w:val="53123888"/>
    <w:lvl w:ilvl="0">
      <w:start w:val="1"/>
      <w:numFmt w:val="decimal"/>
      <w:lvlText w:val="%1."/>
      <w:lvlJc w:val="left"/>
      <w:pPr>
        <w:ind w:left="450" w:hanging="450"/>
      </w:pPr>
    </w:lvl>
    <w:lvl w:ilvl="1">
      <w:start w:val="1"/>
      <w:numFmt w:val="decimal"/>
      <w:lvlText w:val="%2."/>
      <w:lvlJc w:val="left"/>
      <w:pPr>
        <w:ind w:left="450" w:hanging="450"/>
      </w:pPr>
      <w:rPr>
        <w:sz w:val="20"/>
        <w:szCs w:val="2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264B44FA"/>
    <w:multiLevelType w:val="multilevel"/>
    <w:tmpl w:val="DEB8F76A"/>
    <w:lvl w:ilvl="0">
      <w:start w:val="1"/>
      <w:numFmt w:val="bullet"/>
      <w:pStyle w:val="AKFZslovanodstavec"/>
      <w:lvlText w:val="-"/>
      <w:lvlJc w:val="left"/>
      <w:pPr>
        <w:ind w:left="1040" w:hanging="360"/>
      </w:pPr>
      <w:rPr>
        <w:rFonts w:ascii="Arial" w:eastAsia="Arial" w:hAnsi="Arial" w:cs="Arial"/>
      </w:rPr>
    </w:lvl>
    <w:lvl w:ilvl="1">
      <w:start w:val="1"/>
      <w:numFmt w:val="bullet"/>
      <w:lvlText w:val="o"/>
      <w:lvlJc w:val="left"/>
      <w:pPr>
        <w:ind w:left="1760" w:hanging="360"/>
      </w:pPr>
      <w:rPr>
        <w:rFonts w:ascii="Courier New" w:eastAsia="Courier New" w:hAnsi="Courier New" w:cs="Courier New"/>
      </w:rPr>
    </w:lvl>
    <w:lvl w:ilvl="2">
      <w:start w:val="1"/>
      <w:numFmt w:val="bullet"/>
      <w:lvlText w:val="▪"/>
      <w:lvlJc w:val="left"/>
      <w:pPr>
        <w:ind w:left="2480" w:hanging="360"/>
      </w:pPr>
      <w:rPr>
        <w:rFonts w:ascii="Noto Sans Symbols" w:eastAsia="Noto Sans Symbols" w:hAnsi="Noto Sans Symbols" w:cs="Noto Sans Symbols"/>
      </w:rPr>
    </w:lvl>
    <w:lvl w:ilvl="3">
      <w:start w:val="1"/>
      <w:numFmt w:val="bullet"/>
      <w:lvlText w:val="●"/>
      <w:lvlJc w:val="left"/>
      <w:pPr>
        <w:ind w:left="3200" w:hanging="360"/>
      </w:pPr>
      <w:rPr>
        <w:rFonts w:ascii="Noto Sans Symbols" w:eastAsia="Noto Sans Symbols" w:hAnsi="Noto Sans Symbols" w:cs="Noto Sans Symbols"/>
      </w:rPr>
    </w:lvl>
    <w:lvl w:ilvl="4">
      <w:start w:val="1"/>
      <w:numFmt w:val="bullet"/>
      <w:lvlText w:val="o"/>
      <w:lvlJc w:val="left"/>
      <w:pPr>
        <w:ind w:left="3920" w:hanging="360"/>
      </w:pPr>
      <w:rPr>
        <w:rFonts w:ascii="Courier New" w:eastAsia="Courier New" w:hAnsi="Courier New" w:cs="Courier New"/>
      </w:rPr>
    </w:lvl>
    <w:lvl w:ilvl="5">
      <w:start w:val="1"/>
      <w:numFmt w:val="bullet"/>
      <w:lvlText w:val="▪"/>
      <w:lvlJc w:val="left"/>
      <w:pPr>
        <w:ind w:left="4640" w:hanging="360"/>
      </w:pPr>
      <w:rPr>
        <w:rFonts w:ascii="Noto Sans Symbols" w:eastAsia="Noto Sans Symbols" w:hAnsi="Noto Sans Symbols" w:cs="Noto Sans Symbols"/>
      </w:rPr>
    </w:lvl>
    <w:lvl w:ilvl="6">
      <w:start w:val="1"/>
      <w:numFmt w:val="bullet"/>
      <w:lvlText w:val="●"/>
      <w:lvlJc w:val="left"/>
      <w:pPr>
        <w:ind w:left="5360" w:hanging="360"/>
      </w:pPr>
      <w:rPr>
        <w:rFonts w:ascii="Noto Sans Symbols" w:eastAsia="Noto Sans Symbols" w:hAnsi="Noto Sans Symbols" w:cs="Noto Sans Symbols"/>
      </w:rPr>
    </w:lvl>
    <w:lvl w:ilvl="7">
      <w:start w:val="1"/>
      <w:numFmt w:val="bullet"/>
      <w:lvlText w:val="o"/>
      <w:lvlJc w:val="left"/>
      <w:pPr>
        <w:ind w:left="6080" w:hanging="360"/>
      </w:pPr>
      <w:rPr>
        <w:rFonts w:ascii="Courier New" w:eastAsia="Courier New" w:hAnsi="Courier New" w:cs="Courier New"/>
      </w:rPr>
    </w:lvl>
    <w:lvl w:ilvl="8">
      <w:start w:val="1"/>
      <w:numFmt w:val="bullet"/>
      <w:lvlText w:val="▪"/>
      <w:lvlJc w:val="left"/>
      <w:pPr>
        <w:ind w:left="6800" w:hanging="360"/>
      </w:pPr>
      <w:rPr>
        <w:rFonts w:ascii="Noto Sans Symbols" w:eastAsia="Noto Sans Symbols" w:hAnsi="Noto Sans Symbols" w:cs="Noto Sans Symbols"/>
      </w:rPr>
    </w:lvl>
  </w:abstractNum>
  <w:abstractNum w:abstractNumId="2" w15:restartNumberingAfterBreak="0">
    <w:nsid w:val="3D314E60"/>
    <w:multiLevelType w:val="multilevel"/>
    <w:tmpl w:val="22428440"/>
    <w:lvl w:ilvl="0">
      <w:start w:val="1"/>
      <w:numFmt w:val="bullet"/>
      <w:lvlText w:val="●"/>
      <w:lvlJc w:val="left"/>
      <w:pPr>
        <w:ind w:left="2082" w:hanging="360"/>
      </w:pPr>
      <w:rPr>
        <w:rFonts w:ascii="Noto Sans Symbols" w:eastAsia="Noto Sans Symbols" w:hAnsi="Noto Sans Symbols" w:cs="Noto Sans Symbols"/>
      </w:rPr>
    </w:lvl>
    <w:lvl w:ilvl="1">
      <w:start w:val="1"/>
      <w:numFmt w:val="bullet"/>
      <w:pStyle w:val="Bezmezer"/>
      <w:lvlText w:val="o"/>
      <w:lvlJc w:val="left"/>
      <w:pPr>
        <w:ind w:left="2802" w:hanging="360"/>
      </w:pPr>
      <w:rPr>
        <w:rFonts w:ascii="Courier New" w:eastAsia="Courier New" w:hAnsi="Courier New" w:cs="Courier New"/>
      </w:rPr>
    </w:lvl>
    <w:lvl w:ilvl="2">
      <w:start w:val="1"/>
      <w:numFmt w:val="bullet"/>
      <w:pStyle w:val="PODLNEK"/>
      <w:lvlText w:val="▪"/>
      <w:lvlJc w:val="left"/>
      <w:pPr>
        <w:ind w:left="3522" w:hanging="360"/>
      </w:pPr>
      <w:rPr>
        <w:rFonts w:ascii="Noto Sans Symbols" w:eastAsia="Noto Sans Symbols" w:hAnsi="Noto Sans Symbols" w:cs="Noto Sans Symbols"/>
      </w:rPr>
    </w:lvl>
    <w:lvl w:ilvl="3">
      <w:start w:val="1"/>
      <w:numFmt w:val="bullet"/>
      <w:lvlText w:val="●"/>
      <w:lvlJc w:val="left"/>
      <w:pPr>
        <w:ind w:left="4242" w:hanging="360"/>
      </w:pPr>
      <w:rPr>
        <w:rFonts w:ascii="Noto Sans Symbols" w:eastAsia="Noto Sans Symbols" w:hAnsi="Noto Sans Symbols" w:cs="Noto Sans Symbols"/>
      </w:rPr>
    </w:lvl>
    <w:lvl w:ilvl="4">
      <w:start w:val="1"/>
      <w:numFmt w:val="bullet"/>
      <w:lvlText w:val="o"/>
      <w:lvlJc w:val="left"/>
      <w:pPr>
        <w:ind w:left="4962" w:hanging="360"/>
      </w:pPr>
      <w:rPr>
        <w:rFonts w:ascii="Courier New" w:eastAsia="Courier New" w:hAnsi="Courier New" w:cs="Courier New"/>
      </w:rPr>
    </w:lvl>
    <w:lvl w:ilvl="5">
      <w:start w:val="1"/>
      <w:numFmt w:val="bullet"/>
      <w:lvlText w:val="▪"/>
      <w:lvlJc w:val="left"/>
      <w:pPr>
        <w:ind w:left="5682" w:hanging="360"/>
      </w:pPr>
      <w:rPr>
        <w:rFonts w:ascii="Noto Sans Symbols" w:eastAsia="Noto Sans Symbols" w:hAnsi="Noto Sans Symbols" w:cs="Noto Sans Symbols"/>
      </w:rPr>
    </w:lvl>
    <w:lvl w:ilvl="6">
      <w:start w:val="1"/>
      <w:numFmt w:val="bullet"/>
      <w:lvlText w:val="●"/>
      <w:lvlJc w:val="left"/>
      <w:pPr>
        <w:ind w:left="6402" w:hanging="360"/>
      </w:pPr>
      <w:rPr>
        <w:rFonts w:ascii="Noto Sans Symbols" w:eastAsia="Noto Sans Symbols" w:hAnsi="Noto Sans Symbols" w:cs="Noto Sans Symbols"/>
      </w:rPr>
    </w:lvl>
    <w:lvl w:ilvl="7">
      <w:start w:val="1"/>
      <w:numFmt w:val="bullet"/>
      <w:lvlText w:val="o"/>
      <w:lvlJc w:val="left"/>
      <w:pPr>
        <w:ind w:left="7122" w:hanging="360"/>
      </w:pPr>
      <w:rPr>
        <w:rFonts w:ascii="Courier New" w:eastAsia="Courier New" w:hAnsi="Courier New" w:cs="Courier New"/>
      </w:rPr>
    </w:lvl>
    <w:lvl w:ilvl="8">
      <w:start w:val="1"/>
      <w:numFmt w:val="bullet"/>
      <w:lvlText w:val="▪"/>
      <w:lvlJc w:val="left"/>
      <w:pPr>
        <w:ind w:left="7842" w:hanging="360"/>
      </w:pPr>
      <w:rPr>
        <w:rFonts w:ascii="Noto Sans Symbols" w:eastAsia="Noto Sans Symbols" w:hAnsi="Noto Sans Symbols" w:cs="Noto Sans Symbols"/>
      </w:rPr>
    </w:lvl>
  </w:abstractNum>
  <w:abstractNum w:abstractNumId="3" w15:restartNumberingAfterBreak="0">
    <w:nsid w:val="3D50745D"/>
    <w:multiLevelType w:val="multilevel"/>
    <w:tmpl w:val="CF9C3C2C"/>
    <w:lvl w:ilvl="0">
      <w:start w:val="1"/>
      <w:numFmt w:val="bullet"/>
      <w:pStyle w:val="lneksmlouvynadpis"/>
      <w:lvlText w:val="-"/>
      <w:lvlJc w:val="left"/>
      <w:pPr>
        <w:ind w:left="1514" w:hanging="360"/>
      </w:pPr>
      <w:rPr>
        <w:rFonts w:ascii="Arial" w:eastAsia="Arial" w:hAnsi="Arial" w:cs="Arial"/>
      </w:rPr>
    </w:lvl>
    <w:lvl w:ilvl="1">
      <w:start w:val="1"/>
      <w:numFmt w:val="bullet"/>
      <w:pStyle w:val="lneksmlouvy"/>
      <w:lvlText w:val="o"/>
      <w:lvlJc w:val="left"/>
      <w:pPr>
        <w:ind w:left="2234" w:hanging="360"/>
      </w:pPr>
      <w:rPr>
        <w:rFonts w:ascii="Courier New" w:eastAsia="Courier New" w:hAnsi="Courier New" w:cs="Courier New"/>
      </w:rPr>
    </w:lvl>
    <w:lvl w:ilvl="2">
      <w:start w:val="1"/>
      <w:numFmt w:val="bullet"/>
      <w:lvlText w:val="▪"/>
      <w:lvlJc w:val="left"/>
      <w:pPr>
        <w:ind w:left="2954" w:hanging="360"/>
      </w:pPr>
      <w:rPr>
        <w:rFonts w:ascii="Noto Sans Symbols" w:eastAsia="Noto Sans Symbols" w:hAnsi="Noto Sans Symbols" w:cs="Noto Sans Symbols"/>
      </w:rPr>
    </w:lvl>
    <w:lvl w:ilvl="3">
      <w:start w:val="1"/>
      <w:numFmt w:val="bullet"/>
      <w:lvlText w:val="●"/>
      <w:lvlJc w:val="left"/>
      <w:pPr>
        <w:ind w:left="3674" w:hanging="360"/>
      </w:pPr>
      <w:rPr>
        <w:rFonts w:ascii="Noto Sans Symbols" w:eastAsia="Noto Sans Symbols" w:hAnsi="Noto Sans Symbols" w:cs="Noto Sans Symbols"/>
      </w:rPr>
    </w:lvl>
    <w:lvl w:ilvl="4">
      <w:start w:val="1"/>
      <w:numFmt w:val="bullet"/>
      <w:lvlText w:val="o"/>
      <w:lvlJc w:val="left"/>
      <w:pPr>
        <w:ind w:left="4394" w:hanging="360"/>
      </w:pPr>
      <w:rPr>
        <w:rFonts w:ascii="Courier New" w:eastAsia="Courier New" w:hAnsi="Courier New" w:cs="Courier New"/>
      </w:rPr>
    </w:lvl>
    <w:lvl w:ilvl="5">
      <w:start w:val="1"/>
      <w:numFmt w:val="bullet"/>
      <w:lvlText w:val="▪"/>
      <w:lvlJc w:val="left"/>
      <w:pPr>
        <w:ind w:left="5114" w:hanging="360"/>
      </w:pPr>
      <w:rPr>
        <w:rFonts w:ascii="Noto Sans Symbols" w:eastAsia="Noto Sans Symbols" w:hAnsi="Noto Sans Symbols" w:cs="Noto Sans Symbols"/>
      </w:rPr>
    </w:lvl>
    <w:lvl w:ilvl="6">
      <w:start w:val="1"/>
      <w:numFmt w:val="bullet"/>
      <w:lvlText w:val="●"/>
      <w:lvlJc w:val="left"/>
      <w:pPr>
        <w:ind w:left="5834" w:hanging="360"/>
      </w:pPr>
      <w:rPr>
        <w:rFonts w:ascii="Noto Sans Symbols" w:eastAsia="Noto Sans Symbols" w:hAnsi="Noto Sans Symbols" w:cs="Noto Sans Symbols"/>
      </w:rPr>
    </w:lvl>
    <w:lvl w:ilvl="7">
      <w:start w:val="1"/>
      <w:numFmt w:val="bullet"/>
      <w:lvlText w:val="o"/>
      <w:lvlJc w:val="left"/>
      <w:pPr>
        <w:ind w:left="6554" w:hanging="360"/>
      </w:pPr>
      <w:rPr>
        <w:rFonts w:ascii="Courier New" w:eastAsia="Courier New" w:hAnsi="Courier New" w:cs="Courier New"/>
      </w:rPr>
    </w:lvl>
    <w:lvl w:ilvl="8">
      <w:start w:val="1"/>
      <w:numFmt w:val="bullet"/>
      <w:lvlText w:val="▪"/>
      <w:lvlJc w:val="left"/>
      <w:pPr>
        <w:ind w:left="7274" w:hanging="360"/>
      </w:pPr>
      <w:rPr>
        <w:rFonts w:ascii="Noto Sans Symbols" w:eastAsia="Noto Sans Symbols" w:hAnsi="Noto Sans Symbols" w:cs="Noto Sans Symbols"/>
      </w:rPr>
    </w:lvl>
  </w:abstractNum>
  <w:abstractNum w:abstractNumId="4" w15:restartNumberingAfterBreak="0">
    <w:nsid w:val="40E732A8"/>
    <w:multiLevelType w:val="multilevel"/>
    <w:tmpl w:val="100E6270"/>
    <w:lvl w:ilvl="0">
      <w:start w:val="1"/>
      <w:numFmt w:val="upperLetter"/>
      <w:pStyle w:val="Textodstavce"/>
      <w:lvlText w:val="(%1)"/>
      <w:lvlJc w:val="left"/>
      <w:pPr>
        <w:ind w:left="680" w:hanging="680"/>
      </w:pPr>
      <w:rPr>
        <w:b/>
        <w:i w:val="0"/>
        <w:smallCaps w:val="0"/>
        <w:strike w:val="0"/>
        <w:color w:val="000000"/>
        <w:u w:val="none"/>
        <w:vertAlign w:val="baseline"/>
      </w:rPr>
    </w:lvl>
    <w:lvl w:ilvl="1">
      <w:start w:val="1"/>
      <w:numFmt w:val="lowerLetter"/>
      <w:pStyle w:val="Textpsmene"/>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7C10D91"/>
    <w:multiLevelType w:val="multilevel"/>
    <w:tmpl w:val="3342D3D2"/>
    <w:lvl w:ilvl="0">
      <w:start w:val="1"/>
      <w:numFmt w:val="lowerLetter"/>
      <w:pStyle w:val="AKFZsmlouvaslovn"/>
      <w:lvlText w:val="%1)"/>
      <w:lvlJc w:val="left"/>
      <w:pPr>
        <w:ind w:left="1170" w:hanging="360"/>
      </w:pPr>
    </w:lvl>
    <w:lvl w:ilvl="1">
      <w:start w:val="1"/>
      <w:numFmt w:val="lowerLetter"/>
      <w:pStyle w:val="AKFZlnektext"/>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6" w15:restartNumberingAfterBreak="0">
    <w:nsid w:val="4DB602C4"/>
    <w:multiLevelType w:val="multilevel"/>
    <w:tmpl w:val="927AE098"/>
    <w:lvl w:ilvl="0">
      <w:start w:val="1"/>
      <w:numFmt w:val="decimal"/>
      <w:pStyle w:val="AKFZFnovodrk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2990DBF"/>
    <w:multiLevelType w:val="multilevel"/>
    <w:tmpl w:val="14E61EF2"/>
    <w:lvl w:ilvl="0">
      <w:start w:val="1"/>
      <w:numFmt w:val="decimal"/>
      <w:pStyle w:val="AKFZFnovNadpis1"/>
      <w:lvlText w:val="%1."/>
      <w:lvlJc w:val="left"/>
      <w:pPr>
        <w:ind w:left="680" w:hanging="680"/>
      </w:pPr>
      <w:rPr>
        <w:b/>
        <w:i w:val="0"/>
        <w:smallCaps w:val="0"/>
        <w:strike w:val="0"/>
        <w:color w:val="000000"/>
        <w:u w:val="none"/>
        <w:vertAlign w:val="baseline"/>
      </w:rPr>
    </w:lvl>
    <w:lvl w:ilvl="1">
      <w:start w:val="1"/>
      <w:numFmt w:val="decimal"/>
      <w:pStyle w:val="AKFZFnovnadpis2"/>
      <w:lvlText w:val="%1.%2"/>
      <w:lvlJc w:val="left"/>
      <w:pPr>
        <w:ind w:left="680" w:hanging="680"/>
      </w:pPr>
      <w:rPr>
        <w:b w:val="0"/>
        <w:i w:val="0"/>
        <w:smallCaps w:val="0"/>
        <w:strike w:val="0"/>
        <w:color w:val="000000"/>
        <w:u w:val="none"/>
        <w:vertAlign w:val="baseline"/>
      </w:rPr>
    </w:lvl>
    <w:lvl w:ilvl="2">
      <w:start w:val="1"/>
      <w:numFmt w:val="decimal"/>
      <w:pStyle w:val="AKFZFnovnadpis3"/>
      <w:lvlText w:val="%1.%2.%3"/>
      <w:lvlJc w:val="left"/>
      <w:pPr>
        <w:ind w:left="794" w:hanging="794"/>
      </w:pPr>
      <w:rPr>
        <w:b w:val="0"/>
        <w:i w:val="0"/>
        <w:smallCaps w:val="0"/>
        <w:strike w:val="0"/>
        <w:color w:val="000000"/>
        <w:u w:val="none"/>
        <w:vertAlign w:val="baseline"/>
      </w:rPr>
    </w:lvl>
    <w:lvl w:ilvl="3">
      <w:start w:val="1"/>
      <w:numFmt w:val="lowerLetter"/>
      <w:pStyle w:val="AKFZFnovnadpis4"/>
      <w:lvlText w:val="(%4)"/>
      <w:lvlJc w:val="left"/>
      <w:pPr>
        <w:ind w:left="1871" w:hanging="397"/>
      </w:pPr>
      <w:rPr>
        <w:b w:val="0"/>
        <w:i w:val="0"/>
        <w:smallCaps w:val="0"/>
        <w:strike w:val="0"/>
        <w:color w:val="000000"/>
        <w:u w:val="none"/>
        <w:vertAlign w:val="baseline"/>
      </w:rPr>
    </w:lvl>
    <w:lvl w:ilvl="4">
      <w:start w:val="1"/>
      <w:numFmt w:val="lowerRoman"/>
      <w:pStyle w:val="AKFZFnovnadpis5"/>
      <w:lvlText w:val="(%5)"/>
      <w:lvlJc w:val="left"/>
      <w:pPr>
        <w:ind w:left="2211" w:hanging="340"/>
      </w:pPr>
      <w:rPr>
        <w:rFonts w:ascii="Arial" w:eastAsia="Arial" w:hAnsi="Arial" w:cs="Arial"/>
        <w:b w:val="0"/>
        <w:i w:val="0"/>
        <w:smallCaps w:val="0"/>
        <w:strike w:val="0"/>
        <w:color w:val="000000"/>
        <w:sz w:val="22"/>
        <w:szCs w:val="22"/>
        <w:u w:val="none"/>
        <w:vertAlign w:val="baseline"/>
      </w:rPr>
    </w:lvl>
    <w:lvl w:ilvl="5">
      <w:start w:val="1"/>
      <w:numFmt w:val="decimal"/>
      <w:pStyle w:val="AKFZFnovnadpis6"/>
      <w:lvlText w:val=""/>
      <w:lvlJc w:val="left"/>
      <w:pPr>
        <w:ind w:left="737" w:hanging="737"/>
      </w:pPr>
    </w:lvl>
    <w:lvl w:ilvl="6">
      <w:start w:val="1"/>
      <w:numFmt w:val="decimal"/>
      <w:lvlText w:val=""/>
      <w:lvlJc w:val="left"/>
      <w:pPr>
        <w:ind w:left="1134" w:hanging="1134"/>
      </w:pPr>
      <w:rPr>
        <w:color w:val="000000"/>
      </w:rPr>
    </w:lvl>
    <w:lvl w:ilvl="7">
      <w:start w:val="1"/>
      <w:numFmt w:val="decimal"/>
      <w:lvlText w:val=""/>
      <w:lvlJc w:val="left"/>
      <w:pPr>
        <w:ind w:left="1701" w:hanging="1701"/>
      </w:pPr>
    </w:lvl>
    <w:lvl w:ilvl="8">
      <w:start w:val="1"/>
      <w:numFmt w:val="decimal"/>
      <w:lvlText w:val=""/>
      <w:lvlJc w:val="left"/>
      <w:pPr>
        <w:ind w:left="0" w:firstLine="0"/>
      </w:pPr>
    </w:lvl>
  </w:abstractNum>
  <w:num w:numId="1" w16cid:durableId="834345110">
    <w:abstractNumId w:val="4"/>
  </w:num>
  <w:num w:numId="2" w16cid:durableId="1363633608">
    <w:abstractNumId w:val="2"/>
  </w:num>
  <w:num w:numId="3" w16cid:durableId="1295870690">
    <w:abstractNumId w:val="0"/>
  </w:num>
  <w:num w:numId="4" w16cid:durableId="634413739">
    <w:abstractNumId w:val="5"/>
  </w:num>
  <w:num w:numId="5" w16cid:durableId="1772816719">
    <w:abstractNumId w:val="1"/>
  </w:num>
  <w:num w:numId="6" w16cid:durableId="1693264896">
    <w:abstractNumId w:val="3"/>
  </w:num>
  <w:num w:numId="7" w16cid:durableId="1849901609">
    <w:abstractNumId w:val="7"/>
  </w:num>
  <w:num w:numId="8" w16cid:durableId="1399012637">
    <w:abstractNumId w:val="6"/>
  </w:num>
  <w:num w:numId="9" w16cid:durableId="10498370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757406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00234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62D"/>
    <w:rsid w:val="005A5880"/>
    <w:rsid w:val="0089562D"/>
    <w:rsid w:val="00A30C5A"/>
    <w:rsid w:val="00AD5B8E"/>
    <w:rsid w:val="00C95D49"/>
    <w:rsid w:val="00F772D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C73F6"/>
  <w15:docId w15:val="{7E9FE9A1-0811-443E-A7FD-42B1F1FD4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cs" w:eastAsia="cs-CZ" w:bidi="ar-SA"/>
      </w:rPr>
    </w:rPrDefault>
    <w:pPrDefault>
      <w:pPr>
        <w:spacing w:after="100"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spacing w:after="120"/>
      <w:jc w:val="center"/>
      <w:outlineLvl w:val="0"/>
    </w:pPr>
    <w:rPr>
      <w:rFonts w:ascii="Arial" w:eastAsia="Arial" w:hAnsi="Arial" w:cs="Arial"/>
      <w:b/>
      <w:sz w:val="28"/>
      <w:szCs w:val="2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paragraph" w:styleId="Nadpis9">
    <w:name w:val="heading 9"/>
    <w:link w:val="Nadpis9Char"/>
    <w:uiPriority w:val="99"/>
    <w:qFormat/>
    <w:rsid w:val="0068332F"/>
    <w:pPr>
      <w:keepNext/>
      <w:keepLines/>
      <w:spacing w:before="40" w:after="0"/>
      <w:outlineLvl w:val="8"/>
    </w:pPr>
    <w:rPr>
      <w:rFonts w:ascii="Cambria" w:eastAsia="Times New Roman" w:hAnsi="Cambria" w:cs="Cambria"/>
      <w:i/>
      <w:iCs/>
      <w:color w:val="272727"/>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spacing w:after="120"/>
    </w:pPr>
    <w:rPr>
      <w:rFonts w:ascii="Arial" w:eastAsia="Arial" w:hAnsi="Arial" w:cs="Arial"/>
      <w:b/>
      <w:sz w:val="20"/>
      <w:szCs w:val="20"/>
    </w:rPr>
  </w:style>
  <w:style w:type="character" w:customStyle="1" w:styleId="Nadpis1Char">
    <w:name w:val="Nadpis 1 Char"/>
    <w:basedOn w:val="Standardnpsmoodstavce"/>
    <w:uiPriority w:val="99"/>
    <w:rsid w:val="0095410E"/>
    <w:rPr>
      <w:rFonts w:ascii="Cambria" w:hAnsi="Cambria" w:cs="Cambria"/>
      <w:b/>
      <w:bCs/>
      <w:kern w:val="32"/>
      <w:sz w:val="32"/>
      <w:szCs w:val="32"/>
    </w:rPr>
  </w:style>
  <w:style w:type="character" w:customStyle="1" w:styleId="Nadpis9Char">
    <w:name w:val="Nadpis 9 Char"/>
    <w:basedOn w:val="Standardnpsmoodstavce"/>
    <w:link w:val="Nadpis9"/>
    <w:uiPriority w:val="99"/>
    <w:semiHidden/>
    <w:rsid w:val="0068332F"/>
    <w:rPr>
      <w:rFonts w:ascii="Cambria" w:hAnsi="Cambria" w:cs="Cambria"/>
      <w:i/>
      <w:iCs/>
      <w:color w:val="272727"/>
      <w:sz w:val="21"/>
      <w:szCs w:val="21"/>
    </w:rPr>
  </w:style>
  <w:style w:type="paragraph" w:styleId="Zpat">
    <w:name w:val="footer"/>
    <w:link w:val="ZpatChar"/>
    <w:uiPriority w:val="99"/>
    <w:rsid w:val="00BE0CDF"/>
    <w:pPr>
      <w:tabs>
        <w:tab w:val="center" w:pos="4536"/>
        <w:tab w:val="right" w:pos="9072"/>
      </w:tabs>
    </w:pPr>
  </w:style>
  <w:style w:type="character" w:customStyle="1" w:styleId="ZpatChar">
    <w:name w:val="Zápatí Char"/>
    <w:basedOn w:val="Standardnpsmoodstavce"/>
    <w:link w:val="Zpat"/>
    <w:uiPriority w:val="99"/>
    <w:rsid w:val="00EF3996"/>
    <w:rPr>
      <w:sz w:val="24"/>
      <w:szCs w:val="24"/>
    </w:rPr>
  </w:style>
  <w:style w:type="character" w:styleId="slostrnky">
    <w:name w:val="page number"/>
    <w:basedOn w:val="Standardnpsmoodstavce"/>
    <w:uiPriority w:val="99"/>
    <w:rsid w:val="00BE0CDF"/>
  </w:style>
  <w:style w:type="paragraph" w:customStyle="1" w:styleId="Char4CharCharCharCharChar">
    <w:name w:val="Char4 Char Char Char Char Char"/>
    <w:uiPriority w:val="99"/>
    <w:rsid w:val="00BE0CDF"/>
    <w:pPr>
      <w:widowControl w:val="0"/>
      <w:adjustRightInd w:val="0"/>
      <w:spacing w:after="160" w:line="240" w:lineRule="exact"/>
      <w:textAlignment w:val="baseline"/>
    </w:pPr>
    <w:rPr>
      <w:rFonts w:ascii="Times New Roman Bold" w:hAnsi="Times New Roman Bold" w:cs="Times New Roman Bold"/>
      <w:sz w:val="22"/>
      <w:szCs w:val="22"/>
      <w:lang w:val="sk-SK" w:eastAsia="en-US"/>
    </w:rPr>
  </w:style>
  <w:style w:type="paragraph" w:styleId="Zkladntext">
    <w:name w:val="Body Text"/>
    <w:link w:val="ZkladntextChar"/>
    <w:uiPriority w:val="99"/>
    <w:rsid w:val="00BE0CDF"/>
    <w:pPr>
      <w:tabs>
        <w:tab w:val="decimal" w:pos="5400"/>
        <w:tab w:val="left" w:pos="5580"/>
      </w:tabs>
    </w:pPr>
  </w:style>
  <w:style w:type="character" w:customStyle="1" w:styleId="ZkladntextChar">
    <w:name w:val="Základní text Char"/>
    <w:basedOn w:val="Standardnpsmoodstavce"/>
    <w:link w:val="Zkladntext"/>
    <w:uiPriority w:val="99"/>
    <w:semiHidden/>
    <w:rsid w:val="0095410E"/>
    <w:rPr>
      <w:sz w:val="24"/>
      <w:szCs w:val="24"/>
    </w:rPr>
  </w:style>
  <w:style w:type="paragraph" w:styleId="Zhlav">
    <w:name w:val="header"/>
    <w:link w:val="ZhlavChar"/>
    <w:uiPriority w:val="99"/>
    <w:rsid w:val="00BE0CDF"/>
    <w:pPr>
      <w:tabs>
        <w:tab w:val="center" w:pos="4536"/>
        <w:tab w:val="right" w:pos="9072"/>
      </w:tabs>
    </w:pPr>
  </w:style>
  <w:style w:type="character" w:customStyle="1" w:styleId="ZhlavChar">
    <w:name w:val="Záhlaví Char"/>
    <w:basedOn w:val="Standardnpsmoodstavce"/>
    <w:link w:val="Zhlav"/>
    <w:uiPriority w:val="99"/>
    <w:semiHidden/>
    <w:rsid w:val="0095410E"/>
    <w:rPr>
      <w:sz w:val="24"/>
      <w:szCs w:val="24"/>
    </w:rPr>
  </w:style>
  <w:style w:type="paragraph" w:styleId="Zkladntextodsazen">
    <w:name w:val="Body Text Indent"/>
    <w:link w:val="ZkladntextodsazenChar"/>
    <w:uiPriority w:val="99"/>
    <w:rsid w:val="00BE0CDF"/>
    <w:pPr>
      <w:tabs>
        <w:tab w:val="left" w:pos="900"/>
      </w:tabs>
      <w:ind w:firstLine="540"/>
    </w:pPr>
    <w:rPr>
      <w:rFonts w:ascii="Arial" w:hAnsi="Arial" w:cs="Arial"/>
      <w:sz w:val="22"/>
      <w:szCs w:val="22"/>
    </w:rPr>
  </w:style>
  <w:style w:type="character" w:customStyle="1" w:styleId="ZkladntextodsazenChar">
    <w:name w:val="Základní text odsazený Char"/>
    <w:basedOn w:val="Standardnpsmoodstavce"/>
    <w:link w:val="Zkladntextodsazen"/>
    <w:uiPriority w:val="99"/>
    <w:semiHidden/>
    <w:rsid w:val="0095410E"/>
    <w:rPr>
      <w:sz w:val="24"/>
      <w:szCs w:val="24"/>
    </w:rPr>
  </w:style>
  <w:style w:type="paragraph" w:styleId="Zkladntextodsazen2">
    <w:name w:val="Body Text Indent 2"/>
    <w:link w:val="Zkladntextodsazen2Char"/>
    <w:uiPriority w:val="99"/>
    <w:rsid w:val="00BE0CDF"/>
    <w:pPr>
      <w:tabs>
        <w:tab w:val="left" w:pos="540"/>
        <w:tab w:val="left" w:pos="567"/>
      </w:tabs>
      <w:ind w:left="540" w:hanging="540"/>
    </w:pPr>
    <w:rPr>
      <w:rFonts w:ascii="Arial" w:hAnsi="Arial" w:cs="Arial"/>
      <w:sz w:val="22"/>
      <w:szCs w:val="22"/>
    </w:rPr>
  </w:style>
  <w:style w:type="character" w:customStyle="1" w:styleId="Zkladntextodsazen2Char">
    <w:name w:val="Základní text odsazený 2 Char"/>
    <w:basedOn w:val="Standardnpsmoodstavce"/>
    <w:link w:val="Zkladntextodsazen2"/>
    <w:uiPriority w:val="99"/>
    <w:semiHidden/>
    <w:rsid w:val="0095410E"/>
    <w:rPr>
      <w:sz w:val="24"/>
      <w:szCs w:val="24"/>
    </w:rPr>
  </w:style>
  <w:style w:type="paragraph" w:styleId="Zkladntext2">
    <w:name w:val="Body Text 2"/>
    <w:link w:val="Zkladntext2Char"/>
    <w:uiPriority w:val="99"/>
    <w:rsid w:val="00BE0CDF"/>
    <w:pPr>
      <w:spacing w:before="120"/>
    </w:pPr>
    <w:rPr>
      <w:rFonts w:ascii="Arial" w:hAnsi="Arial" w:cs="Arial"/>
      <w:sz w:val="22"/>
      <w:szCs w:val="22"/>
    </w:rPr>
  </w:style>
  <w:style w:type="character" w:customStyle="1" w:styleId="Zkladntext2Char">
    <w:name w:val="Základní text 2 Char"/>
    <w:basedOn w:val="Standardnpsmoodstavce"/>
    <w:link w:val="Zkladntext2"/>
    <w:uiPriority w:val="99"/>
    <w:rsid w:val="0021498F"/>
    <w:rPr>
      <w:rFonts w:ascii="Arial" w:hAnsi="Arial" w:cs="Arial"/>
      <w:sz w:val="24"/>
      <w:szCs w:val="24"/>
      <w:lang w:val="cs-CZ" w:eastAsia="cs-CZ"/>
    </w:rPr>
  </w:style>
  <w:style w:type="character" w:customStyle="1" w:styleId="NzevChar">
    <w:name w:val="Název Char"/>
    <w:basedOn w:val="Standardnpsmoodstavce"/>
    <w:uiPriority w:val="99"/>
    <w:rsid w:val="0095410E"/>
    <w:rPr>
      <w:rFonts w:ascii="Cambria" w:hAnsi="Cambria" w:cs="Cambria"/>
      <w:b/>
      <w:bCs/>
      <w:kern w:val="28"/>
      <w:sz w:val="32"/>
      <w:szCs w:val="32"/>
    </w:rPr>
  </w:style>
  <w:style w:type="character" w:styleId="Hypertextovodkaz">
    <w:name w:val="Hyperlink"/>
    <w:basedOn w:val="Standardnpsmoodstavce"/>
    <w:uiPriority w:val="99"/>
    <w:rsid w:val="00D42BDF"/>
    <w:rPr>
      <w:color w:val="0000FF"/>
      <w:u w:val="single"/>
    </w:rPr>
  </w:style>
  <w:style w:type="paragraph" w:customStyle="1" w:styleId="Char4CharCharCharCharCharChar">
    <w:name w:val="Char4 Char Char Char Char Char Char"/>
    <w:uiPriority w:val="99"/>
    <w:rsid w:val="00D42BDF"/>
    <w:pPr>
      <w:widowControl w:val="0"/>
      <w:adjustRightInd w:val="0"/>
      <w:spacing w:after="160" w:line="240" w:lineRule="exact"/>
      <w:textAlignment w:val="baseline"/>
    </w:pPr>
    <w:rPr>
      <w:rFonts w:ascii="Times New Roman Bold" w:hAnsi="Times New Roman Bold" w:cs="Times New Roman Bold"/>
      <w:sz w:val="22"/>
      <w:szCs w:val="22"/>
      <w:lang w:val="sk-SK" w:eastAsia="en-US"/>
    </w:rPr>
  </w:style>
  <w:style w:type="paragraph" w:customStyle="1" w:styleId="CharChar">
    <w:name w:val="Char Char"/>
    <w:uiPriority w:val="99"/>
    <w:rsid w:val="00D42BDF"/>
    <w:pPr>
      <w:widowControl w:val="0"/>
      <w:adjustRightInd w:val="0"/>
      <w:spacing w:after="160" w:line="240" w:lineRule="exact"/>
      <w:textAlignment w:val="baseline"/>
    </w:pPr>
    <w:rPr>
      <w:rFonts w:ascii="Verdana" w:hAnsi="Verdana" w:cs="Verdana"/>
      <w:sz w:val="20"/>
      <w:szCs w:val="20"/>
      <w:lang w:val="en-US" w:eastAsia="en-US"/>
    </w:rPr>
  </w:style>
  <w:style w:type="paragraph" w:customStyle="1" w:styleId="Textpsmene">
    <w:name w:val="Text písmene"/>
    <w:uiPriority w:val="99"/>
    <w:rsid w:val="00D529D4"/>
    <w:pPr>
      <w:numPr>
        <w:ilvl w:val="1"/>
        <w:numId w:val="1"/>
      </w:numPr>
      <w:outlineLvl w:val="7"/>
    </w:pPr>
  </w:style>
  <w:style w:type="paragraph" w:customStyle="1" w:styleId="Textodstavce">
    <w:name w:val="Text odstavce"/>
    <w:uiPriority w:val="99"/>
    <w:rsid w:val="00D529D4"/>
    <w:pPr>
      <w:numPr>
        <w:numId w:val="1"/>
      </w:numPr>
      <w:tabs>
        <w:tab w:val="left" w:pos="851"/>
      </w:tabs>
      <w:spacing w:before="120" w:after="120"/>
      <w:outlineLvl w:val="6"/>
    </w:pPr>
  </w:style>
  <w:style w:type="paragraph" w:customStyle="1" w:styleId="Char4CharChar">
    <w:name w:val="Char4 Char Char"/>
    <w:uiPriority w:val="99"/>
    <w:rsid w:val="00D529D4"/>
    <w:pPr>
      <w:widowControl w:val="0"/>
      <w:adjustRightInd w:val="0"/>
      <w:spacing w:after="160" w:line="240" w:lineRule="exact"/>
      <w:textAlignment w:val="baseline"/>
    </w:pPr>
    <w:rPr>
      <w:rFonts w:ascii="Times New Roman Bold" w:hAnsi="Times New Roman Bold" w:cs="Times New Roman Bold"/>
      <w:sz w:val="22"/>
      <w:szCs w:val="22"/>
      <w:lang w:val="sk-SK" w:eastAsia="en-US"/>
    </w:rPr>
  </w:style>
  <w:style w:type="character" w:styleId="Odkaznakoment">
    <w:name w:val="annotation reference"/>
    <w:basedOn w:val="Standardnpsmoodstavce"/>
    <w:uiPriority w:val="99"/>
    <w:semiHidden/>
    <w:rsid w:val="00B97648"/>
    <w:rPr>
      <w:sz w:val="16"/>
      <w:szCs w:val="16"/>
    </w:rPr>
  </w:style>
  <w:style w:type="paragraph" w:styleId="Textkomente">
    <w:name w:val="annotation text"/>
    <w:link w:val="TextkomenteChar"/>
    <w:rsid w:val="00B97648"/>
    <w:rPr>
      <w:sz w:val="20"/>
      <w:szCs w:val="20"/>
    </w:rPr>
  </w:style>
  <w:style w:type="character" w:customStyle="1" w:styleId="TextkomenteChar">
    <w:name w:val="Text komentáře Char"/>
    <w:basedOn w:val="Standardnpsmoodstavce"/>
    <w:link w:val="Textkomente"/>
    <w:rsid w:val="00976F63"/>
  </w:style>
  <w:style w:type="paragraph" w:styleId="Pedmtkomente">
    <w:name w:val="annotation subject"/>
    <w:basedOn w:val="Textkomente"/>
    <w:next w:val="Textkomente"/>
    <w:link w:val="PedmtkomenteChar"/>
    <w:uiPriority w:val="99"/>
    <w:semiHidden/>
    <w:rsid w:val="00B97648"/>
    <w:rPr>
      <w:b/>
      <w:bCs/>
    </w:rPr>
  </w:style>
  <w:style w:type="character" w:customStyle="1" w:styleId="PedmtkomenteChar">
    <w:name w:val="Předmět komentáře Char"/>
    <w:basedOn w:val="TextkomenteChar"/>
    <w:link w:val="Pedmtkomente"/>
    <w:uiPriority w:val="99"/>
    <w:semiHidden/>
    <w:rsid w:val="00F55A76"/>
    <w:rPr>
      <w:b/>
      <w:bCs/>
    </w:rPr>
  </w:style>
  <w:style w:type="paragraph" w:styleId="Textbubliny">
    <w:name w:val="Balloon Text"/>
    <w:link w:val="TextbublinyChar"/>
    <w:uiPriority w:val="99"/>
    <w:semiHidden/>
    <w:rsid w:val="00B97648"/>
    <w:rPr>
      <w:rFonts w:ascii="Tahoma" w:hAnsi="Tahoma" w:cs="Tahoma"/>
      <w:sz w:val="16"/>
      <w:szCs w:val="16"/>
    </w:rPr>
  </w:style>
  <w:style w:type="character" w:customStyle="1" w:styleId="TextbublinyChar">
    <w:name w:val="Text bubliny Char"/>
    <w:basedOn w:val="Standardnpsmoodstavce"/>
    <w:link w:val="Textbubliny"/>
    <w:uiPriority w:val="99"/>
    <w:semiHidden/>
    <w:rsid w:val="0095410E"/>
    <w:rPr>
      <w:rFonts w:ascii="Times New Roman" w:hAnsi="Times New Roman" w:cs="Times New Roman"/>
      <w:sz w:val="2"/>
      <w:szCs w:val="2"/>
    </w:rPr>
  </w:style>
  <w:style w:type="paragraph" w:styleId="Odstavecseseznamem">
    <w:name w:val="List Paragraph"/>
    <w:aliases w:val="Nad,Odstavec_muj,Odstavec cíl se seznamem"/>
    <w:link w:val="OdstavecseseznamemChar"/>
    <w:uiPriority w:val="99"/>
    <w:qFormat/>
    <w:rsid w:val="00FF59BB"/>
    <w:pPr>
      <w:ind w:left="708"/>
    </w:pPr>
  </w:style>
  <w:style w:type="paragraph" w:customStyle="1" w:styleId="PODLNEK">
    <w:name w:val="PODČLÁNEK"/>
    <w:link w:val="PODLNEKChar"/>
    <w:uiPriority w:val="99"/>
    <w:rsid w:val="0016649D"/>
    <w:pPr>
      <w:numPr>
        <w:ilvl w:val="2"/>
        <w:numId w:val="2"/>
      </w:numPr>
      <w:spacing w:after="120"/>
      <w:ind w:left="1134" w:hanging="708"/>
    </w:pPr>
    <w:rPr>
      <w:rFonts w:ascii="Arial" w:hAnsi="Arial" w:cs="Arial"/>
      <w:sz w:val="20"/>
      <w:szCs w:val="20"/>
    </w:rPr>
  </w:style>
  <w:style w:type="paragraph" w:styleId="Bezmezer">
    <w:name w:val="No Spacing"/>
    <w:aliases w:val="ČLÁNEK"/>
    <w:basedOn w:val="PODLNEK"/>
    <w:uiPriority w:val="99"/>
    <w:qFormat/>
    <w:rsid w:val="001A6192"/>
    <w:pPr>
      <w:numPr>
        <w:ilvl w:val="1"/>
      </w:numPr>
    </w:pPr>
  </w:style>
  <w:style w:type="character" w:customStyle="1" w:styleId="PODLNEKChar">
    <w:name w:val="PODČLÁNEK Char"/>
    <w:link w:val="PODLNEK"/>
    <w:uiPriority w:val="99"/>
    <w:rsid w:val="0016649D"/>
    <w:rPr>
      <w:rFonts w:ascii="Arial" w:hAnsi="Arial" w:cs="Arial"/>
      <w:sz w:val="20"/>
      <w:szCs w:val="20"/>
    </w:rPr>
  </w:style>
  <w:style w:type="character" w:customStyle="1" w:styleId="PodnadpisChar">
    <w:name w:val="Podnadpis Char"/>
    <w:aliases w:val="NADPIS ČLÁNKU Char"/>
    <w:basedOn w:val="Standardnpsmoodstavce"/>
    <w:uiPriority w:val="99"/>
    <w:rsid w:val="001A6192"/>
    <w:rPr>
      <w:rFonts w:ascii="Arial" w:hAnsi="Arial" w:cs="Arial"/>
      <w:b/>
      <w:bCs/>
      <w:sz w:val="20"/>
      <w:szCs w:val="20"/>
    </w:rPr>
  </w:style>
  <w:style w:type="paragraph" w:styleId="Revize">
    <w:name w:val="Revision"/>
    <w:hidden/>
    <w:uiPriority w:val="99"/>
    <w:semiHidden/>
    <w:rsid w:val="005159EB"/>
  </w:style>
  <w:style w:type="table" w:styleId="Mkatabulky">
    <w:name w:val="Table Grid"/>
    <w:basedOn w:val="Normlntabulka"/>
    <w:uiPriority w:val="99"/>
    <w:rsid w:val="00BF432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tlivek">
    <w:name w:val="endnote text"/>
    <w:link w:val="TextvysvtlivekChar"/>
    <w:uiPriority w:val="99"/>
    <w:semiHidden/>
    <w:rsid w:val="00250245"/>
    <w:rPr>
      <w:sz w:val="20"/>
      <w:szCs w:val="20"/>
    </w:rPr>
  </w:style>
  <w:style w:type="character" w:customStyle="1" w:styleId="TextvysvtlivekChar">
    <w:name w:val="Text vysvětlivek Char"/>
    <w:basedOn w:val="Standardnpsmoodstavce"/>
    <w:link w:val="Textvysvtlivek"/>
    <w:uiPriority w:val="99"/>
    <w:semiHidden/>
    <w:rsid w:val="00250245"/>
  </w:style>
  <w:style w:type="character" w:styleId="Odkaznavysvtlivky">
    <w:name w:val="endnote reference"/>
    <w:basedOn w:val="Standardnpsmoodstavce"/>
    <w:uiPriority w:val="99"/>
    <w:semiHidden/>
    <w:rsid w:val="00250245"/>
    <w:rPr>
      <w:vertAlign w:val="superscript"/>
    </w:rPr>
  </w:style>
  <w:style w:type="paragraph" w:customStyle="1" w:styleId="RLProhlensmluvnchstran">
    <w:name w:val="RL Prohlášení smluvních stran"/>
    <w:link w:val="RLProhlensmluvnchstranChar"/>
    <w:uiPriority w:val="99"/>
    <w:rsid w:val="00FE152B"/>
    <w:pPr>
      <w:jc w:val="center"/>
    </w:pPr>
    <w:rPr>
      <w:rFonts w:ascii="Arial" w:hAnsi="Arial" w:cs="Arial"/>
      <w:b/>
      <w:bCs/>
      <w:sz w:val="22"/>
      <w:szCs w:val="22"/>
    </w:rPr>
  </w:style>
  <w:style w:type="character" w:customStyle="1" w:styleId="RLProhlensmluvnchstranChar">
    <w:name w:val="RL Prohlášení smluvních stran Char"/>
    <w:link w:val="RLProhlensmluvnchstran"/>
    <w:uiPriority w:val="99"/>
    <w:rsid w:val="00FE152B"/>
    <w:rPr>
      <w:rFonts w:ascii="Arial" w:hAnsi="Arial" w:cs="Arial"/>
      <w:b/>
      <w:bCs/>
      <w:sz w:val="22"/>
      <w:szCs w:val="22"/>
    </w:rPr>
  </w:style>
  <w:style w:type="paragraph" w:customStyle="1" w:styleId="AKFZsmlouvaslovn">
    <w:name w:val="AKFZ_smlouva_číslování"/>
    <w:next w:val="AKFZlnektext"/>
    <w:link w:val="AKFZsmlouvaslovnChar"/>
    <w:uiPriority w:val="99"/>
    <w:rsid w:val="0074200A"/>
    <w:pPr>
      <w:keepNext/>
      <w:numPr>
        <w:numId w:val="4"/>
      </w:numPr>
      <w:tabs>
        <w:tab w:val="num" w:pos="680"/>
      </w:tabs>
      <w:spacing w:before="240"/>
      <w:ind w:left="680" w:hanging="680"/>
    </w:pPr>
    <w:rPr>
      <w:rFonts w:ascii="Arial" w:hAnsi="Arial" w:cs="Arial"/>
      <w:b/>
      <w:bCs/>
      <w:caps/>
      <w:sz w:val="22"/>
      <w:szCs w:val="22"/>
    </w:rPr>
  </w:style>
  <w:style w:type="paragraph" w:customStyle="1" w:styleId="AKFZlnektext">
    <w:name w:val="AKFZ_článek_text"/>
    <w:basedOn w:val="AKFZsmlouvaslovn"/>
    <w:link w:val="AKFZlnektextChar"/>
    <w:uiPriority w:val="99"/>
    <w:rsid w:val="0074200A"/>
    <w:pPr>
      <w:keepNext w:val="0"/>
      <w:widowControl w:val="0"/>
      <w:numPr>
        <w:ilvl w:val="1"/>
      </w:numPr>
      <w:tabs>
        <w:tab w:val="num" w:pos="680"/>
      </w:tabs>
      <w:spacing w:before="0"/>
    </w:pPr>
    <w:rPr>
      <w:b w:val="0"/>
      <w:bCs w:val="0"/>
      <w:caps w:val="0"/>
      <w:sz w:val="20"/>
      <w:szCs w:val="20"/>
    </w:rPr>
  </w:style>
  <w:style w:type="character" w:customStyle="1" w:styleId="AKFZlnektextChar">
    <w:name w:val="AKFZ_článek_text Char"/>
    <w:link w:val="AKFZlnektext"/>
    <w:uiPriority w:val="99"/>
    <w:rsid w:val="0074200A"/>
    <w:rPr>
      <w:rFonts w:ascii="Arial" w:hAnsi="Arial" w:cs="Arial"/>
      <w:sz w:val="20"/>
      <w:szCs w:val="20"/>
    </w:rPr>
  </w:style>
  <w:style w:type="paragraph" w:customStyle="1" w:styleId="AKFZslovanodstavec">
    <w:name w:val="AKFZ_číslovaný odstavec"/>
    <w:basedOn w:val="AKFZFnormln"/>
    <w:uiPriority w:val="99"/>
    <w:rsid w:val="0068332F"/>
    <w:pPr>
      <w:numPr>
        <w:numId w:val="5"/>
      </w:numPr>
    </w:pPr>
  </w:style>
  <w:style w:type="paragraph" w:customStyle="1" w:styleId="AKFZFnormln">
    <w:name w:val="AKFZF_normální"/>
    <w:link w:val="AKFZFnormlnChar"/>
    <w:uiPriority w:val="99"/>
    <w:rsid w:val="0068332F"/>
    <w:rPr>
      <w:rFonts w:ascii="Arial" w:hAnsi="Arial" w:cs="Arial"/>
    </w:rPr>
  </w:style>
  <w:style w:type="character" w:customStyle="1" w:styleId="AKFZFnormlnChar">
    <w:name w:val="AKFZF_normální Char"/>
    <w:link w:val="AKFZFnormln"/>
    <w:uiPriority w:val="99"/>
    <w:rsid w:val="0068332F"/>
    <w:rPr>
      <w:rFonts w:ascii="Arial" w:hAnsi="Arial" w:cs="Arial"/>
      <w:sz w:val="22"/>
      <w:szCs w:val="22"/>
      <w:lang w:val="cs-CZ" w:eastAsia="cs-CZ"/>
    </w:rPr>
  </w:style>
  <w:style w:type="paragraph" w:customStyle="1" w:styleId="lneksmlouvy">
    <w:name w:val="článek_smlouvy"/>
    <w:basedOn w:val="AKFZFnormln"/>
    <w:uiPriority w:val="99"/>
    <w:qFormat/>
    <w:rsid w:val="0068332F"/>
    <w:pPr>
      <w:numPr>
        <w:ilvl w:val="1"/>
        <w:numId w:val="6"/>
      </w:numPr>
    </w:pPr>
  </w:style>
  <w:style w:type="paragraph" w:customStyle="1" w:styleId="lneksmlouvynadpis">
    <w:name w:val="Článek_smlouvy_nadpis"/>
    <w:basedOn w:val="AKFZFnormln"/>
    <w:uiPriority w:val="99"/>
    <w:qFormat/>
    <w:rsid w:val="0068332F"/>
    <w:pPr>
      <w:numPr>
        <w:numId w:val="6"/>
      </w:numPr>
      <w:spacing w:before="240"/>
      <w:outlineLvl w:val="0"/>
    </w:pPr>
    <w:rPr>
      <w:b/>
      <w:bCs/>
      <w:caps/>
    </w:rPr>
  </w:style>
  <w:style w:type="paragraph" w:customStyle="1" w:styleId="AKFZFdkaz">
    <w:name w:val="AKFZF_důkaz"/>
    <w:basedOn w:val="AKFZFnormln"/>
    <w:link w:val="AKFZFdkazChar"/>
    <w:uiPriority w:val="99"/>
    <w:rsid w:val="0068332F"/>
    <w:pPr>
      <w:tabs>
        <w:tab w:val="left" w:pos="851"/>
        <w:tab w:val="left" w:pos="1276"/>
      </w:tabs>
      <w:ind w:left="1276" w:hanging="1276"/>
      <w:jc w:val="left"/>
    </w:pPr>
    <w:rPr>
      <w:rFonts w:ascii="Calibri" w:hAnsi="Calibri" w:cs="Calibri"/>
    </w:rPr>
  </w:style>
  <w:style w:type="character" w:customStyle="1" w:styleId="AKFZFdkazChar">
    <w:name w:val="AKFZF_důkaz Char"/>
    <w:link w:val="AKFZFdkaz"/>
    <w:uiPriority w:val="99"/>
    <w:rsid w:val="0068332F"/>
  </w:style>
  <w:style w:type="paragraph" w:customStyle="1" w:styleId="AKFZFnovNadpis1">
    <w:name w:val="AKFZF_nový Nadpis 1"/>
    <w:basedOn w:val="AKFZFnormln"/>
    <w:uiPriority w:val="99"/>
    <w:qFormat/>
    <w:rsid w:val="0068332F"/>
    <w:pPr>
      <w:keepNext/>
      <w:numPr>
        <w:numId w:val="7"/>
      </w:numPr>
      <w:spacing w:before="240" w:after="240"/>
      <w:outlineLvl w:val="0"/>
    </w:pPr>
    <w:rPr>
      <w:b/>
      <w:bCs/>
      <w:caps/>
    </w:rPr>
  </w:style>
  <w:style w:type="paragraph" w:customStyle="1" w:styleId="AKFZFnovnadpis3">
    <w:name w:val="AKFZF_nový nadpis 3"/>
    <w:basedOn w:val="AKFZFnormln"/>
    <w:uiPriority w:val="99"/>
    <w:qFormat/>
    <w:rsid w:val="0068332F"/>
    <w:pPr>
      <w:keepNext/>
      <w:numPr>
        <w:ilvl w:val="2"/>
        <w:numId w:val="7"/>
      </w:numPr>
      <w:spacing w:before="240" w:after="240"/>
      <w:outlineLvl w:val="2"/>
    </w:pPr>
    <w:rPr>
      <w:b/>
      <w:bCs/>
    </w:rPr>
  </w:style>
  <w:style w:type="paragraph" w:customStyle="1" w:styleId="AKFZFnovnadpis2">
    <w:name w:val="AKFZF_nový nadpis 2"/>
    <w:basedOn w:val="AKFZFnormln"/>
    <w:uiPriority w:val="99"/>
    <w:qFormat/>
    <w:rsid w:val="0068332F"/>
    <w:pPr>
      <w:keepNext/>
      <w:numPr>
        <w:ilvl w:val="1"/>
        <w:numId w:val="7"/>
      </w:numPr>
      <w:spacing w:before="240" w:after="240"/>
      <w:outlineLvl w:val="1"/>
    </w:pPr>
    <w:rPr>
      <w:b/>
      <w:bCs/>
    </w:rPr>
  </w:style>
  <w:style w:type="paragraph" w:customStyle="1" w:styleId="AKFZFnovnadpis4">
    <w:name w:val="AKFZF_nový nadpis 4"/>
    <w:uiPriority w:val="99"/>
    <w:qFormat/>
    <w:rsid w:val="0068332F"/>
    <w:pPr>
      <w:keepNext/>
      <w:numPr>
        <w:ilvl w:val="3"/>
        <w:numId w:val="7"/>
      </w:numPr>
      <w:spacing w:before="240" w:after="240"/>
      <w:outlineLvl w:val="3"/>
    </w:pPr>
    <w:rPr>
      <w:rFonts w:ascii="Arial" w:hAnsi="Arial" w:cs="Arial"/>
      <w:i/>
      <w:iCs/>
      <w:sz w:val="22"/>
      <w:szCs w:val="22"/>
    </w:rPr>
  </w:style>
  <w:style w:type="paragraph" w:customStyle="1" w:styleId="AKFZFnovnadpis5">
    <w:name w:val="AKFZF_nový nadpis 5"/>
    <w:basedOn w:val="AKFZFnormln"/>
    <w:uiPriority w:val="99"/>
    <w:qFormat/>
    <w:rsid w:val="0068332F"/>
    <w:pPr>
      <w:keepNext/>
      <w:numPr>
        <w:ilvl w:val="4"/>
        <w:numId w:val="7"/>
      </w:numPr>
      <w:spacing w:before="240" w:after="240"/>
    </w:pPr>
  </w:style>
  <w:style w:type="paragraph" w:customStyle="1" w:styleId="AKFZFnovnadpis6">
    <w:name w:val="AKFZF_nový nadpis 6"/>
    <w:basedOn w:val="AKFZFnormln"/>
    <w:uiPriority w:val="99"/>
    <w:qFormat/>
    <w:rsid w:val="0068332F"/>
    <w:pPr>
      <w:keepNext/>
      <w:numPr>
        <w:ilvl w:val="5"/>
        <w:numId w:val="7"/>
      </w:numPr>
      <w:spacing w:before="240" w:after="240"/>
    </w:pPr>
    <w:rPr>
      <w:i/>
      <w:iCs/>
    </w:rPr>
  </w:style>
  <w:style w:type="paragraph" w:customStyle="1" w:styleId="AKFZFnovodrka">
    <w:name w:val="AKFZF_nová odrážka"/>
    <w:basedOn w:val="AKFZFnormln"/>
    <w:uiPriority w:val="99"/>
    <w:rsid w:val="0068332F"/>
    <w:pPr>
      <w:numPr>
        <w:numId w:val="8"/>
      </w:numPr>
    </w:pPr>
  </w:style>
  <w:style w:type="paragraph" w:customStyle="1" w:styleId="AKFZFnovpetit">
    <w:name w:val="AKFZF_nový petit"/>
    <w:basedOn w:val="AKFZFnormln"/>
    <w:uiPriority w:val="99"/>
    <w:rsid w:val="0068332F"/>
    <w:pPr>
      <w:tabs>
        <w:tab w:val="num" w:pos="720"/>
      </w:tabs>
      <w:ind w:left="720" w:hanging="720"/>
    </w:pPr>
    <w:rPr>
      <w:b/>
      <w:bCs/>
    </w:rPr>
  </w:style>
  <w:style w:type="paragraph" w:customStyle="1" w:styleId="AKFZFPreambule">
    <w:name w:val="AKFZF_Preambule"/>
    <w:uiPriority w:val="99"/>
    <w:rsid w:val="0068332F"/>
    <w:pPr>
      <w:tabs>
        <w:tab w:val="num" w:pos="720"/>
      </w:tabs>
      <w:ind w:left="720" w:hanging="720"/>
    </w:pPr>
    <w:rPr>
      <w:rFonts w:ascii="Arial" w:hAnsi="Arial" w:cs="Arial"/>
    </w:rPr>
  </w:style>
  <w:style w:type="paragraph" w:customStyle="1" w:styleId="AKFZFpodpis">
    <w:name w:val="AKFZF_podpis"/>
    <w:basedOn w:val="AKFZFnormln"/>
    <w:link w:val="AKFZFpodpisChar"/>
    <w:uiPriority w:val="99"/>
    <w:rsid w:val="0068332F"/>
    <w:pPr>
      <w:spacing w:after="0"/>
    </w:pPr>
    <w:rPr>
      <w:rFonts w:ascii="Calibri" w:hAnsi="Calibri" w:cs="Calibri"/>
    </w:rPr>
  </w:style>
  <w:style w:type="character" w:customStyle="1" w:styleId="AKFZFpodpisChar">
    <w:name w:val="AKFZF_podpis Char"/>
    <w:link w:val="AKFZFpodpis"/>
    <w:uiPriority w:val="99"/>
    <w:rsid w:val="0068332F"/>
  </w:style>
  <w:style w:type="paragraph" w:styleId="Nadpisobsahu">
    <w:name w:val="TOC Heading"/>
    <w:uiPriority w:val="99"/>
    <w:qFormat/>
    <w:rsid w:val="0068332F"/>
    <w:pPr>
      <w:keepNext/>
      <w:keepLines/>
      <w:spacing w:before="480" w:after="0" w:line="276" w:lineRule="auto"/>
      <w:jc w:val="left"/>
    </w:pPr>
    <w:rPr>
      <w:rFonts w:ascii="Cambria" w:eastAsia="Times New Roman" w:hAnsi="Cambria" w:cs="Cambria"/>
      <w:color w:val="365F91"/>
    </w:rPr>
  </w:style>
  <w:style w:type="paragraph" w:customStyle="1" w:styleId="AKFZnadpis1rovn">
    <w:name w:val="AKFZ_nadpis 1. úrovně"/>
    <w:uiPriority w:val="99"/>
    <w:rsid w:val="005F593D"/>
    <w:pPr>
      <w:tabs>
        <w:tab w:val="num" w:pos="567"/>
      </w:tabs>
      <w:spacing w:before="480" w:after="360" w:line="240" w:lineRule="auto"/>
      <w:ind w:left="567" w:hanging="567"/>
    </w:pPr>
    <w:rPr>
      <w:rFonts w:ascii="Arial" w:hAnsi="Arial" w:cs="Arial"/>
      <w:b/>
      <w:bCs/>
      <w:caps/>
      <w:sz w:val="40"/>
      <w:szCs w:val="40"/>
    </w:rPr>
  </w:style>
  <w:style w:type="paragraph" w:customStyle="1" w:styleId="AKFZNadpis2rovn">
    <w:name w:val="AKFZ Nadpis 2. úrovně"/>
    <w:uiPriority w:val="99"/>
    <w:rsid w:val="005F593D"/>
    <w:pPr>
      <w:keepNext/>
      <w:tabs>
        <w:tab w:val="num" w:pos="567"/>
      </w:tabs>
      <w:spacing w:before="360" w:after="120" w:line="240" w:lineRule="auto"/>
      <w:ind w:left="567" w:hanging="567"/>
    </w:pPr>
    <w:rPr>
      <w:rFonts w:ascii="Arial" w:hAnsi="Arial" w:cs="Arial"/>
      <w:b/>
      <w:bCs/>
      <w:caps/>
      <w:spacing w:val="20"/>
      <w:sz w:val="23"/>
      <w:szCs w:val="23"/>
    </w:rPr>
  </w:style>
  <w:style w:type="paragraph" w:customStyle="1" w:styleId="AKFZnadpis3rovn">
    <w:name w:val="AKFZ nadpis 3. úrovně"/>
    <w:next w:val="AKFZslovanodstavec"/>
    <w:uiPriority w:val="99"/>
    <w:rsid w:val="005F593D"/>
    <w:pPr>
      <w:keepNext/>
      <w:tabs>
        <w:tab w:val="num" w:pos="567"/>
      </w:tabs>
      <w:spacing w:before="360" w:after="120" w:line="240" w:lineRule="auto"/>
      <w:ind w:left="567" w:hanging="567"/>
    </w:pPr>
    <w:rPr>
      <w:rFonts w:ascii="Arial" w:hAnsi="Arial" w:cs="Arial"/>
      <w:b/>
      <w:bCs/>
      <w:sz w:val="22"/>
      <w:szCs w:val="22"/>
    </w:rPr>
  </w:style>
  <w:style w:type="character" w:customStyle="1" w:styleId="AKFZsmlouvaslovnChar">
    <w:name w:val="AKFZ_smlouva_číslování Char"/>
    <w:basedOn w:val="Standardnpsmoodstavce"/>
    <w:link w:val="AKFZsmlouvaslovn"/>
    <w:uiPriority w:val="99"/>
    <w:rsid w:val="00734CD8"/>
    <w:rPr>
      <w:rFonts w:ascii="Arial" w:hAnsi="Arial" w:cs="Arial"/>
      <w:b/>
      <w:bCs/>
      <w:caps/>
    </w:rPr>
  </w:style>
  <w:style w:type="paragraph" w:customStyle="1" w:styleId="Zkladntext21">
    <w:name w:val="Základní text 21"/>
    <w:uiPriority w:val="99"/>
    <w:rsid w:val="00246638"/>
    <w:pPr>
      <w:overflowPunct w:val="0"/>
      <w:autoSpaceDE w:val="0"/>
      <w:autoSpaceDN w:val="0"/>
      <w:adjustRightInd w:val="0"/>
      <w:spacing w:after="0" w:line="240" w:lineRule="auto"/>
    </w:pPr>
    <w:rPr>
      <w:i/>
      <w:iCs/>
      <w:sz w:val="22"/>
      <w:szCs w:val="22"/>
    </w:rPr>
  </w:style>
  <w:style w:type="numbering" w:customStyle="1" w:styleId="AKFZlneknadpis">
    <w:name w:val="AKFZ_článek nadpis"/>
    <w:rsid w:val="004F4255"/>
  </w:style>
  <w:style w:type="character" w:customStyle="1" w:styleId="OdstavecseseznamemChar">
    <w:name w:val="Odstavec se seznamem Char"/>
    <w:aliases w:val="Nad Char,Odstavec_muj Char,Odstavec cíl se seznamem Char"/>
    <w:link w:val="Odstavecseseznamem"/>
    <w:uiPriority w:val="99"/>
    <w:locked/>
    <w:rsid w:val="005E450C"/>
    <w:rPr>
      <w:rFonts w:cs="Calibri"/>
      <w:sz w:val="24"/>
      <w:szCs w:val="24"/>
    </w:rPr>
  </w:style>
  <w:style w:type="paragraph" w:styleId="Textpoznpodarou">
    <w:name w:val="footnote text"/>
    <w:link w:val="TextpoznpodarouChar"/>
    <w:uiPriority w:val="99"/>
    <w:unhideWhenUsed/>
    <w:rsid w:val="005E450C"/>
    <w:pPr>
      <w:spacing w:after="0" w:line="240" w:lineRule="auto"/>
      <w:jc w:val="left"/>
    </w:pPr>
    <w:rPr>
      <w:rFonts w:ascii="Times New Roman" w:eastAsia="Times New Roman" w:hAnsi="Times New Roman" w:cs="Times New Roman"/>
      <w:sz w:val="20"/>
    </w:rPr>
  </w:style>
  <w:style w:type="character" w:customStyle="1" w:styleId="TextpoznpodarouChar">
    <w:name w:val="Text pozn. pod čarou Char"/>
    <w:basedOn w:val="Standardnpsmoodstavce"/>
    <w:link w:val="Textpoznpodarou"/>
    <w:uiPriority w:val="99"/>
    <w:rsid w:val="005E450C"/>
    <w:rPr>
      <w:rFonts w:ascii="Times New Roman" w:eastAsia="Times New Roman" w:hAnsi="Times New Roman"/>
      <w:sz w:val="20"/>
      <w:szCs w:val="24"/>
    </w:rPr>
  </w:style>
  <w:style w:type="character" w:styleId="Znakapoznpodarou">
    <w:name w:val="footnote reference"/>
    <w:uiPriority w:val="99"/>
    <w:unhideWhenUsed/>
    <w:rsid w:val="005E450C"/>
    <w:rPr>
      <w:vertAlign w:val="superscript"/>
    </w:rPr>
  </w:style>
  <w:style w:type="character" w:styleId="Nevyeenzmnka">
    <w:name w:val="Unresolved Mention"/>
    <w:basedOn w:val="Standardnpsmoodstavce"/>
    <w:uiPriority w:val="99"/>
    <w:semiHidden/>
    <w:unhideWhenUsed/>
    <w:rsid w:val="00AC1EA4"/>
    <w:rPr>
      <w:color w:val="605E5C"/>
      <w:shd w:val="clear" w:color="auto" w:fill="E1DFDD"/>
    </w:rPr>
  </w:style>
  <w:style w:type="paragraph" w:styleId="Podnadpis">
    <w:name w:val="Subtitle"/>
    <w:basedOn w:val="Normln"/>
    <w:next w:val="Normln"/>
    <w:uiPriority w:val="11"/>
    <w:qFormat/>
    <w:pPr>
      <w:spacing w:after="120"/>
      <w:ind w:left="709" w:hanging="709"/>
    </w:pPr>
    <w:rPr>
      <w:rFonts w:ascii="Arial" w:eastAsia="Arial" w:hAnsi="Arial" w:cs="Arial"/>
      <w:b/>
      <w:sz w:val="20"/>
      <w:szCs w:val="20"/>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ajek@antonindvorak.c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editel@antonindvorak.cz"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1jZutQZgHbTu4mhODc3X4SC07g==">CgMxLjAyDmguN2lhM25ldzA1bHhhMg5oLnEyNTVlbHgxcjRuejIOaC5iNG9wbXp4bnNkMDQyDmguYW5rdjM2aTZvYmxvMg5oLnhyYjN3OGRrbXd0cTIOaC5vNmp5bDg2YXQ5aGoyDWguZjZneXVuNG82M3oyDmguOHlqZ3Q0emRrMmZpMg1oLnR3NzduOGdkOWJwMg5oLnE2aGFwbm9kZ3NjbTIOaC4yZWJlYmJ5dWowcW0yDmgudDBsaXd5dHdjYnU3Mg5oLmxmNXJpem4yMW5lNzIOaC5zM25mcjU3OXYxMDgyDmgua3dwazBxZXh3dmlvMg5oLjlpcWQzbXgzNnN3NTIOaC53bTRsbHMxaDIwbHIyDmgucm1zeWNyNmg2eWZ1Mg5oLjZmcjFocWdyM3o4MDIOaC52bGkzYmYxczRvb2c4AHIhMWR2b3hldTVjejdvcm1nU0dseUdZMzFDcVJjeUNJbH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7208</Words>
  <Characters>43897</Characters>
  <Application>Microsoft Office Word</Application>
  <DocSecurity>0</DocSecurity>
  <Lines>577</Lines>
  <Paragraphs>69</Paragraphs>
  <ScaleCrop>false</ScaleCrop>
  <Company/>
  <LinksUpToDate>false</LinksUpToDate>
  <CharactersWithSpaces>51036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Kokeš</dc:creator>
  <cp:lastModifiedBy>Památník Antonína Dvořáka</cp:lastModifiedBy>
  <cp:revision>2</cp:revision>
  <dcterms:created xsi:type="dcterms:W3CDTF">2025-10-09T14:47:00Z</dcterms:created>
  <dcterms:modified xsi:type="dcterms:W3CDTF">2025-10-09T14:47:00Z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0x0101000D4B584A28228448BA90292A1AAC77AD</vt:lpwstr>
  </property>
  <property fmtid="{D5CDD505-2E9C-101B-9397-08002B2CF9AE}" pid="3" name="MediaServiceImageTags">
    <vt:lpwstr/>
  </property>
</Properties>
</file>