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 w:rsidRPr="00CE7887">
        <w:rPr>
          <w:sz w:val="22"/>
          <w:szCs w:val="22"/>
        </w:rPr>
        <w:t>Ústavní 341</w:t>
      </w:r>
      <w:r w:rsidRPr="00CE7887">
        <w:rPr>
          <w:sz w:val="22"/>
          <w:szCs w:val="22"/>
        </w:rPr>
        <w:t>, 334 41 Dobřany</w:t>
      </w:r>
    </w:p>
    <w:p w14:paraId="57255967" w14:textId="77777777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IČ: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  <w:t>00669792</w:t>
      </w:r>
    </w:p>
    <w:p w14:paraId="4EE39737" w14:textId="0336867A" w:rsidR="009D3AA4" w:rsidRPr="00CE7887" w:rsidRDefault="009D3AA4" w:rsidP="009D3AA4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Jednající/zastoupený: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F44ABF">
        <w:rPr>
          <w:sz w:val="22"/>
          <w:szCs w:val="22"/>
        </w:rPr>
        <w:t>…………</w:t>
      </w:r>
      <w:r w:rsidRPr="00CE7887">
        <w:rPr>
          <w:sz w:val="22"/>
          <w:szCs w:val="22"/>
        </w:rPr>
        <w:t xml:space="preserve"> Petr Žižka, ředitel</w:t>
      </w:r>
    </w:p>
    <w:p w14:paraId="31C5A6F9" w14:textId="36F28576" w:rsidR="009D3AA4" w:rsidRPr="00126E30" w:rsidRDefault="009D3AA4" w:rsidP="002E0AFA">
      <w:pPr>
        <w:spacing w:after="60"/>
        <w:rPr>
          <w:sz w:val="22"/>
          <w:szCs w:val="22"/>
        </w:rPr>
      </w:pPr>
      <w:r w:rsidRPr="00CE7887">
        <w:rPr>
          <w:sz w:val="22"/>
          <w:szCs w:val="22"/>
        </w:rPr>
        <w:t>Kontaktní osoba:</w:t>
      </w:r>
      <w:r w:rsidRPr="00CE7887">
        <w:rPr>
          <w:sz w:val="22"/>
          <w:szCs w:val="22"/>
        </w:rPr>
        <w:tab/>
      </w:r>
      <w:r w:rsidRPr="00CE7887">
        <w:rPr>
          <w:sz w:val="22"/>
          <w:szCs w:val="22"/>
        </w:rPr>
        <w:tab/>
      </w:r>
      <w:r w:rsidR="00F44ABF">
        <w:rPr>
          <w:sz w:val="22"/>
          <w:szCs w:val="22"/>
        </w:rPr>
        <w:t>………..</w:t>
      </w:r>
      <w:r w:rsidRPr="00CE7887">
        <w:rPr>
          <w:sz w:val="22"/>
          <w:szCs w:val="22"/>
        </w:rPr>
        <w:t xml:space="preserve">, </w:t>
      </w:r>
      <w:hyperlink r:id="rId8" w:history="1">
        <w:r w:rsidR="00126E30" w:rsidRPr="00126E30">
          <w:rPr>
            <w:rStyle w:val="Hypertextovodkaz"/>
            <w:color w:val="auto"/>
            <w:sz w:val="22"/>
            <w:szCs w:val="22"/>
            <w:u w:val="none"/>
          </w:rPr>
          <w:t>vedoucí skladu,</w:t>
        </w:r>
        <w:r w:rsidR="00F44ABF">
          <w:rPr>
            <w:rStyle w:val="Hypertextovodkaz"/>
            <w:color w:val="auto"/>
            <w:sz w:val="22"/>
            <w:szCs w:val="22"/>
            <w:u w:val="none"/>
          </w:rPr>
          <w:t>………</w:t>
        </w:r>
        <w:r w:rsidR="00126E30" w:rsidRPr="00126E30">
          <w:rPr>
            <w:rStyle w:val="Hypertextovodkaz"/>
            <w:color w:val="auto"/>
            <w:sz w:val="22"/>
            <w:szCs w:val="22"/>
            <w:u w:val="none"/>
          </w:rPr>
          <w:t>p@pld.cz</w:t>
        </w:r>
      </w:hyperlink>
      <w:r w:rsidRPr="00126E30">
        <w:rPr>
          <w:sz w:val="22"/>
          <w:szCs w:val="22"/>
        </w:rPr>
        <w:t xml:space="preserve">, </w:t>
      </w:r>
      <w:r w:rsidR="00F44ABF">
        <w:rPr>
          <w:sz w:val="22"/>
          <w:szCs w:val="22"/>
        </w:rPr>
        <w:t>…………</w:t>
      </w:r>
    </w:p>
    <w:p w14:paraId="7AB435EB" w14:textId="5B763907" w:rsidR="003165C4" w:rsidRPr="00126E30" w:rsidRDefault="003165C4" w:rsidP="002E0AFA">
      <w:pPr>
        <w:spacing w:after="60"/>
        <w:rPr>
          <w:sz w:val="22"/>
          <w:szCs w:val="22"/>
        </w:rPr>
      </w:pPr>
      <w:r w:rsidRPr="00126E30">
        <w:rPr>
          <w:sz w:val="22"/>
          <w:szCs w:val="22"/>
        </w:rPr>
        <w:tab/>
      </w:r>
      <w:r w:rsidRPr="00126E30">
        <w:rPr>
          <w:sz w:val="22"/>
          <w:szCs w:val="22"/>
        </w:rPr>
        <w:tab/>
      </w:r>
      <w:r w:rsidRPr="00126E30">
        <w:rPr>
          <w:sz w:val="22"/>
          <w:szCs w:val="22"/>
        </w:rPr>
        <w:tab/>
      </w:r>
      <w:r w:rsidRPr="00126E30">
        <w:rPr>
          <w:sz w:val="22"/>
          <w:szCs w:val="22"/>
        </w:rPr>
        <w:tab/>
      </w:r>
      <w:r w:rsidR="00F44ABF">
        <w:rPr>
          <w:sz w:val="22"/>
          <w:szCs w:val="22"/>
        </w:rPr>
        <w:t>…………</w:t>
      </w:r>
      <w:r w:rsidRPr="00126E30">
        <w:rPr>
          <w:sz w:val="22"/>
          <w:szCs w:val="22"/>
        </w:rPr>
        <w:t xml:space="preserve">, </w:t>
      </w:r>
      <w:r w:rsidR="00F44ABF">
        <w:rPr>
          <w:sz w:val="22"/>
          <w:szCs w:val="22"/>
        </w:rPr>
        <w:t>……………</w:t>
      </w:r>
    </w:p>
    <w:p w14:paraId="06A36FD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CE7887">
        <w:rPr>
          <w:sz w:val="22"/>
          <w:szCs w:val="22"/>
        </w:rPr>
        <w:t xml:space="preserve">(dále jen jako </w:t>
      </w:r>
      <w:r w:rsidRPr="00CE7887">
        <w:rPr>
          <w:b/>
          <w:sz w:val="22"/>
          <w:szCs w:val="22"/>
        </w:rPr>
        <w:t>„Kupující“)</w:t>
      </w:r>
    </w:p>
    <w:p w14:paraId="4705FBE5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CE7887">
        <w:rPr>
          <w:sz w:val="22"/>
          <w:szCs w:val="22"/>
        </w:rPr>
        <w:t xml:space="preserve">a </w:t>
      </w:r>
    </w:p>
    <w:p w14:paraId="6F4E8E2B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B3FE30E" w:rsidR="009D3AA4" w:rsidRPr="00CE7887" w:rsidRDefault="003165C4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SVĚT OKEN s.r.o.</w:t>
      </w:r>
    </w:p>
    <w:p w14:paraId="5EE075F4" w14:textId="07E413DB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3165C4">
        <w:rPr>
          <w:rFonts w:ascii="Times New Roman" w:hAnsi="Times New Roman"/>
          <w:b w:val="0"/>
          <w:sz w:val="22"/>
          <w:szCs w:val="22"/>
        </w:rPr>
        <w:t>Jasenická 1254, 755 01 Vsetín</w:t>
      </w:r>
    </w:p>
    <w:p w14:paraId="6419FF1C" w14:textId="04E51F45" w:rsidR="009D3AA4" w:rsidRPr="00CE7887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Zapsaná:</w:t>
      </w:r>
      <w:r w:rsidRPr="00CE7887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3165C4">
        <w:rPr>
          <w:rFonts w:ascii="Times New Roman" w:hAnsi="Times New Roman"/>
          <w:b w:val="0"/>
          <w:sz w:val="22"/>
          <w:szCs w:val="22"/>
        </w:rPr>
        <w:t>Krajským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3165C4">
        <w:rPr>
          <w:rFonts w:ascii="Times New Roman" w:hAnsi="Times New Roman"/>
          <w:b w:val="0"/>
          <w:sz w:val="22"/>
          <w:szCs w:val="22"/>
        </w:rPr>
        <w:t> Ostravě,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3165C4">
        <w:rPr>
          <w:rFonts w:ascii="Times New Roman" w:hAnsi="Times New Roman"/>
          <w:b w:val="0"/>
          <w:sz w:val="22"/>
          <w:szCs w:val="22"/>
        </w:rPr>
        <w:t>C,</w:t>
      </w:r>
      <w:r w:rsidRPr="00CE7887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3165C4">
        <w:rPr>
          <w:rFonts w:ascii="Times New Roman" w:hAnsi="Times New Roman"/>
          <w:b w:val="0"/>
          <w:sz w:val="22"/>
          <w:szCs w:val="22"/>
        </w:rPr>
        <w:t>20248</w:t>
      </w:r>
    </w:p>
    <w:p w14:paraId="545CBD79" w14:textId="0D860A8E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3165C4" w:rsidRPr="003165C4">
        <w:rPr>
          <w:rFonts w:ascii="Times New Roman" w:hAnsi="Times New Roman"/>
          <w:b w:val="0"/>
          <w:sz w:val="22"/>
          <w:szCs w:val="22"/>
        </w:rPr>
        <w:t>25831925</w:t>
      </w:r>
    </w:p>
    <w:p w14:paraId="04DD9ECE" w14:textId="42C56DCE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DIČ: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3165C4">
        <w:rPr>
          <w:rFonts w:ascii="Times New Roman" w:hAnsi="Times New Roman"/>
          <w:b w:val="0"/>
          <w:sz w:val="22"/>
          <w:szCs w:val="22"/>
        </w:rPr>
        <w:t>CZ</w:t>
      </w:r>
      <w:r w:rsidR="003165C4" w:rsidRPr="003165C4">
        <w:rPr>
          <w:rFonts w:ascii="Times New Roman" w:hAnsi="Times New Roman"/>
          <w:b w:val="0"/>
          <w:sz w:val="22"/>
          <w:szCs w:val="22"/>
        </w:rPr>
        <w:t>25831925</w:t>
      </w:r>
    </w:p>
    <w:p w14:paraId="45220221" w14:textId="373797D5" w:rsidR="009D3AA4" w:rsidRPr="00CE7887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Jednající/zastoupený: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="00F44ABF">
        <w:rPr>
          <w:rFonts w:ascii="Times New Roman" w:hAnsi="Times New Roman"/>
          <w:b w:val="0"/>
          <w:sz w:val="22"/>
          <w:szCs w:val="22"/>
        </w:rPr>
        <w:t>……….</w:t>
      </w:r>
      <w:r w:rsidR="0062393C" w:rsidRPr="0062393C">
        <w:rPr>
          <w:rFonts w:ascii="Times New Roman" w:hAnsi="Times New Roman"/>
          <w:b w:val="0"/>
          <w:sz w:val="22"/>
          <w:szCs w:val="22"/>
        </w:rPr>
        <w:t xml:space="preserve"> </w:t>
      </w:r>
      <w:r w:rsidR="00153E6F" w:rsidRPr="00153E6F">
        <w:rPr>
          <w:rFonts w:ascii="Times New Roman" w:hAnsi="Times New Roman"/>
          <w:b w:val="0"/>
          <w:sz w:val="22"/>
          <w:szCs w:val="22"/>
        </w:rPr>
        <w:t xml:space="preserve">Eva </w:t>
      </w:r>
      <w:proofErr w:type="spellStart"/>
      <w:r w:rsidR="00153E6F">
        <w:rPr>
          <w:rFonts w:ascii="Times New Roman" w:hAnsi="Times New Roman"/>
          <w:b w:val="0"/>
          <w:sz w:val="22"/>
          <w:szCs w:val="22"/>
        </w:rPr>
        <w:t>P</w:t>
      </w:r>
      <w:r w:rsidR="00153E6F" w:rsidRPr="00153E6F">
        <w:rPr>
          <w:rFonts w:ascii="Times New Roman" w:hAnsi="Times New Roman"/>
          <w:b w:val="0"/>
          <w:sz w:val="22"/>
          <w:szCs w:val="22"/>
        </w:rPr>
        <w:t>eltsarszká</w:t>
      </w:r>
      <w:proofErr w:type="spellEnd"/>
      <w:r w:rsidR="00153E6F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2E962E69" w:rsidR="009D3AA4" w:rsidRPr="00CE7887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CE7887">
        <w:rPr>
          <w:rFonts w:ascii="Times New Roman" w:hAnsi="Times New Roman"/>
          <w:b w:val="0"/>
          <w:sz w:val="22"/>
          <w:szCs w:val="22"/>
        </w:rPr>
        <w:t>Kontaktní osoba:</w:t>
      </w:r>
      <w:r w:rsidRPr="00CE7887">
        <w:rPr>
          <w:rFonts w:ascii="Times New Roman" w:hAnsi="Times New Roman"/>
          <w:b w:val="0"/>
          <w:sz w:val="22"/>
          <w:szCs w:val="22"/>
        </w:rPr>
        <w:tab/>
      </w:r>
      <w:r w:rsidRPr="00CE7887">
        <w:rPr>
          <w:rFonts w:ascii="Times New Roman" w:hAnsi="Times New Roman"/>
          <w:b w:val="0"/>
          <w:sz w:val="22"/>
          <w:szCs w:val="22"/>
        </w:rPr>
        <w:tab/>
        <w:t>………</w:t>
      </w:r>
      <w:r w:rsidR="003165C4">
        <w:rPr>
          <w:rFonts w:ascii="Times New Roman" w:hAnsi="Times New Roman"/>
          <w:b w:val="0"/>
          <w:sz w:val="22"/>
          <w:szCs w:val="22"/>
        </w:rPr>
        <w:t xml:space="preserve">jméno, funkce, email, tel. </w:t>
      </w:r>
      <w:r w:rsidRPr="00CE7887">
        <w:rPr>
          <w:rFonts w:ascii="Times New Roman" w:hAnsi="Times New Roman"/>
          <w:b w:val="0"/>
          <w:sz w:val="22"/>
          <w:szCs w:val="22"/>
        </w:rPr>
        <w:t>…………………</w:t>
      </w:r>
      <w:r w:rsidR="003165C4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3D29FB9" w14:textId="77777777" w:rsidR="009D3AA4" w:rsidRPr="00CE7887" w:rsidRDefault="009D3AA4" w:rsidP="009D3AA4">
      <w:pPr>
        <w:rPr>
          <w:sz w:val="22"/>
          <w:szCs w:val="22"/>
        </w:rPr>
      </w:pPr>
      <w:r w:rsidRPr="00CE7887">
        <w:rPr>
          <w:sz w:val="22"/>
          <w:szCs w:val="22"/>
        </w:rPr>
        <w:t xml:space="preserve">(dále jen jako </w:t>
      </w:r>
      <w:r w:rsidRPr="00CE7887">
        <w:rPr>
          <w:b/>
          <w:bCs/>
          <w:sz w:val="22"/>
          <w:szCs w:val="22"/>
        </w:rPr>
        <w:t>„Prodávající“</w:t>
      </w:r>
      <w:r w:rsidRPr="00CE7887">
        <w:rPr>
          <w:sz w:val="22"/>
          <w:szCs w:val="22"/>
        </w:rPr>
        <w:t>)</w:t>
      </w:r>
    </w:p>
    <w:p w14:paraId="52466D6C" w14:textId="77777777" w:rsidR="009D3AA4" w:rsidRPr="00CE7887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CE7887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CE7887" w:rsidRDefault="009D3AA4" w:rsidP="009D3AA4">
      <w:pPr>
        <w:ind w:right="-45"/>
        <w:jc w:val="center"/>
        <w:rPr>
          <w:b/>
          <w:sz w:val="22"/>
          <w:szCs w:val="22"/>
        </w:rPr>
      </w:pPr>
      <w:r w:rsidRPr="00CE7887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CE7887" w:rsidRDefault="009D3AA4" w:rsidP="009D3AA4">
      <w:pPr>
        <w:ind w:right="-45"/>
        <w:jc w:val="center"/>
        <w:rPr>
          <w:sz w:val="22"/>
          <w:szCs w:val="22"/>
        </w:rPr>
      </w:pPr>
      <w:r w:rsidRPr="00CE7887">
        <w:rPr>
          <w:sz w:val="22"/>
          <w:szCs w:val="22"/>
        </w:rPr>
        <w:t>(dále jen „smlouva“)</w:t>
      </w:r>
    </w:p>
    <w:p w14:paraId="13E8BD7F" w14:textId="77777777" w:rsidR="009D7E61" w:rsidRPr="00CE7887" w:rsidRDefault="009D7E61"/>
    <w:p w14:paraId="62BA62D0" w14:textId="5D29CDDE" w:rsidR="009D3AA4" w:rsidRPr="00CE7887" w:rsidRDefault="00770FBD" w:rsidP="00770FBD">
      <w:pPr>
        <w:spacing w:after="60"/>
        <w:ind w:left="512"/>
        <w:jc w:val="center"/>
        <w:rPr>
          <w:rStyle w:val="Siln"/>
        </w:rPr>
      </w:pPr>
      <w:r w:rsidRPr="00CE7887">
        <w:rPr>
          <w:rStyle w:val="Siln"/>
        </w:rPr>
        <w:t xml:space="preserve">Čl. I. </w:t>
      </w:r>
      <w:r w:rsidR="009D3AA4" w:rsidRPr="00CE7887">
        <w:rPr>
          <w:rStyle w:val="Siln"/>
        </w:rPr>
        <w:t>Preambule</w:t>
      </w:r>
    </w:p>
    <w:p w14:paraId="236DAFD0" w14:textId="7D42A995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CE7887">
        <w:rPr>
          <w:sz w:val="22"/>
          <w:szCs w:val="22"/>
        </w:rPr>
        <w:t>1.</w:t>
      </w:r>
      <w:r w:rsidRPr="00CE7887">
        <w:rPr>
          <w:sz w:val="22"/>
          <w:szCs w:val="22"/>
        </w:rPr>
        <w:tab/>
      </w:r>
      <w:r w:rsidR="009D3AA4" w:rsidRPr="00CE7887">
        <w:rPr>
          <w:sz w:val="22"/>
          <w:szCs w:val="22"/>
        </w:rPr>
        <w:t xml:space="preserve">Tato Smlouva je uzavírána na základě výsledků zadávacího řízení na veřejnou zakázku malého rozsahu na dodávky s názvem </w:t>
      </w:r>
      <w:r w:rsidR="009D3AA4" w:rsidRPr="009A4591">
        <w:rPr>
          <w:b/>
          <w:sz w:val="22"/>
          <w:szCs w:val="22"/>
        </w:rPr>
        <w:t>„</w:t>
      </w:r>
      <w:r w:rsidR="009A4591" w:rsidRPr="009A4591">
        <w:rPr>
          <w:b/>
        </w:rPr>
        <w:t>Dodávka a montáž v</w:t>
      </w:r>
      <w:r w:rsidR="009A4591" w:rsidRPr="009A4591">
        <w:rPr>
          <w:rFonts w:cstheme="minorHAnsi"/>
          <w:b/>
        </w:rPr>
        <w:t>ýsuvných markýz</w:t>
      </w:r>
      <w:r w:rsidR="009A4591" w:rsidRPr="009A4591">
        <w:rPr>
          <w:b/>
        </w:rPr>
        <w:t xml:space="preserve"> </w:t>
      </w:r>
      <w:r w:rsidR="009D3AA4" w:rsidRPr="009A4591">
        <w:rPr>
          <w:b/>
          <w:sz w:val="22"/>
          <w:szCs w:val="22"/>
        </w:rPr>
        <w:t>“</w:t>
      </w:r>
      <w:r w:rsidR="009D3AA4" w:rsidRPr="00770FBD">
        <w:rPr>
          <w:sz w:val="22"/>
          <w:szCs w:val="22"/>
        </w:rPr>
        <w:t>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B33F736" w:rsidR="002E0AFA" w:rsidRPr="004A46AE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4A46AE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- </w:t>
      </w:r>
      <w:r w:rsidRPr="004A46AE">
        <w:rPr>
          <w:b/>
          <w:sz w:val="22"/>
          <w:szCs w:val="22"/>
        </w:rPr>
        <w:t xml:space="preserve">2 ks </w:t>
      </w:r>
      <w:r w:rsidR="004A46AE" w:rsidRPr="004A46AE">
        <w:rPr>
          <w:b/>
          <w:sz w:val="22"/>
          <w:szCs w:val="22"/>
        </w:rPr>
        <w:t>výsuvných markýz</w:t>
      </w:r>
      <w:r w:rsidR="00C4114B" w:rsidRPr="004A46AE">
        <w:rPr>
          <w:b/>
          <w:sz w:val="22"/>
          <w:szCs w:val="22"/>
        </w:rPr>
        <w:t xml:space="preserve"> včetně</w:t>
      </w:r>
      <w:r w:rsidR="004A46AE" w:rsidRPr="004A46AE">
        <w:rPr>
          <w:b/>
          <w:sz w:val="22"/>
          <w:szCs w:val="22"/>
        </w:rPr>
        <w:t xml:space="preserve"> kompletní instalace a montáže ke kulturnímu domu</w:t>
      </w:r>
      <w:r w:rsidR="00770FBD" w:rsidRPr="004A46AE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2B05499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Pr="00692B93">
        <w:rPr>
          <w:rFonts w:eastAsia="Calibri"/>
          <w:b/>
          <w:bCs/>
          <w:sz w:val="22"/>
          <w:szCs w:val="22"/>
        </w:rPr>
        <w:t xml:space="preserve">do </w:t>
      </w:r>
      <w:r w:rsidR="004A46AE">
        <w:rPr>
          <w:rFonts w:eastAsia="Calibri"/>
          <w:b/>
          <w:bCs/>
          <w:sz w:val="22"/>
          <w:szCs w:val="22"/>
        </w:rPr>
        <w:t>2</w:t>
      </w:r>
      <w:r w:rsidRPr="00692B93">
        <w:rPr>
          <w:rFonts w:eastAsia="Calibri"/>
          <w:b/>
          <w:bCs/>
          <w:sz w:val="22"/>
          <w:szCs w:val="22"/>
        </w:rPr>
        <w:t xml:space="preserve"> měsí</w:t>
      </w:r>
      <w:r w:rsidR="004A46AE">
        <w:rPr>
          <w:rFonts w:eastAsia="Calibri"/>
          <w:b/>
          <w:bCs/>
          <w:sz w:val="22"/>
          <w:szCs w:val="22"/>
        </w:rPr>
        <w:t>ců</w:t>
      </w:r>
      <w:r w:rsidRPr="00692B93">
        <w:rPr>
          <w:rFonts w:eastAsia="Calibri"/>
          <w:b/>
          <w:bCs/>
          <w:sz w:val="22"/>
          <w:szCs w:val="22"/>
        </w:rPr>
        <w:t xml:space="preserve"> od </w:t>
      </w:r>
      <w:r w:rsidR="00CE7887" w:rsidRPr="00692B93">
        <w:rPr>
          <w:rFonts w:eastAsia="Calibri"/>
          <w:b/>
          <w:bCs/>
          <w:sz w:val="22"/>
          <w:szCs w:val="22"/>
        </w:rPr>
        <w:t>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260B55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62393C">
        <w:rPr>
          <w:b/>
          <w:sz w:val="22"/>
          <w:szCs w:val="22"/>
        </w:rPr>
        <w:t>214.906</w:t>
      </w:r>
      <w:r w:rsidR="008E1FAD">
        <w:rPr>
          <w:b/>
          <w:sz w:val="22"/>
          <w:szCs w:val="22"/>
        </w:rPr>
        <w:t xml:space="preserve"> </w:t>
      </w:r>
      <w:r w:rsidRPr="008F0397">
        <w:rPr>
          <w:b/>
          <w:sz w:val="22"/>
          <w:szCs w:val="22"/>
        </w:rPr>
        <w:t>Kč bez DPH</w:t>
      </w:r>
      <w:r w:rsidR="0062393C">
        <w:rPr>
          <w:sz w:val="22"/>
          <w:szCs w:val="22"/>
        </w:rPr>
        <w:t>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3AC2464" w14:textId="77777777" w:rsidR="007967C9" w:rsidRPr="007D54F6" w:rsidRDefault="007967C9" w:rsidP="007967C9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960EBE6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……………………….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5AFA5CE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F44ABF">
        <w:rPr>
          <w:color w:val="000000"/>
          <w:sz w:val="22"/>
          <w:szCs w:val="22"/>
        </w:rPr>
        <w:t>9.10.2025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F44AB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62393C">
        <w:rPr>
          <w:color w:val="000000"/>
          <w:sz w:val="22"/>
          <w:szCs w:val="22"/>
        </w:rPr>
        <w:t xml:space="preserve">e Vsetíně, </w:t>
      </w:r>
      <w:r w:rsidRPr="007D54F6">
        <w:rPr>
          <w:color w:val="000000"/>
          <w:sz w:val="22"/>
          <w:szCs w:val="22"/>
        </w:rPr>
        <w:t xml:space="preserve">dne </w:t>
      </w:r>
      <w:r w:rsidR="00F44ABF">
        <w:rPr>
          <w:color w:val="000000"/>
          <w:sz w:val="22"/>
          <w:szCs w:val="22"/>
        </w:rPr>
        <w:t>7.10.2025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7A7EEB88" w14:textId="77777777" w:rsidR="00153E6F" w:rsidRPr="007D54F6" w:rsidRDefault="00153E6F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2E78AFD2" w:rsidR="00583CC5" w:rsidRPr="0066277D" w:rsidRDefault="00583CC5" w:rsidP="00153E6F">
      <w:pPr>
        <w:pStyle w:val="Styl"/>
        <w:tabs>
          <w:tab w:val="center" w:pos="2268"/>
          <w:tab w:val="left" w:pos="5529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23672A9A" w:rsidR="00583CC5" w:rsidRPr="0066277D" w:rsidRDefault="00583CC5" w:rsidP="00583CC5">
      <w:pPr>
        <w:pStyle w:val="Styl"/>
        <w:tabs>
          <w:tab w:val="left" w:pos="6237"/>
        </w:tabs>
        <w:ind w:left="425" w:hanging="425"/>
        <w:rPr>
          <w:bCs/>
          <w:color w:val="000000"/>
          <w:sz w:val="22"/>
          <w:szCs w:val="22"/>
        </w:rPr>
      </w:pPr>
      <w:r w:rsidRPr="0066277D">
        <w:rPr>
          <w:sz w:val="22"/>
          <w:szCs w:val="22"/>
        </w:rPr>
        <w:t xml:space="preserve">                    ředitel</w:t>
      </w:r>
      <w:r w:rsidRPr="0066277D">
        <w:rPr>
          <w:color w:val="000000"/>
          <w:sz w:val="22"/>
          <w:szCs w:val="22"/>
        </w:rPr>
        <w:t xml:space="preserve"> </w:t>
      </w:r>
      <w:r w:rsidRPr="0066277D">
        <w:rPr>
          <w:color w:val="000000"/>
          <w:sz w:val="22"/>
          <w:szCs w:val="22"/>
        </w:rPr>
        <w:tab/>
      </w:r>
      <w:r w:rsidR="0062393C" w:rsidRPr="0066277D">
        <w:rPr>
          <w:color w:val="000000"/>
          <w:sz w:val="22"/>
          <w:szCs w:val="22"/>
        </w:rPr>
        <w:t>jednatel</w:t>
      </w:r>
    </w:p>
    <w:p w14:paraId="0A0DA1CF" w14:textId="6FBCCF45" w:rsidR="00153E6F" w:rsidRPr="00153E6F" w:rsidRDefault="00583CC5" w:rsidP="00153E6F">
      <w:pPr>
        <w:pStyle w:val="Nadpis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66277D">
        <w:rPr>
          <w:rFonts w:ascii="Times New Roman" w:hAnsi="Times New Roman"/>
          <w:b w:val="0"/>
          <w:bCs/>
          <w:sz w:val="22"/>
          <w:szCs w:val="22"/>
        </w:rPr>
        <w:t xml:space="preserve">Psychiatrická nemocnice v Dobřanech    </w:t>
      </w:r>
      <w:r w:rsidRPr="0066277D">
        <w:rPr>
          <w:rFonts w:ascii="Times New Roman" w:hAnsi="Times New Roman"/>
          <w:b w:val="0"/>
          <w:bCs/>
        </w:rPr>
        <w:tab/>
        <w:t xml:space="preserve">     </w:t>
      </w:r>
      <w:r w:rsidR="00153E6F" w:rsidRPr="0066277D">
        <w:rPr>
          <w:rFonts w:ascii="Times New Roman" w:hAnsi="Times New Roman"/>
          <w:b w:val="0"/>
          <w:bCs/>
        </w:rPr>
        <w:tab/>
      </w:r>
      <w:r w:rsidR="00153E6F" w:rsidRPr="0066277D">
        <w:rPr>
          <w:rFonts w:ascii="Times New Roman" w:hAnsi="Times New Roman"/>
          <w:b w:val="0"/>
          <w:bCs/>
        </w:rPr>
        <w:tab/>
      </w:r>
      <w:r w:rsidR="00153E6F" w:rsidRPr="0066277D">
        <w:rPr>
          <w:rFonts w:ascii="Times New Roman" w:hAnsi="Times New Roman"/>
          <w:b w:val="0"/>
          <w:bCs/>
          <w:sz w:val="22"/>
          <w:szCs w:val="22"/>
        </w:rPr>
        <w:t>SVĚT OKEN s.r.o</w:t>
      </w:r>
      <w:r w:rsidR="00153E6F" w:rsidRPr="00153E6F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2F391DFB" w14:textId="4805463C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8E56D51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E92E3FB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8F2999E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0380F45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DFEF013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037"/>
        <w:gridCol w:w="1134"/>
        <w:gridCol w:w="985"/>
        <w:gridCol w:w="524"/>
        <w:gridCol w:w="2024"/>
        <w:gridCol w:w="2404"/>
      </w:tblGrid>
      <w:tr w:rsidR="00A259C9" w:rsidRPr="00A259C9" w14:paraId="0FD5D9F2" w14:textId="77777777" w:rsidTr="00FC6AE2">
        <w:trPr>
          <w:trHeight w:val="5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F5B13" w14:textId="1B7DA9DC" w:rsidR="00A259C9" w:rsidRPr="00A259C9" w:rsidRDefault="00A259C9" w:rsidP="00A259C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Příloha č. 1      Specifikace předmětu plnění - podrobný rozpis nabídkové ceny</w:t>
            </w:r>
          </w:p>
        </w:tc>
      </w:tr>
      <w:tr w:rsidR="00A259C9" w:rsidRPr="00A259C9" w14:paraId="75F60ED4" w14:textId="77777777" w:rsidTr="00FC6AE2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DE13" w14:textId="77777777" w:rsidR="00A259C9" w:rsidRPr="00A259C9" w:rsidRDefault="00A259C9" w:rsidP="00A259C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4B7A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7996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497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D34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B565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B2A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0F5EB276" w14:textId="77777777" w:rsidTr="00FC6AE2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CA81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C1D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C64C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4659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E2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CFA8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396D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4416B3BD" w14:textId="77777777" w:rsidTr="00FC6AE2">
        <w:trPr>
          <w:trHeight w:val="4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F1249F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Výsuvná markýza EPICA - látka: 100% Akryl </w:t>
            </w:r>
            <w:proofErr w:type="spellStart"/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Grafito</w:t>
            </w:r>
            <w:proofErr w:type="spellEnd"/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2602, konstrukce RAL 9006, sklon 10°</w:t>
            </w:r>
          </w:p>
        </w:tc>
      </w:tr>
      <w:tr w:rsidR="00A259C9" w:rsidRPr="00A259C9" w14:paraId="5BA4BB04" w14:textId="77777777" w:rsidTr="00FC6AE2">
        <w:trPr>
          <w:trHeight w:val="4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FA3A8B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259C9" w:rsidRPr="00A259C9" w14:paraId="19128EDE" w14:textId="77777777" w:rsidTr="00FC6AE2">
        <w:trPr>
          <w:trHeight w:val="645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5E18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B02A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EEE1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výsuv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33B6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šířka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9E44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kus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65AD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za 1 kus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88EB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</w:tr>
      <w:tr w:rsidR="00A259C9" w:rsidRPr="00A259C9" w14:paraId="0EF9212E" w14:textId="77777777" w:rsidTr="00FC6AE2">
        <w:trPr>
          <w:trHeight w:val="402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98E9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20AD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Epica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5467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DF2A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2FE3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0B4E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88 415,00 Kč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8223" w14:textId="576B25F4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176 830,00 Kč </w:t>
            </w:r>
          </w:p>
        </w:tc>
      </w:tr>
      <w:tr w:rsidR="00A259C9" w:rsidRPr="00A259C9" w14:paraId="28389E6C" w14:textId="77777777" w:rsidTr="00FC6AE2">
        <w:trPr>
          <w:trHeight w:val="4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A987D" w14:textId="77777777" w:rsidR="00A259C9" w:rsidRPr="00A259C9" w:rsidRDefault="00A259C9" w:rsidP="00973AE6">
            <w:pPr>
              <w:ind w:left="-359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59C9" w:rsidRPr="00A259C9" w14:paraId="02CD6E77" w14:textId="77777777" w:rsidTr="00FC6AE2">
        <w:trPr>
          <w:trHeight w:val="4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2252C1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Příslušenství</w:t>
            </w:r>
          </w:p>
        </w:tc>
      </w:tr>
      <w:tr w:rsidR="00A259C9" w:rsidRPr="00A259C9" w14:paraId="0B1B9327" w14:textId="77777777" w:rsidTr="00FC6AE2">
        <w:trPr>
          <w:trHeight w:val="402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136F20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Motor </w:t>
            </w:r>
            <w:proofErr w:type="spellStart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Somfy</w:t>
            </w:r>
            <w:proofErr w:type="spellEnd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Sunea</w:t>
            </w:r>
            <w:proofErr w:type="spellEnd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60 </w:t>
            </w:r>
            <w:proofErr w:type="spellStart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</w:t>
            </w:r>
            <w:proofErr w:type="spellEnd"/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 elektronickým dorazem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D253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B7BB" w14:textId="4161A56B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8 184,00 Kč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6B41" w14:textId="169B47FC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16 368,00 Kč </w:t>
            </w:r>
          </w:p>
        </w:tc>
      </w:tr>
      <w:tr w:rsidR="00A259C9" w:rsidRPr="00A259C9" w14:paraId="189EC770" w14:textId="77777777" w:rsidTr="00FC6AE2">
        <w:trPr>
          <w:trHeight w:val="402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E90048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Vysílač SITUO 5 IO PURE II - přenosný 5-kanálový 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9E13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2988" w14:textId="5A13CDDD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1 636,00 Kč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E5CE" w14:textId="5E2548EA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1 636,00 Kč </w:t>
            </w:r>
          </w:p>
        </w:tc>
      </w:tr>
      <w:tr w:rsidR="00A259C9" w:rsidRPr="00A259C9" w14:paraId="51002C34" w14:textId="77777777" w:rsidTr="00FC6AE2">
        <w:trPr>
          <w:trHeight w:val="402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55D5A0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EOLIS 230 V IO + ONDEIS - větrný a dešťový senzor 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2EF8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C3C1" w14:textId="44CD88E0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8 922,00 Kč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668F" w14:textId="449BDF8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8 922,00 Kč </w:t>
            </w:r>
          </w:p>
        </w:tc>
      </w:tr>
      <w:tr w:rsidR="00A259C9" w:rsidRPr="00A259C9" w14:paraId="0F7C7929" w14:textId="77777777" w:rsidTr="00FC6AE2">
        <w:trPr>
          <w:trHeight w:val="4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C9FD5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59C9" w:rsidRPr="00A259C9" w14:paraId="3D44ABF0" w14:textId="77777777" w:rsidTr="00FC6AE2">
        <w:trPr>
          <w:trHeight w:val="402"/>
        </w:trPr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40D803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Montáž 2 ks markýz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B4D3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7 800,00 Kč </w:t>
            </w:r>
          </w:p>
        </w:tc>
      </w:tr>
      <w:tr w:rsidR="00A259C9" w:rsidRPr="00A259C9" w14:paraId="1F76F6AC" w14:textId="77777777" w:rsidTr="00FC6AE2">
        <w:trPr>
          <w:trHeight w:val="402"/>
        </w:trPr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84F340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Vícepráce: montáž ve výšce nad 2,5m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A8A8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2 000,00 Kč </w:t>
            </w:r>
          </w:p>
        </w:tc>
      </w:tr>
      <w:tr w:rsidR="00A259C9" w:rsidRPr="00A259C9" w14:paraId="03A28C77" w14:textId="77777777" w:rsidTr="00FC6AE2">
        <w:trPr>
          <w:trHeight w:val="402"/>
        </w:trPr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E1DC75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Cena dopravy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4248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1 350,00 Kč </w:t>
            </w:r>
          </w:p>
        </w:tc>
      </w:tr>
      <w:tr w:rsidR="00A259C9" w:rsidRPr="00A259C9" w14:paraId="1D353A23" w14:textId="77777777" w:rsidTr="00FC6AE2">
        <w:trPr>
          <w:trHeight w:val="402"/>
        </w:trPr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F36F93" w14:textId="77777777" w:rsidR="00A259C9" w:rsidRPr="00A259C9" w:rsidRDefault="00A259C9" w:rsidP="00A259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za markýzu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12AC" w14:textId="77777777" w:rsidR="00A259C9" w:rsidRPr="00A259C9" w:rsidRDefault="00A259C9" w:rsidP="00A259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 214 906,00 Kč </w:t>
            </w:r>
          </w:p>
        </w:tc>
      </w:tr>
      <w:tr w:rsidR="00A259C9" w:rsidRPr="00A259C9" w14:paraId="073B321E" w14:textId="77777777" w:rsidTr="00FC6AE2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088A" w14:textId="77777777" w:rsidR="00A259C9" w:rsidRPr="00A259C9" w:rsidRDefault="00A259C9" w:rsidP="00A259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55F9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0201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C452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3D40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BAAF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9DEB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5E4EA256" w14:textId="77777777" w:rsidTr="00FC6AE2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520A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F265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DF56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CD7F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4027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E8CA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8F4E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1E4B5CA1" w14:textId="77777777" w:rsidTr="00FC6AE2">
        <w:trPr>
          <w:trHeight w:val="300"/>
        </w:trPr>
        <w:tc>
          <w:tcPr>
            <w:tcW w:w="46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B8F4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Záruka na motory SOMFY je 60 měsíců.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17D8" w14:textId="77777777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A3F2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32AA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0DC55C52" w14:textId="77777777" w:rsidTr="00FC6AE2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6129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361E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D6AA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39AE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C738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5E54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6BB9" w14:textId="77777777" w:rsidR="00A259C9" w:rsidRPr="00A259C9" w:rsidRDefault="00A259C9" w:rsidP="00A259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59C9" w:rsidRPr="00A259C9" w14:paraId="523E0001" w14:textId="77777777" w:rsidTr="00FC6AE2">
        <w:trPr>
          <w:trHeight w:val="118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6D89" w14:textId="3533B398" w:rsidR="00A259C9" w:rsidRPr="00A259C9" w:rsidRDefault="00A259C9" w:rsidP="00A259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259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Akrylové tkaniny jsou vybaveny vodě odpudivou impregnací a při dodržení předepsaného sklonu konstrukce minimálně 14°, voda snadno stéká a nevytvoří se tzv. vana nebo břicho.</w:t>
            </w:r>
          </w:p>
        </w:tc>
      </w:tr>
    </w:tbl>
    <w:p w14:paraId="6110A458" w14:textId="77777777" w:rsidR="00231D46" w:rsidRDefault="00231D46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0129238" w14:textId="77777777" w:rsidR="00231D46" w:rsidRDefault="00231D46" w:rsidP="00231D46">
      <w:pPr>
        <w:pStyle w:val="Styl"/>
        <w:tabs>
          <w:tab w:val="center" w:pos="2268"/>
          <w:tab w:val="left" w:pos="5670"/>
        </w:tabs>
        <w:ind w:left="-567" w:hanging="425"/>
        <w:rPr>
          <w:b/>
          <w:color w:val="000000"/>
        </w:rPr>
      </w:pPr>
    </w:p>
    <w:sectPr w:rsidR="00231D46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6890" w14:textId="77777777" w:rsidR="006D7545" w:rsidRDefault="006D7545" w:rsidP="00583CC5">
      <w:r>
        <w:separator/>
      </w:r>
    </w:p>
  </w:endnote>
  <w:endnote w:type="continuationSeparator" w:id="0">
    <w:p w14:paraId="65DA554A" w14:textId="77777777" w:rsidR="006D7545" w:rsidRDefault="006D7545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E6A5" w14:textId="77777777" w:rsidR="006D7545" w:rsidRDefault="006D7545" w:rsidP="00583CC5">
      <w:r>
        <w:separator/>
      </w:r>
    </w:p>
  </w:footnote>
  <w:footnote w:type="continuationSeparator" w:id="0">
    <w:p w14:paraId="0B8944BF" w14:textId="77777777" w:rsidR="006D7545" w:rsidRDefault="006D7545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881557203">
    <w:abstractNumId w:val="26"/>
  </w:num>
  <w:num w:numId="2" w16cid:durableId="173113057">
    <w:abstractNumId w:val="2"/>
  </w:num>
  <w:num w:numId="3" w16cid:durableId="413093980">
    <w:abstractNumId w:val="12"/>
  </w:num>
  <w:num w:numId="4" w16cid:durableId="98573330">
    <w:abstractNumId w:val="6"/>
  </w:num>
  <w:num w:numId="5" w16cid:durableId="1762096612">
    <w:abstractNumId w:val="0"/>
  </w:num>
  <w:num w:numId="6" w16cid:durableId="647519418">
    <w:abstractNumId w:val="32"/>
  </w:num>
  <w:num w:numId="7" w16cid:durableId="2060783555">
    <w:abstractNumId w:val="21"/>
  </w:num>
  <w:num w:numId="8" w16cid:durableId="1466701096">
    <w:abstractNumId w:val="24"/>
  </w:num>
  <w:num w:numId="9" w16cid:durableId="972489080">
    <w:abstractNumId w:val="23"/>
  </w:num>
  <w:num w:numId="10" w16cid:durableId="874267821">
    <w:abstractNumId w:val="31"/>
  </w:num>
  <w:num w:numId="11" w16cid:durableId="1848708411">
    <w:abstractNumId w:val="16"/>
  </w:num>
  <w:num w:numId="12" w16cid:durableId="191842814">
    <w:abstractNumId w:val="14"/>
  </w:num>
  <w:num w:numId="13" w16cid:durableId="1801413550">
    <w:abstractNumId w:val="22"/>
  </w:num>
  <w:num w:numId="14" w16cid:durableId="1748729407">
    <w:abstractNumId w:val="13"/>
  </w:num>
  <w:num w:numId="15" w16cid:durableId="339357088">
    <w:abstractNumId w:val="8"/>
  </w:num>
  <w:num w:numId="16" w16cid:durableId="206454424">
    <w:abstractNumId w:val="3"/>
  </w:num>
  <w:num w:numId="17" w16cid:durableId="1597596779">
    <w:abstractNumId w:val="11"/>
  </w:num>
  <w:num w:numId="18" w16cid:durableId="1793398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926187">
    <w:abstractNumId w:val="1"/>
  </w:num>
  <w:num w:numId="20" w16cid:durableId="1492479474">
    <w:abstractNumId w:val="30"/>
  </w:num>
  <w:num w:numId="21" w16cid:durableId="270017442">
    <w:abstractNumId w:val="18"/>
  </w:num>
  <w:num w:numId="22" w16cid:durableId="1064834981">
    <w:abstractNumId w:val="25"/>
  </w:num>
  <w:num w:numId="23" w16cid:durableId="1733893224">
    <w:abstractNumId w:val="28"/>
  </w:num>
  <w:num w:numId="24" w16cid:durableId="1619794743">
    <w:abstractNumId w:val="4"/>
  </w:num>
  <w:num w:numId="25" w16cid:durableId="1851330497">
    <w:abstractNumId w:val="19"/>
  </w:num>
  <w:num w:numId="26" w16cid:durableId="1128233059">
    <w:abstractNumId w:val="20"/>
  </w:num>
  <w:num w:numId="27" w16cid:durableId="281958145">
    <w:abstractNumId w:val="17"/>
  </w:num>
  <w:num w:numId="28" w16cid:durableId="274945630">
    <w:abstractNumId w:val="9"/>
  </w:num>
  <w:num w:numId="29" w16cid:durableId="867371845">
    <w:abstractNumId w:val="27"/>
  </w:num>
  <w:num w:numId="30" w16cid:durableId="58598812">
    <w:abstractNumId w:val="15"/>
  </w:num>
  <w:num w:numId="31" w16cid:durableId="838423034">
    <w:abstractNumId w:val="29"/>
  </w:num>
  <w:num w:numId="32" w16cid:durableId="2022773850">
    <w:abstractNumId w:val="5"/>
  </w:num>
  <w:num w:numId="33" w16cid:durableId="757286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25BD7"/>
    <w:rsid w:val="00077221"/>
    <w:rsid w:val="000E3AF4"/>
    <w:rsid w:val="001008B9"/>
    <w:rsid w:val="00126E30"/>
    <w:rsid w:val="00153E6F"/>
    <w:rsid w:val="001A61DA"/>
    <w:rsid w:val="001C32C6"/>
    <w:rsid w:val="001F6B6A"/>
    <w:rsid w:val="0023186F"/>
    <w:rsid w:val="00231D46"/>
    <w:rsid w:val="002644F9"/>
    <w:rsid w:val="0028789E"/>
    <w:rsid w:val="002E0AFA"/>
    <w:rsid w:val="00312A80"/>
    <w:rsid w:val="003165C4"/>
    <w:rsid w:val="00487563"/>
    <w:rsid w:val="004A46AE"/>
    <w:rsid w:val="004E1768"/>
    <w:rsid w:val="00565069"/>
    <w:rsid w:val="00571502"/>
    <w:rsid w:val="00583CC5"/>
    <w:rsid w:val="0059786B"/>
    <w:rsid w:val="005B540D"/>
    <w:rsid w:val="005E6862"/>
    <w:rsid w:val="0062393C"/>
    <w:rsid w:val="0066277D"/>
    <w:rsid w:val="00675238"/>
    <w:rsid w:val="00692B93"/>
    <w:rsid w:val="00697787"/>
    <w:rsid w:val="006A3055"/>
    <w:rsid w:val="006D7545"/>
    <w:rsid w:val="00770FBD"/>
    <w:rsid w:val="007967C9"/>
    <w:rsid w:val="007A3E39"/>
    <w:rsid w:val="007D593E"/>
    <w:rsid w:val="00826202"/>
    <w:rsid w:val="008515B9"/>
    <w:rsid w:val="0085504D"/>
    <w:rsid w:val="00893DE1"/>
    <w:rsid w:val="008C28EE"/>
    <w:rsid w:val="008D06C4"/>
    <w:rsid w:val="008E1FAD"/>
    <w:rsid w:val="008F0397"/>
    <w:rsid w:val="0090768A"/>
    <w:rsid w:val="00911FDE"/>
    <w:rsid w:val="009244F9"/>
    <w:rsid w:val="0093661D"/>
    <w:rsid w:val="00950D80"/>
    <w:rsid w:val="009573D3"/>
    <w:rsid w:val="00963747"/>
    <w:rsid w:val="00973AE6"/>
    <w:rsid w:val="00994861"/>
    <w:rsid w:val="009A4591"/>
    <w:rsid w:val="009B08B5"/>
    <w:rsid w:val="009D3AA4"/>
    <w:rsid w:val="009D7E61"/>
    <w:rsid w:val="009F78F7"/>
    <w:rsid w:val="00A03C83"/>
    <w:rsid w:val="00A259C9"/>
    <w:rsid w:val="00A33670"/>
    <w:rsid w:val="00AB0FD4"/>
    <w:rsid w:val="00AD01A2"/>
    <w:rsid w:val="00AD3B63"/>
    <w:rsid w:val="00B405E7"/>
    <w:rsid w:val="00BA7B07"/>
    <w:rsid w:val="00BF45DF"/>
    <w:rsid w:val="00C4114B"/>
    <w:rsid w:val="00C5302C"/>
    <w:rsid w:val="00C63BC4"/>
    <w:rsid w:val="00C82155"/>
    <w:rsid w:val="00CC32B3"/>
    <w:rsid w:val="00CD0246"/>
    <w:rsid w:val="00CD6EC9"/>
    <w:rsid w:val="00CE7887"/>
    <w:rsid w:val="00D2067A"/>
    <w:rsid w:val="00D87F4B"/>
    <w:rsid w:val="00E33B13"/>
    <w:rsid w:val="00E62CF5"/>
    <w:rsid w:val="00EE0C73"/>
    <w:rsid w:val="00F20132"/>
    <w:rsid w:val="00F32A9A"/>
    <w:rsid w:val="00F44ABF"/>
    <w:rsid w:val="00F46FBB"/>
    <w:rsid w:val="00F97AF4"/>
    <w:rsid w:val="00FC6AE2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ouc&#237;%20skladu,%20romp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EBC2-4E49-4DDA-BDE2-47FF56B6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2154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2025-10-03T12:26:00Z</cp:lastPrinted>
  <dcterms:created xsi:type="dcterms:W3CDTF">2025-10-09T10:30:00Z</dcterms:created>
  <dcterms:modified xsi:type="dcterms:W3CDTF">2025-10-09T10:31:00Z</dcterms:modified>
</cp:coreProperties>
</file>