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5030" w:h="326" w:wrap="none" w:hAnchor="page" w:x="1016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Rámcová dohoda na potápěčské práce pro roky 2025 a 2026</w:t>
      </w:r>
    </w:p>
    <w:p>
      <w:pPr>
        <w:pStyle w:val="Style5"/>
        <w:keepNext w:val="0"/>
        <w:keepLines w:val="0"/>
        <w:framePr w:w="2976" w:h="302" w:wrap="none" w:hAnchor="page" w:x="790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CENÍK POTÁPĚČSKÝCH PRACÍ</w:t>
      </w:r>
    </w:p>
    <w:p>
      <w:pPr>
        <w:pStyle w:val="Style8"/>
        <w:keepNext w:val="0"/>
        <w:keepLines w:val="0"/>
        <w:framePr w:w="1306" w:h="274" w:wrap="none" w:hAnchor="page" w:x="1035" w:y="145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15.09.2025</w:t>
      </w:r>
    </w:p>
    <w:p>
      <w:pPr>
        <w:pStyle w:val="Style8"/>
        <w:keepNext w:val="0"/>
        <w:keepLines w:val="0"/>
        <w:framePr w:w="1085" w:h="1973" w:wrap="none" w:hAnchor="page" w:x="8821" w:y="1547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</w:t>
      </w:r>
    </w:p>
    <w:p>
      <w:pPr>
        <w:pStyle w:val="Style8"/>
        <w:keepNext w:val="0"/>
        <w:keepLines w:val="0"/>
        <w:framePr w:w="1085" w:h="1973" w:wrap="none" w:hAnchor="page" w:x="8821" w:y="1547"/>
        <w:widowControl w:val="0"/>
        <w:shd w:val="clear" w:color="auto" w:fill="auto"/>
        <w:bidi w:val="0"/>
        <w:spacing w:before="0" w:after="120" w:line="240" w:lineRule="auto"/>
        <w:ind w:left="0" w:right="0" w:firstLine="4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5 700,00</w:t>
      </w:r>
    </w:p>
    <w:p>
      <w:pPr>
        <w:pStyle w:val="Style8"/>
        <w:keepNext w:val="0"/>
        <w:keepLines w:val="0"/>
        <w:framePr w:w="1085" w:h="1973" w:wrap="none" w:hAnchor="page" w:x="8821" w:y="1547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1973" w:wrap="none" w:hAnchor="page" w:x="8821" w:y="1547"/>
        <w:widowControl w:val="0"/>
        <w:shd w:val="clear" w:color="auto" w:fill="auto"/>
        <w:bidi w:val="0"/>
        <w:spacing w:before="0" w:after="22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1973" w:wrap="none" w:hAnchor="page" w:x="8821" w:y="1547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5 700,00</w:t>
      </w:r>
    </w:p>
    <w:p>
      <w:pPr>
        <w:pStyle w:val="Style8"/>
        <w:keepNext w:val="0"/>
        <w:keepLines w:val="0"/>
        <w:framePr w:w="1085" w:h="1973" w:wrap="none" w:hAnchor="page" w:x="8821" w:y="1547"/>
        <w:widowControl w:val="0"/>
        <w:shd w:val="clear" w:color="auto" w:fill="auto"/>
        <w:bidi w:val="0"/>
        <w:spacing w:before="0" w:after="18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100" w:line="240" w:lineRule="auto"/>
        <w:ind w:left="0" w:right="22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22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8400" w:wrap="none" w:hAnchor="page" w:x="8821" w:y="3803"/>
        <w:widowControl w:val="0"/>
        <w:shd w:val="clear" w:color="auto" w:fill="auto"/>
        <w:bidi w:val="0"/>
        <w:spacing w:before="0" w:after="100" w:line="240" w:lineRule="auto"/>
        <w:ind w:left="0" w:right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1882" w:wrap="none" w:hAnchor="page" w:x="8821" w:y="12505"/>
        <w:widowControl w:val="0"/>
        <w:shd w:val="clear" w:color="auto" w:fill="auto"/>
        <w:bidi w:val="0"/>
        <w:spacing w:before="0" w:after="100" w:line="240" w:lineRule="auto"/>
        <w:ind w:left="0" w:right="22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</w:t>
      </w:r>
    </w:p>
    <w:p>
      <w:pPr>
        <w:pStyle w:val="Style8"/>
        <w:keepNext w:val="0"/>
        <w:keepLines w:val="0"/>
        <w:framePr w:w="1085" w:h="1882" w:wrap="none" w:hAnchor="page" w:x="8821" w:y="12505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1882" w:wrap="none" w:hAnchor="page" w:x="8821" w:y="12505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1882" w:wrap="none" w:hAnchor="page" w:x="8821" w:y="12505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1882" w:wrap="none" w:hAnchor="page" w:x="8821" w:y="12505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1882" w:wrap="none" w:hAnchor="page" w:x="8821" w:y="12505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1882" w:wrap="none" w:hAnchor="page" w:x="8821" w:y="12505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1085" w:h="1882" w:wrap="none" w:hAnchor="page" w:x="8821" w:y="12505"/>
        <w:widowControl w:val="0"/>
        <w:shd w:val="clear" w:color="auto" w:fill="auto"/>
        <w:bidi w:val="0"/>
        <w:spacing w:before="0" w:after="60" w:line="240" w:lineRule="auto"/>
        <w:ind w:left="0" w:right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2"/>
        <w:keepNext w:val="0"/>
        <w:keepLines w:val="0"/>
        <w:framePr w:w="7474" w:h="1099" w:wrap="none" w:hAnchor="page" w:x="1035" w:y="683"/>
        <w:widowControl w:val="0"/>
        <w:shd w:val="clear" w:color="auto" w:fill="auto"/>
        <w:tabs>
          <w:tab w:pos="4382" w:val="left"/>
        </w:tabs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1 - Ceník potápěčských prací pro roky 2025 a 2026</w:t>
        <w:br/>
        <w:t>položka</w:t>
        <w:tab/>
        <w:t>cena bez DPH</w:t>
      </w:r>
    </w:p>
    <w:p>
      <w:pPr>
        <w:pStyle w:val="Style5"/>
        <w:keepNext w:val="0"/>
        <w:keepLines w:val="0"/>
        <w:framePr w:w="7474" w:h="1099" w:wrap="none" w:hAnchor="page" w:x="1035" w:y="683"/>
        <w:widowControl w:val="0"/>
        <w:shd w:val="clear" w:color="auto" w:fill="auto"/>
        <w:tabs>
          <w:tab w:pos="503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Potápěčské práce stavební:</w:t>
        <w:tab/>
        <w:t xml:space="preserve">jednotka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počet cena Kč za</w:t>
      </w:r>
    </w:p>
    <w:p>
      <w:pPr>
        <w:pStyle w:val="Style5"/>
        <w:keepNext w:val="0"/>
        <w:keepLines w:val="0"/>
        <w:framePr w:w="7474" w:h="1099" w:wrap="none" w:hAnchor="page" w:x="1035" w:y="683"/>
        <w:widowControl w:val="0"/>
        <w:shd w:val="clear" w:color="auto" w:fill="auto"/>
        <w:bidi w:val="0"/>
        <w:spacing w:before="0" w:after="0" w:line="180" w:lineRule="auto"/>
        <w:ind w:left="5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jednotka</w:t>
      </w:r>
    </w:p>
    <w:tbl>
      <w:tblPr>
        <w:tblOverlap w:val="never"/>
        <w:jc w:val="left"/>
        <w:tblLayout w:type="fixed"/>
      </w:tblPr>
      <w:tblGrid>
        <w:gridCol w:w="629"/>
        <w:gridCol w:w="4142"/>
        <w:gridCol w:w="1037"/>
        <w:gridCol w:w="859"/>
        <w:gridCol w:w="898"/>
      </w:tblGrid>
      <w:tr>
        <w:trPr>
          <w:trHeight w:val="230" w:hRule="exact"/>
        </w:trPr>
        <w:tc>
          <w:tcPr>
            <w:gridSpan w:val="5"/>
            <w:tcBorders>
              <w:left w:val="single" w:sz="4"/>
            </w:tcBorders>
            <w:shd w:val="clear" w:color="auto" w:fill="FFFF01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potápěčské práce 2025 </w:t>
            </w:r>
            <w:r>
              <w:rPr>
                <w:b/>
                <w:bCs/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VÍCEPRÁCE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1999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2450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3800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speciální přilbová souprava do kontaminované vody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8999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3999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bruska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7565" w:h="12250" w:vSpace="197" w:wrap="none" w:hAnchor="page" w:x="1035" w:y="21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7565" w:h="12250" w:vSpace="197" w:wrap="none" w:hAnchor="page" w:x="1035" w:y="212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7565" w:h="12250" w:vSpace="197" w:wrap="none" w:hAnchor="page" w:x="1035" w:y="2128"/>
        <w:widowControl w:val="0"/>
        <w:spacing w:line="1" w:lineRule="exact"/>
      </w:pPr>
    </w:p>
    <w:p>
      <w:pPr>
        <w:pStyle w:val="Style15"/>
        <w:keepNext w:val="0"/>
        <w:keepLines w:val="0"/>
        <w:framePr w:w="7474" w:h="250" w:wrap="none" w:hAnchor="page" w:x="1035" w:y="19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 - HC Nechranice - kontrola a následné vyčištění prahu hradící tabule na vtoku č.2, číslo akce 216 700 -</w:t>
      </w:r>
    </w:p>
    <w:p>
      <w:pPr>
        <w:widowControl w:val="0"/>
        <w:spacing w:line="360" w:lineRule="exact"/>
      </w:pPr>
      <w:r>
        <w:drawing>
          <wp:anchor distT="0" distB="262255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429895</wp:posOffset>
            </wp:positionV>
            <wp:extent cx="5681345" cy="87083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81345" cy="8708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9" w:h="16838"/>
      <w:pgMar w:top="408" w:left="996" w:right="1025" w:bottom="610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6850380</wp:posOffset>
              </wp:positionH>
              <wp:positionV relativeFrom="page">
                <wp:posOffset>10241280</wp:posOffset>
              </wp:positionV>
              <wp:extent cx="52070" cy="1339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9.39999999999998pt;margin-top:806.39999999999998pt;width:4.0999999999999996pt;height:10.5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8">
    <w:name w:val="Char Style 18"/>
    <w:basedOn w:val="DefaultParagraphFont"/>
    <w:link w:val="Style1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434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ind w:left="2530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ind w:firstLine="7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