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1D376DE1" w:rsidR="00DF56FC" w:rsidRPr="00DF56FC" w:rsidRDefault="00DF56FC" w:rsidP="00DF56FC">
      <w:pPr>
        <w:jc w:val="center"/>
      </w:pPr>
      <w:r w:rsidRPr="00954E04">
        <w:t xml:space="preserve">Číslo: </w:t>
      </w:r>
      <w:r w:rsidRPr="00954E04">
        <w:rPr>
          <w:b/>
          <w:bCs/>
        </w:rPr>
        <w:t>SPA</w:t>
      </w:r>
      <w:r w:rsidR="004F2E33" w:rsidRPr="00954E04">
        <w:rPr>
          <w:b/>
          <w:bCs/>
        </w:rPr>
        <w:t>-</w:t>
      </w:r>
      <w:r w:rsidRPr="00954E04">
        <w:rPr>
          <w:b/>
          <w:bCs/>
        </w:rPr>
        <w:t>202</w:t>
      </w:r>
      <w:r w:rsidR="00BD38E3" w:rsidRPr="00954E04">
        <w:rPr>
          <w:b/>
          <w:bCs/>
        </w:rPr>
        <w:t>5</w:t>
      </w:r>
      <w:r w:rsidRPr="00954E04">
        <w:rPr>
          <w:b/>
          <w:bCs/>
        </w:rPr>
        <w:t>-800</w:t>
      </w:r>
      <w:r w:rsidR="004F2E33" w:rsidRPr="00954E04">
        <w:rPr>
          <w:b/>
          <w:bCs/>
        </w:rPr>
        <w:t>-</w:t>
      </w:r>
      <w:r w:rsidRPr="00954E04">
        <w:rPr>
          <w:b/>
          <w:bCs/>
        </w:rPr>
        <w:t>000</w:t>
      </w:r>
      <w:r w:rsidR="0057307B" w:rsidRPr="00954E04">
        <w:rPr>
          <w:b/>
          <w:bCs/>
        </w:rPr>
        <w:t>219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40D00D9F" w:rsidR="00F511FA" w:rsidRPr="00F511FA" w:rsidRDefault="00F511FA" w:rsidP="00F511FA">
      <w:r w:rsidRPr="00F511FA">
        <w:t xml:space="preserve">předseda představenstva </w:t>
      </w:r>
    </w:p>
    <w:p w14:paraId="436EB08A" w14:textId="08A75200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74591513" w14:textId="77777777" w:rsidR="00251664" w:rsidRPr="00954E04" w:rsidRDefault="00251664" w:rsidP="00251664">
      <w:pPr>
        <w:rPr>
          <w:b/>
          <w:bCs/>
        </w:rPr>
      </w:pPr>
      <w:r w:rsidRPr="00954E04">
        <w:rPr>
          <w:b/>
          <w:bCs/>
        </w:rPr>
        <w:t xml:space="preserve">STURMBAU s.r.o., </w:t>
      </w:r>
    </w:p>
    <w:p w14:paraId="188A64FA" w14:textId="77777777" w:rsidR="00251664" w:rsidRPr="00954E04" w:rsidRDefault="00251664" w:rsidP="00251664">
      <w:r w:rsidRPr="00954E04">
        <w:t xml:space="preserve">se sídlem Pražská 1699/32a, PSČ 35002 Cheb, </w:t>
      </w:r>
    </w:p>
    <w:p w14:paraId="10509407" w14:textId="77777777" w:rsidR="00251664" w:rsidRPr="00954E04" w:rsidRDefault="00251664" w:rsidP="00251664">
      <w:r w:rsidRPr="00954E04">
        <w:t xml:space="preserve">IČ:056 89 376, DIČ CZ05689376, </w:t>
      </w:r>
    </w:p>
    <w:p w14:paraId="7E4B95C6" w14:textId="77777777" w:rsidR="00251664" w:rsidRPr="00954E04" w:rsidRDefault="00251664" w:rsidP="00251664">
      <w:r w:rsidRPr="00954E04">
        <w:t>společnost zapsaná v obchodním rejstříku vedeném u Krajského soudu v Plzni, v oddíle C vložce 33852</w:t>
      </w:r>
    </w:p>
    <w:p w14:paraId="34BDC6D7" w14:textId="77777777" w:rsidR="00251664" w:rsidRPr="00954E04" w:rsidRDefault="00251664" w:rsidP="00251664">
      <w:r w:rsidRPr="00954E04">
        <w:t>Společnost zastoupená:</w:t>
      </w:r>
    </w:p>
    <w:p w14:paraId="6F81EDF6" w14:textId="1601772F" w:rsidR="00251664" w:rsidRPr="00954E04" w:rsidRDefault="00251664" w:rsidP="00251664">
      <w:r w:rsidRPr="00954E04">
        <w:t>, jednatel</w:t>
      </w:r>
    </w:p>
    <w:p w14:paraId="6692D79F" w14:textId="77777777" w:rsidR="00251664" w:rsidRPr="00954E04" w:rsidRDefault="00251664" w:rsidP="00251664">
      <w:r w:rsidRPr="00954E04">
        <w:t>Bankovní spojení: ČSOB 277942148/0300</w:t>
      </w:r>
    </w:p>
    <w:p w14:paraId="489CDA67" w14:textId="51460DDB" w:rsidR="00251664" w:rsidRPr="00954E04" w:rsidRDefault="00251664" w:rsidP="00251664">
      <w:r w:rsidRPr="00954E04">
        <w:t>Zástupce při jednání ve věcech technických</w:t>
      </w:r>
    </w:p>
    <w:p w14:paraId="6522096B" w14:textId="77777777" w:rsidR="00EA50CE" w:rsidRDefault="00EA50CE" w:rsidP="002B0C31"/>
    <w:p w14:paraId="6766F852" w14:textId="06BB93CE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4078DA08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BC7497">
        <w:t>O</w:t>
      </w:r>
      <w:r w:rsidR="00BC7497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05003E9F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BC7497">
        <w:t>Z</w:t>
      </w:r>
      <w:r w:rsidR="00BC7497" w:rsidRPr="00D72EF8">
        <w:t xml:space="preserve">hotovitelem </w:t>
      </w:r>
      <w:r w:rsidRPr="00D72EF8">
        <w:t xml:space="preserve">dle pokynů či hlášení závad ze strany </w:t>
      </w:r>
      <w:r w:rsidR="00FD7649">
        <w:t>O</w:t>
      </w:r>
      <w:r w:rsidR="00FD7649" w:rsidRPr="00D72EF8">
        <w:t>bjednatele</w:t>
      </w:r>
      <w:r w:rsidRPr="00D72EF8">
        <w:t xml:space="preserve">. </w:t>
      </w:r>
    </w:p>
    <w:p w14:paraId="0176401D" w14:textId="3E8FC386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</w:t>
      </w:r>
      <w:r w:rsidR="002C4D6F">
        <w:t>Z</w:t>
      </w:r>
      <w:r w:rsidR="002C4D6F" w:rsidRPr="00D72EF8">
        <w:t xml:space="preserve">hotovitele </w:t>
      </w:r>
      <w:r w:rsidRPr="00D72EF8">
        <w:t xml:space="preserve">dle této smlouvy) se považuje za řádně splněné dnem jeho písemného předání a převzetí. Zápis o předání a převzetí bude potvrzen oprávněnými zástupci obou </w:t>
      </w:r>
      <w:r w:rsidR="002C4D6F">
        <w:t>S</w:t>
      </w:r>
      <w:r w:rsidR="002C4D6F" w:rsidRPr="00D72EF8">
        <w:t xml:space="preserve">mluvních </w:t>
      </w:r>
      <w:r w:rsidRPr="00D72EF8">
        <w:t>stran.</w:t>
      </w:r>
    </w:p>
    <w:p w14:paraId="02DA6571" w14:textId="2C4CCC6A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2C4D6F">
        <w:t>Z</w:t>
      </w:r>
      <w:r w:rsidR="002C4D6F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2C4D6F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954E04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6608D1DA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2C4D6F">
        <w:t>O</w:t>
      </w:r>
      <w:r w:rsidR="002C4D6F" w:rsidRPr="00D72EF8">
        <w:t>bjednatele</w:t>
      </w:r>
      <w:r w:rsidRPr="00D72EF8">
        <w:t xml:space="preserve">. Do zahájení prací </w:t>
      </w:r>
      <w:r w:rsidR="002C4D6F">
        <w:t>Z</w:t>
      </w:r>
      <w:r w:rsidR="002C4D6F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00423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4BA28887" w:rsidR="001D27FE" w:rsidRPr="00D72EF8" w:rsidRDefault="001D27FE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2C4D6F">
        <w:rPr>
          <w:rFonts w:ascii="Times New Roman" w:hAnsi="Times New Roman"/>
          <w:sz w:val="24"/>
          <w:szCs w:val="24"/>
        </w:rPr>
        <w:t>Z</w:t>
      </w:r>
      <w:r w:rsidR="002C4D6F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2C4D6F">
        <w:rPr>
          <w:rFonts w:ascii="Times New Roman" w:hAnsi="Times New Roman"/>
          <w:sz w:val="24"/>
          <w:szCs w:val="24"/>
        </w:rPr>
        <w:t>O</w:t>
      </w:r>
      <w:r w:rsidR="002C4D6F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355C7098" w:rsidR="00555731" w:rsidRPr="00D72EF8" w:rsidRDefault="00836394" w:rsidP="00954E04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2C4D6F">
        <w:rPr>
          <w:rFonts w:ascii="Times New Roman" w:hAnsi="Times New Roman"/>
          <w:sz w:val="24"/>
          <w:szCs w:val="24"/>
        </w:rPr>
        <w:t>O</w:t>
      </w:r>
      <w:r w:rsidR="002C4D6F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365850FC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004233">
        <w:rPr>
          <w:rFonts w:ascii="Times New Roman" w:hAnsi="Times New Roman"/>
          <w:sz w:val="24"/>
          <w:szCs w:val="24"/>
        </w:rPr>
        <w:t>O</w:t>
      </w:r>
      <w:r w:rsidR="00004233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75279E3F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004233">
        <w:rPr>
          <w:rFonts w:ascii="Times New Roman" w:hAnsi="Times New Roman"/>
          <w:sz w:val="24"/>
          <w:szCs w:val="24"/>
        </w:rPr>
        <w:t>Z</w:t>
      </w:r>
      <w:r w:rsidR="00004233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11CAAD94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004233">
        <w:t>O</w:t>
      </w:r>
      <w:r w:rsidR="00004233" w:rsidRPr="00D72EF8">
        <w:t>bjednatelem</w:t>
      </w:r>
      <w:r w:rsidRPr="00D72EF8">
        <w:t xml:space="preserve">. Záruka se nevztahuje na vady vzniklé neodborným zásahem </w:t>
      </w:r>
      <w:r w:rsidR="00004233">
        <w:t>O</w:t>
      </w:r>
      <w:r w:rsidR="00004233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004233">
        <w:t>Z</w:t>
      </w:r>
      <w:r w:rsidR="00004233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2771C0FD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004233">
        <w:t>Z</w:t>
      </w:r>
      <w:r w:rsidR="00004233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06D48110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zhotovitel k jejich odstranění do 5 dnů ode dne doručení reklamace, pokud si </w:t>
      </w:r>
      <w:r w:rsidR="00004233">
        <w:t>S</w:t>
      </w:r>
      <w:r w:rsidR="00004233" w:rsidRPr="00D72EF8">
        <w:t xml:space="preserve">mluvní </w:t>
      </w:r>
      <w:r w:rsidRPr="00D72EF8">
        <w:t xml:space="preserve">strany nedohodnou jiný termín. Náklady na odstranění vady nese </w:t>
      </w:r>
      <w:r w:rsidR="00004233">
        <w:t>Z</w:t>
      </w:r>
      <w:r w:rsidR="00004233" w:rsidRPr="00D72EF8">
        <w:t xml:space="preserve">hotovitel </w:t>
      </w:r>
      <w:r w:rsidRPr="00D72EF8">
        <w:t>ze svého. Zhotovitel nesmí použít na odstranění vad jiné než sjednané materiály, pokud se s </w:t>
      </w:r>
      <w:r w:rsidR="00004233">
        <w:t>O</w:t>
      </w:r>
      <w:r w:rsidR="00004233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2E826DFC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132DC8">
        <w:t>Z</w:t>
      </w:r>
      <w:r w:rsidR="00132DC8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132DC8">
        <w:t>Z</w:t>
      </w:r>
      <w:r w:rsidR="00132DC8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5CC22633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zhotovitele se splněním povinnosti plnit předmět smlouvy řádně a včas se </w:t>
      </w:r>
      <w:r w:rsidR="00A96599">
        <w:t>Z</w:t>
      </w:r>
      <w:r w:rsidR="00A96599" w:rsidRPr="00D72EF8">
        <w:t xml:space="preserve">hotovitel </w:t>
      </w:r>
      <w:r w:rsidRPr="00D72EF8">
        <w:t>zavazuje zaplatit smluvní pokutu 1</w:t>
      </w:r>
      <w:r w:rsidR="00A96599">
        <w:t xml:space="preserve"> </w:t>
      </w:r>
      <w:r w:rsidRPr="00D72EF8">
        <w:t>000,- Kč za každý započatý den prodlení a případ porušení smlouvy.</w:t>
      </w:r>
    </w:p>
    <w:p w14:paraId="5BDC6D49" w14:textId="03EBFF3A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A96599">
        <w:t>Z</w:t>
      </w:r>
      <w:r w:rsidR="00A96599" w:rsidRPr="00D72EF8">
        <w:t xml:space="preserve">hotovitel </w:t>
      </w:r>
      <w:r w:rsidRPr="00D72EF8">
        <w:t xml:space="preserve">zavazuje zaplatit </w:t>
      </w:r>
      <w:r w:rsidR="00A96599">
        <w:t>O</w:t>
      </w:r>
      <w:r w:rsidR="00A96599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2CEED2D2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A96599">
        <w:t>Z</w:t>
      </w:r>
      <w:r w:rsidR="00A96599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611A8EDD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A96599">
        <w:t>O</w:t>
      </w:r>
      <w:r w:rsidR="00A96599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69FBE71C" w14:textId="77777777" w:rsidR="007C000A" w:rsidRPr="00D72EF8" w:rsidRDefault="007C000A" w:rsidP="007C000A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2B0C31">
      <w:pPr>
        <w:autoSpaceDE w:val="0"/>
        <w:jc w:val="center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791B9C5A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A96599">
        <w:rPr>
          <w:rFonts w:ascii="Times New Roman" w:hAnsi="Times New Roman"/>
          <w:i/>
          <w:sz w:val="24"/>
          <w:szCs w:val="24"/>
        </w:rPr>
        <w:t>O</w:t>
      </w:r>
      <w:r w:rsidR="00A96599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5640C2E2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71148755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0F62555D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4A7177AC" w:rsidR="00BC2DD8" w:rsidRPr="00A96599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A96599">
        <w:rPr>
          <w:rFonts w:ascii="Times New Roman" w:hAnsi="Times New Roman"/>
          <w:i/>
          <w:sz w:val="24"/>
          <w:szCs w:val="24"/>
        </w:rPr>
        <w:t xml:space="preserve">za </w:t>
      </w:r>
      <w:r w:rsidR="00A96599" w:rsidRPr="00A96599">
        <w:rPr>
          <w:rFonts w:ascii="Times New Roman" w:hAnsi="Times New Roman"/>
          <w:i/>
          <w:sz w:val="24"/>
          <w:szCs w:val="24"/>
        </w:rPr>
        <w:t>Zhotovitele</w:t>
      </w:r>
      <w:r w:rsidRPr="00A96599">
        <w:rPr>
          <w:rFonts w:ascii="Times New Roman" w:hAnsi="Times New Roman"/>
          <w:i/>
          <w:sz w:val="24"/>
          <w:szCs w:val="24"/>
        </w:rPr>
        <w:t>:</w:t>
      </w:r>
      <w:r w:rsidRPr="00A96599">
        <w:rPr>
          <w:rFonts w:ascii="Times New Roman" w:hAnsi="Times New Roman"/>
          <w:i/>
          <w:sz w:val="24"/>
          <w:szCs w:val="24"/>
        </w:rPr>
        <w:tab/>
      </w:r>
    </w:p>
    <w:p w14:paraId="57AC2233" w14:textId="4A80FC3E" w:rsidR="002B0C31" w:rsidRPr="00A96599" w:rsidRDefault="002B0C31" w:rsidP="006612E3">
      <w:pPr>
        <w:autoSpaceDE w:val="0"/>
        <w:spacing w:before="120" w:after="120" w:line="276" w:lineRule="auto"/>
        <w:ind w:left="2550" w:firstLine="282"/>
        <w:contextualSpacing/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68598B5E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F86059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33A4A319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F86059">
        <w:rPr>
          <w:rFonts w:ascii="Times New Roman" w:hAnsi="Times New Roman"/>
          <w:sz w:val="24"/>
          <w:szCs w:val="24"/>
        </w:rPr>
        <w:t>Z</w:t>
      </w:r>
      <w:r w:rsidR="00F86059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F86059">
        <w:rPr>
          <w:rFonts w:ascii="Times New Roman" w:hAnsi="Times New Roman"/>
          <w:sz w:val="24"/>
          <w:szCs w:val="24"/>
        </w:rPr>
        <w:t>O</w:t>
      </w:r>
      <w:r w:rsidR="00F86059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2" w:name="_Hlk128997199"/>
      <w:bookmarkStart w:id="3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09348041" w:rsidR="00F511FA" w:rsidRPr="00F86059" w:rsidRDefault="00F511FA" w:rsidP="00F511FA">
      <w:r w:rsidRPr="00F86059">
        <w:t xml:space="preserve">předseda představenstva                                                                     </w:t>
      </w:r>
      <w:r w:rsidR="000D5502" w:rsidRPr="00F86059">
        <w:t>jednatel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2"/>
    <w:p w14:paraId="562C4E58" w14:textId="02039700" w:rsidR="00BB5B24" w:rsidRPr="002B0C31" w:rsidRDefault="00F511FA" w:rsidP="00F511FA">
      <w:r w:rsidRPr="00F511FA">
        <w:t>místopředseda představenstva</w:t>
      </w:r>
      <w:bookmarkEnd w:id="3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53B3" w14:textId="77777777" w:rsidR="001F596B" w:rsidRDefault="001F596B">
      <w:r>
        <w:separator/>
      </w:r>
    </w:p>
  </w:endnote>
  <w:endnote w:type="continuationSeparator" w:id="0">
    <w:p w14:paraId="567FFD77" w14:textId="77777777" w:rsidR="001F596B" w:rsidRDefault="001F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EF86" w14:textId="77777777" w:rsidR="001F596B" w:rsidRDefault="001F596B">
      <w:r>
        <w:separator/>
      </w:r>
    </w:p>
  </w:footnote>
  <w:footnote w:type="continuationSeparator" w:id="0">
    <w:p w14:paraId="4EB481C6" w14:textId="77777777" w:rsidR="001F596B" w:rsidRDefault="001F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1935F205" w:rsidR="00C807CC" w:rsidRPr="00C807CC" w:rsidRDefault="003778DF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631434AE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70FF675B">
          <wp:extent cx="247650" cy="3524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556EDE6B" w:rsidR="00C807CC" w:rsidRPr="00C807CC" w:rsidRDefault="003778DF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1BDBAC54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01B97534">
          <wp:extent cx="247650" cy="352425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233"/>
    <w:rsid w:val="00004FB7"/>
    <w:rsid w:val="00013533"/>
    <w:rsid w:val="00013884"/>
    <w:rsid w:val="00014EDD"/>
    <w:rsid w:val="000165FA"/>
    <w:rsid w:val="000174D4"/>
    <w:rsid w:val="000270E6"/>
    <w:rsid w:val="00034CB3"/>
    <w:rsid w:val="0005576B"/>
    <w:rsid w:val="000557CE"/>
    <w:rsid w:val="0006361A"/>
    <w:rsid w:val="000A42D7"/>
    <w:rsid w:val="000A6B20"/>
    <w:rsid w:val="000A7B0F"/>
    <w:rsid w:val="000D0986"/>
    <w:rsid w:val="000D5502"/>
    <w:rsid w:val="000F651E"/>
    <w:rsid w:val="001236D7"/>
    <w:rsid w:val="001254C6"/>
    <w:rsid w:val="00132DC8"/>
    <w:rsid w:val="0013634A"/>
    <w:rsid w:val="0016566F"/>
    <w:rsid w:val="0016697C"/>
    <w:rsid w:val="00183FB3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1F596B"/>
    <w:rsid w:val="00200C35"/>
    <w:rsid w:val="00211ADD"/>
    <w:rsid w:val="00244E05"/>
    <w:rsid w:val="00251664"/>
    <w:rsid w:val="002605F5"/>
    <w:rsid w:val="00262D01"/>
    <w:rsid w:val="00265C1A"/>
    <w:rsid w:val="00266DF3"/>
    <w:rsid w:val="00277ED8"/>
    <w:rsid w:val="00285FF4"/>
    <w:rsid w:val="00293D07"/>
    <w:rsid w:val="0029657B"/>
    <w:rsid w:val="00296D73"/>
    <w:rsid w:val="002A7F5F"/>
    <w:rsid w:val="002B0C31"/>
    <w:rsid w:val="002C4D6F"/>
    <w:rsid w:val="002D16A8"/>
    <w:rsid w:val="002D3F51"/>
    <w:rsid w:val="003006D2"/>
    <w:rsid w:val="0031262F"/>
    <w:rsid w:val="00315030"/>
    <w:rsid w:val="003309BC"/>
    <w:rsid w:val="0033562E"/>
    <w:rsid w:val="003647AD"/>
    <w:rsid w:val="003778DF"/>
    <w:rsid w:val="00390ADD"/>
    <w:rsid w:val="00392F70"/>
    <w:rsid w:val="003B439A"/>
    <w:rsid w:val="003B527C"/>
    <w:rsid w:val="003C5EC4"/>
    <w:rsid w:val="003D440F"/>
    <w:rsid w:val="003D60FD"/>
    <w:rsid w:val="003E4052"/>
    <w:rsid w:val="003F1C13"/>
    <w:rsid w:val="0040222C"/>
    <w:rsid w:val="00412597"/>
    <w:rsid w:val="00416C08"/>
    <w:rsid w:val="0043144D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4E6"/>
    <w:rsid w:val="004B4CA2"/>
    <w:rsid w:val="004B6815"/>
    <w:rsid w:val="004C3FC2"/>
    <w:rsid w:val="004C5AF9"/>
    <w:rsid w:val="004D18DB"/>
    <w:rsid w:val="004E59C9"/>
    <w:rsid w:val="004F2E33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307B"/>
    <w:rsid w:val="0057450A"/>
    <w:rsid w:val="00590CFE"/>
    <w:rsid w:val="005A129B"/>
    <w:rsid w:val="005A4035"/>
    <w:rsid w:val="005B2ED9"/>
    <w:rsid w:val="005B690A"/>
    <w:rsid w:val="005C1998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612E3"/>
    <w:rsid w:val="0067451A"/>
    <w:rsid w:val="006810AF"/>
    <w:rsid w:val="00682762"/>
    <w:rsid w:val="006853B7"/>
    <w:rsid w:val="00690978"/>
    <w:rsid w:val="006934F4"/>
    <w:rsid w:val="006B54F8"/>
    <w:rsid w:val="006D177F"/>
    <w:rsid w:val="006D5A98"/>
    <w:rsid w:val="006E0316"/>
    <w:rsid w:val="006F3BCC"/>
    <w:rsid w:val="006F67F3"/>
    <w:rsid w:val="00701C83"/>
    <w:rsid w:val="00716BEC"/>
    <w:rsid w:val="00717915"/>
    <w:rsid w:val="00720CDD"/>
    <w:rsid w:val="007214EA"/>
    <w:rsid w:val="007363E0"/>
    <w:rsid w:val="00744458"/>
    <w:rsid w:val="0076454D"/>
    <w:rsid w:val="00764623"/>
    <w:rsid w:val="00782B6B"/>
    <w:rsid w:val="007A4E55"/>
    <w:rsid w:val="007B220C"/>
    <w:rsid w:val="007B2D0B"/>
    <w:rsid w:val="007B4512"/>
    <w:rsid w:val="007C000A"/>
    <w:rsid w:val="007D609B"/>
    <w:rsid w:val="007F25CB"/>
    <w:rsid w:val="007F37EE"/>
    <w:rsid w:val="007F7ECC"/>
    <w:rsid w:val="008138E9"/>
    <w:rsid w:val="008220FC"/>
    <w:rsid w:val="00831B26"/>
    <w:rsid w:val="0083561A"/>
    <w:rsid w:val="00836394"/>
    <w:rsid w:val="008411DC"/>
    <w:rsid w:val="00846D48"/>
    <w:rsid w:val="00847C7F"/>
    <w:rsid w:val="00854332"/>
    <w:rsid w:val="0087532D"/>
    <w:rsid w:val="00892029"/>
    <w:rsid w:val="00893801"/>
    <w:rsid w:val="008A51DB"/>
    <w:rsid w:val="008A6E1E"/>
    <w:rsid w:val="008B2B58"/>
    <w:rsid w:val="008C14BF"/>
    <w:rsid w:val="008C3059"/>
    <w:rsid w:val="008C4410"/>
    <w:rsid w:val="008D1388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54E04"/>
    <w:rsid w:val="00960E84"/>
    <w:rsid w:val="00965327"/>
    <w:rsid w:val="00993EBF"/>
    <w:rsid w:val="009B0F2E"/>
    <w:rsid w:val="009B247A"/>
    <w:rsid w:val="009B47EB"/>
    <w:rsid w:val="009C2284"/>
    <w:rsid w:val="009C398E"/>
    <w:rsid w:val="009C50AA"/>
    <w:rsid w:val="009D08EF"/>
    <w:rsid w:val="009D4FAB"/>
    <w:rsid w:val="009D5F09"/>
    <w:rsid w:val="009E3319"/>
    <w:rsid w:val="009E381C"/>
    <w:rsid w:val="009E3D7E"/>
    <w:rsid w:val="009E6161"/>
    <w:rsid w:val="009F5229"/>
    <w:rsid w:val="00A075F9"/>
    <w:rsid w:val="00A07970"/>
    <w:rsid w:val="00A110F2"/>
    <w:rsid w:val="00A20539"/>
    <w:rsid w:val="00A361FF"/>
    <w:rsid w:val="00A424FD"/>
    <w:rsid w:val="00A61725"/>
    <w:rsid w:val="00A61FB6"/>
    <w:rsid w:val="00A72A65"/>
    <w:rsid w:val="00A8075A"/>
    <w:rsid w:val="00A8598B"/>
    <w:rsid w:val="00A907D8"/>
    <w:rsid w:val="00A96599"/>
    <w:rsid w:val="00AA251B"/>
    <w:rsid w:val="00AA4737"/>
    <w:rsid w:val="00AB7CAE"/>
    <w:rsid w:val="00AC1CE1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B5B24"/>
    <w:rsid w:val="00BC2DD8"/>
    <w:rsid w:val="00BC428C"/>
    <w:rsid w:val="00BC7497"/>
    <w:rsid w:val="00BD38E3"/>
    <w:rsid w:val="00C027D9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D17E3"/>
    <w:rsid w:val="00CF3ED1"/>
    <w:rsid w:val="00D07B85"/>
    <w:rsid w:val="00D1388E"/>
    <w:rsid w:val="00D143F8"/>
    <w:rsid w:val="00D171E4"/>
    <w:rsid w:val="00D264E8"/>
    <w:rsid w:val="00D307CD"/>
    <w:rsid w:val="00D42304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4FE2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12A8"/>
    <w:rsid w:val="00ED3E4D"/>
    <w:rsid w:val="00ED604A"/>
    <w:rsid w:val="00EE2FF3"/>
    <w:rsid w:val="00EE724E"/>
    <w:rsid w:val="00EF3519"/>
    <w:rsid w:val="00EF5EC4"/>
    <w:rsid w:val="00F511FA"/>
    <w:rsid w:val="00F62299"/>
    <w:rsid w:val="00F7335B"/>
    <w:rsid w:val="00F7414B"/>
    <w:rsid w:val="00F751DC"/>
    <w:rsid w:val="00F86059"/>
    <w:rsid w:val="00FB1DFC"/>
    <w:rsid w:val="00FD7649"/>
    <w:rsid w:val="00FF61CD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15EC-9F74-4A64-88C4-B0897933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2389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2025-10-07T12:07:00Z</dcterms:created>
  <dcterms:modified xsi:type="dcterms:W3CDTF">2025-10-07T12:07:00Z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</Properties>
</file>