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8"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6"/>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5"/>
          <w:sz w:val="20"/>
        </w:rPr>
        <w:t> </w:t>
      </w:r>
      <w:r>
        <w:rPr>
          <w:i/>
          <w:sz w:val="20"/>
        </w:rPr>
        <w:t>89/2012</w:t>
      </w:r>
      <w:r>
        <w:rPr>
          <w:i/>
          <w:spacing w:val="-5"/>
          <w:sz w:val="20"/>
        </w:rPr>
        <w:t> </w:t>
      </w:r>
      <w:r>
        <w:rPr>
          <w:i/>
          <w:sz w:val="20"/>
        </w:rPr>
        <w:t>Sb.,</w:t>
      </w:r>
      <w:r>
        <w:rPr>
          <w:i/>
          <w:spacing w:val="-5"/>
          <w:sz w:val="20"/>
        </w:rPr>
        <w:t> </w:t>
      </w:r>
      <w:r>
        <w:rPr>
          <w:i/>
          <w:sz w:val="20"/>
        </w:rPr>
        <w:t>občanského</w:t>
      </w:r>
      <w:r>
        <w:rPr>
          <w:i/>
          <w:spacing w:val="-5"/>
          <w:sz w:val="20"/>
        </w:rPr>
        <w:t> </w:t>
      </w:r>
      <w:r>
        <w:rPr>
          <w:i/>
          <w:sz w:val="20"/>
        </w:rPr>
        <w:t>zákoníku,</w:t>
      </w:r>
      <w:r>
        <w:rPr>
          <w:i/>
          <w:spacing w:val="-5"/>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40" w:lineRule="auto" w:before="75"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80" w:lineRule="auto" w:before="119"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69"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78" w:lineRule="auto" w:before="75"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74" w:after="0"/>
        <w:ind w:left="1558" w:right="137" w:hanging="709"/>
        <w:jc w:val="both"/>
        <w:rPr>
          <w:sz w:val="20"/>
        </w:rPr>
      </w:pPr>
      <w:r>
        <w:rPr>
          <w:sz w:val="20"/>
        </w:rPr>
        <w:t>není ve střetu zájmů ve smyslu zákona č. 159/2006 Sb., o střetu zájmů, ve znění pozdějších předpisů.</w:t>
      </w:r>
    </w:p>
    <w:p>
      <w:pPr>
        <w:pStyle w:val="BodyText"/>
        <w:spacing w:before="45"/>
        <w:ind w:left="0" w:firstLine="0"/>
        <w:jc w:val="left"/>
      </w:pPr>
    </w:p>
    <w:p>
      <w:pPr>
        <w:pStyle w:val="Heading1"/>
        <w:numPr>
          <w:ilvl w:val="0"/>
          <w:numId w:val="1"/>
        </w:numPr>
        <w:tabs>
          <w:tab w:pos="848" w:val="left" w:leader="none"/>
        </w:tabs>
        <w:spacing w:line="240" w:lineRule="auto" w:before="0" w:after="0"/>
        <w:ind w:left="848" w:right="0" w:hanging="707"/>
        <w:jc w:val="both"/>
      </w:pPr>
      <w:r>
        <w:rPr/>
        <w:t>PŘEDMĚT</w:t>
      </w:r>
      <w:r>
        <w:rPr>
          <w:spacing w:val="-11"/>
        </w:rPr>
        <w:t> </w:t>
      </w:r>
      <w:r>
        <w:rPr>
          <w:spacing w:val="-2"/>
        </w:rPr>
        <w:t>PLNĚNÍ</w:t>
      </w:r>
    </w:p>
    <w:p>
      <w:pPr>
        <w:pStyle w:val="ListParagraph"/>
        <w:numPr>
          <w:ilvl w:val="1"/>
          <w:numId w:val="1"/>
        </w:numPr>
        <w:tabs>
          <w:tab w:pos="849" w:val="left" w:leader="none"/>
        </w:tabs>
        <w:spacing w:line="276" w:lineRule="auto" w:before="119" w:after="0"/>
        <w:ind w:left="849" w:right="137"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2"/>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spacing w:after="0" w:line="276" w:lineRule="auto"/>
        <w:jc w:val="both"/>
        <w:rPr>
          <w:sz w:val="20"/>
        </w:rPr>
        <w:sectPr>
          <w:footerReference w:type="default" r:id="rId5"/>
          <w:type w:val="continuous"/>
          <w:pgSz w:w="11910" w:h="16840"/>
          <w:pgMar w:header="0" w:footer="1245" w:top="1320" w:bottom="1440" w:left="1275" w:right="1275"/>
          <w:pgNumType w:start="1"/>
        </w:sectPr>
      </w:pPr>
    </w:p>
    <w:p>
      <w:pPr>
        <w:pStyle w:val="ListParagraph"/>
        <w:numPr>
          <w:ilvl w:val="1"/>
          <w:numId w:val="1"/>
        </w:numPr>
        <w:tabs>
          <w:tab w:pos="849" w:val="left" w:leader="none"/>
        </w:tabs>
        <w:spacing w:line="240" w:lineRule="auto" w:before="83" w:after="0"/>
        <w:ind w:left="849" w:right="0" w:hanging="708"/>
        <w:jc w:val="left"/>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80" w:lineRule="auto" w:before="119" w:after="0"/>
        <w:ind w:left="849" w:right="138" w:hanging="709"/>
        <w:jc w:val="left"/>
        <w:rPr>
          <w:sz w:val="20"/>
        </w:rPr>
      </w:pPr>
      <w:r>
        <w:rPr>
          <w:sz w:val="20"/>
        </w:rPr>
        <w:t>Prodávající se zavazuje Zboží dodat v množství a kvalitě dohodnuté v objednávce, a není-li to v ní stanoveno, tak v kvalitě, která odpovídá účelu Smlouvy, a nové (tj. nepoužité).</w:t>
      </w:r>
    </w:p>
    <w:p>
      <w:pPr>
        <w:pStyle w:val="ListParagraph"/>
        <w:numPr>
          <w:ilvl w:val="1"/>
          <w:numId w:val="1"/>
        </w:numPr>
        <w:tabs>
          <w:tab w:pos="849" w:val="left" w:leader="none"/>
        </w:tabs>
        <w:spacing w:line="240" w:lineRule="auto" w:before="70" w:after="0"/>
        <w:ind w:left="849" w:right="0" w:hanging="708"/>
        <w:jc w:val="left"/>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0"/>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5" w:after="0"/>
        <w:ind w:left="849" w:right="0" w:hanging="708"/>
        <w:jc w:val="left"/>
        <w:rPr>
          <w:sz w:val="20"/>
        </w:rPr>
      </w:pPr>
      <w:r>
        <w:rPr>
          <w:sz w:val="20"/>
        </w:rPr>
        <w:t>Fakturu</w:t>
      </w:r>
      <w:r>
        <w:rPr>
          <w:spacing w:val="-8"/>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7"/>
          <w:sz w:val="20"/>
        </w:rPr>
        <w:t> </w:t>
      </w:r>
      <w:r>
        <w:rPr>
          <w:spacing w:val="-2"/>
          <w:sz w:val="20"/>
        </w:rPr>
        <w:t>Kupujícím.</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Kupující obdrží originál faktury. Fakturu lze doručit i elektronicky na adresu 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78" w:lineRule="auto" w:before="69" w:after="0"/>
        <w:ind w:left="849" w:right="138" w:hanging="709"/>
        <w:jc w:val="both"/>
        <w:rPr>
          <w:sz w:val="20"/>
        </w:rPr>
      </w:pPr>
      <w:r>
        <w:rPr>
          <w:sz w:val="20"/>
        </w:rPr>
        <w:t>Vystavená</w:t>
      </w:r>
      <w:r>
        <w:rPr>
          <w:spacing w:val="-11"/>
          <w:sz w:val="20"/>
        </w:rPr>
        <w:t> </w:t>
      </w:r>
      <w:r>
        <w:rPr>
          <w:sz w:val="20"/>
        </w:rPr>
        <w:t>faktura</w:t>
      </w:r>
      <w:r>
        <w:rPr>
          <w:spacing w:val="-11"/>
          <w:sz w:val="20"/>
        </w:rPr>
        <w:t> </w:t>
      </w:r>
      <w:r>
        <w:rPr>
          <w:sz w:val="20"/>
        </w:rPr>
        <w:t>mít</w:t>
      </w:r>
      <w:r>
        <w:rPr>
          <w:spacing w:val="-10"/>
          <w:sz w:val="20"/>
        </w:rPr>
        <w:t> </w:t>
      </w:r>
      <w:r>
        <w:rPr>
          <w:sz w:val="20"/>
        </w:rPr>
        <w:t>náležitosti</w:t>
      </w:r>
      <w:r>
        <w:rPr>
          <w:spacing w:val="-10"/>
          <w:sz w:val="20"/>
        </w:rPr>
        <w:t> </w:t>
      </w:r>
      <w:r>
        <w:rPr>
          <w:sz w:val="20"/>
        </w:rPr>
        <w:t>daňového</w:t>
      </w:r>
      <w:r>
        <w:rPr>
          <w:spacing w:val="-11"/>
          <w:sz w:val="20"/>
        </w:rPr>
        <w:t> </w:t>
      </w:r>
      <w:r>
        <w:rPr>
          <w:sz w:val="20"/>
        </w:rPr>
        <w:t>dokladu</w:t>
      </w:r>
      <w:r>
        <w:rPr>
          <w:spacing w:val="-11"/>
          <w:sz w:val="20"/>
        </w:rPr>
        <w:t> </w:t>
      </w:r>
      <w:r>
        <w:rPr>
          <w:sz w:val="20"/>
        </w:rPr>
        <w:t>dle</w:t>
      </w:r>
      <w:r>
        <w:rPr>
          <w:spacing w:val="-11"/>
          <w:sz w:val="20"/>
        </w:rPr>
        <w:t> </w:t>
      </w:r>
      <w:r>
        <w:rPr>
          <w:sz w:val="20"/>
        </w:rPr>
        <w:t>ustanovení</w:t>
      </w:r>
      <w:r>
        <w:rPr>
          <w:spacing w:val="-10"/>
          <w:sz w:val="20"/>
        </w:rPr>
        <w:t> </w:t>
      </w:r>
      <w:r>
        <w:rPr>
          <w:sz w:val="20"/>
        </w:rPr>
        <w:t>§</w:t>
      </w:r>
      <w:r>
        <w:rPr>
          <w:spacing w:val="-11"/>
          <w:sz w:val="20"/>
        </w:rPr>
        <w:t> </w:t>
      </w:r>
      <w:r>
        <w:rPr>
          <w:sz w:val="20"/>
        </w:rPr>
        <w:t>29</w:t>
      </w:r>
      <w:r>
        <w:rPr>
          <w:spacing w:val="-11"/>
          <w:sz w:val="20"/>
        </w:rPr>
        <w:t> </w:t>
      </w:r>
      <w:r>
        <w:rPr>
          <w:sz w:val="20"/>
        </w:rPr>
        <w:t>zákona</w:t>
      </w:r>
      <w:r>
        <w:rPr>
          <w:spacing w:val="-11"/>
          <w:sz w:val="20"/>
        </w:rPr>
        <w:t> </w:t>
      </w:r>
      <w:r>
        <w:rPr>
          <w:sz w:val="20"/>
        </w:rPr>
        <w:t>č.</w:t>
      </w:r>
      <w:r>
        <w:rPr>
          <w:spacing w:val="-10"/>
          <w:sz w:val="20"/>
        </w:rPr>
        <w:t> </w:t>
      </w:r>
      <w:r>
        <w:rPr>
          <w:sz w:val="20"/>
        </w:rPr>
        <w:t>235/2004</w:t>
      </w:r>
      <w:r>
        <w:rPr>
          <w:spacing w:val="-11"/>
          <w:sz w:val="20"/>
        </w:rPr>
        <w:t> </w:t>
      </w:r>
      <w:r>
        <w:rPr>
          <w:sz w:val="20"/>
        </w:rPr>
        <w:t>Sb., o</w:t>
      </w:r>
      <w:r>
        <w:rPr>
          <w:spacing w:val="-7"/>
          <w:sz w:val="20"/>
        </w:rPr>
        <w:t> </w:t>
      </w:r>
      <w:r>
        <w:rPr>
          <w:sz w:val="20"/>
        </w:rPr>
        <w:t>dani</w:t>
      </w:r>
      <w:r>
        <w:rPr>
          <w:spacing w:val="-7"/>
          <w:sz w:val="20"/>
        </w:rPr>
        <w:t> </w:t>
      </w:r>
      <w:r>
        <w:rPr>
          <w:sz w:val="20"/>
        </w:rPr>
        <w:t>z</w:t>
      </w:r>
      <w:r>
        <w:rPr>
          <w:spacing w:val="-2"/>
          <w:sz w:val="20"/>
        </w:rPr>
        <w:t> </w:t>
      </w:r>
      <w:r>
        <w:rPr>
          <w:sz w:val="20"/>
        </w:rPr>
        <w:t>přidané</w:t>
      </w:r>
      <w:r>
        <w:rPr>
          <w:spacing w:val="-7"/>
          <w:sz w:val="20"/>
        </w:rPr>
        <w:t> </w:t>
      </w:r>
      <w:r>
        <w:rPr>
          <w:sz w:val="20"/>
        </w:rPr>
        <w:t>hodnoty,</w:t>
      </w:r>
      <w:r>
        <w:rPr>
          <w:spacing w:val="-7"/>
          <w:sz w:val="20"/>
        </w:rPr>
        <w:t> </w:t>
      </w:r>
      <w:r>
        <w:rPr>
          <w:sz w:val="20"/>
        </w:rPr>
        <w:t>ve</w:t>
      </w:r>
      <w:r>
        <w:rPr>
          <w:spacing w:val="-7"/>
          <w:sz w:val="20"/>
        </w:rPr>
        <w:t> </w:t>
      </w:r>
      <w:r>
        <w:rPr>
          <w:sz w:val="20"/>
        </w:rPr>
        <w:t>znění</w:t>
      </w:r>
      <w:r>
        <w:rPr>
          <w:spacing w:val="-7"/>
          <w:sz w:val="20"/>
        </w:rPr>
        <w:t> </w:t>
      </w:r>
      <w:r>
        <w:rPr>
          <w:sz w:val="20"/>
        </w:rPr>
        <w:t>pozdějších</w:t>
      </w:r>
      <w:r>
        <w:rPr>
          <w:spacing w:val="-7"/>
          <w:sz w:val="20"/>
        </w:rPr>
        <w:t> </w:t>
      </w:r>
      <w:r>
        <w:rPr>
          <w:sz w:val="20"/>
        </w:rPr>
        <w:t>předpisů,</w:t>
      </w:r>
      <w:r>
        <w:rPr>
          <w:spacing w:val="-7"/>
          <w:sz w:val="20"/>
        </w:rPr>
        <w:t> </w:t>
      </w:r>
      <w:r>
        <w:rPr>
          <w:sz w:val="20"/>
        </w:rPr>
        <w:t>zákona</w:t>
      </w:r>
      <w:r>
        <w:rPr>
          <w:spacing w:val="-7"/>
          <w:sz w:val="20"/>
        </w:rPr>
        <w:t> </w:t>
      </w:r>
      <w:r>
        <w:rPr>
          <w:sz w:val="20"/>
        </w:rPr>
        <w:t>č.</w:t>
      </w:r>
      <w:r>
        <w:rPr>
          <w:spacing w:val="-7"/>
          <w:sz w:val="20"/>
        </w:rPr>
        <w:t> </w:t>
      </w:r>
      <w:r>
        <w:rPr>
          <w:sz w:val="20"/>
        </w:rPr>
        <w:t>563/1991</w:t>
      </w:r>
      <w:r>
        <w:rPr>
          <w:spacing w:val="-7"/>
          <w:sz w:val="20"/>
        </w:rPr>
        <w:t> </w:t>
      </w:r>
      <w:r>
        <w:rPr>
          <w:sz w:val="20"/>
        </w:rPr>
        <w:t>Sb.,</w:t>
      </w:r>
      <w:r>
        <w:rPr>
          <w:spacing w:val="-7"/>
          <w:sz w:val="20"/>
        </w:rPr>
        <w:t> </w:t>
      </w:r>
      <w:r>
        <w:rPr>
          <w:sz w:val="20"/>
        </w:rPr>
        <w:t>o</w:t>
      </w:r>
      <w:r>
        <w:rPr>
          <w:spacing w:val="-7"/>
          <w:sz w:val="20"/>
        </w:rPr>
        <w:t> </w:t>
      </w:r>
      <w:r>
        <w:rPr>
          <w:sz w:val="20"/>
        </w:rPr>
        <w:t>účetnictví,</w:t>
      </w:r>
      <w:r>
        <w:rPr>
          <w:spacing w:val="-7"/>
          <w:sz w:val="20"/>
        </w:rPr>
        <w:t> </w:t>
      </w:r>
      <w:r>
        <w:rPr>
          <w:sz w:val="20"/>
        </w:rPr>
        <w:t>ve znění pozdějších předpisů, a ustanovení § 435 odst. 1 občanského zákoníku.</w:t>
      </w:r>
    </w:p>
    <w:p>
      <w:pPr>
        <w:pStyle w:val="ListParagraph"/>
        <w:numPr>
          <w:ilvl w:val="1"/>
          <w:numId w:val="1"/>
        </w:numPr>
        <w:tabs>
          <w:tab w:pos="849" w:val="left" w:leader="none"/>
        </w:tabs>
        <w:spacing w:line="276" w:lineRule="auto" w:before="74" w:after="0"/>
        <w:ind w:left="849" w:right="138"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2"/>
          <w:sz w:val="20"/>
        </w:rPr>
        <w:t> </w:t>
      </w:r>
      <w:r>
        <w:rPr>
          <w:sz w:val="20"/>
        </w:rPr>
        <w:t>správcem</w:t>
      </w:r>
      <w:r>
        <w:rPr>
          <w:spacing w:val="-12"/>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1"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BodyText"/>
        <w:spacing w:before="89"/>
        <w:ind w:left="0" w:firstLine="0"/>
        <w:jc w:val="left"/>
      </w:pPr>
    </w:p>
    <w:p>
      <w:pPr>
        <w:pStyle w:val="Heading1"/>
        <w:numPr>
          <w:ilvl w:val="0"/>
          <w:numId w:val="1"/>
        </w:numPr>
        <w:tabs>
          <w:tab w:pos="848" w:val="left" w:leader="none"/>
        </w:tabs>
        <w:spacing w:line="240" w:lineRule="auto" w:before="0" w:after="0"/>
        <w:ind w:left="848" w:right="0" w:hanging="707"/>
        <w:jc w:val="both"/>
      </w:pPr>
      <w:r>
        <w:rPr/>
        <w:t>LHŮTA</w:t>
      </w:r>
      <w:r>
        <w:rPr>
          <w:spacing w:val="-8"/>
        </w:rPr>
        <w:t> </w:t>
      </w:r>
      <w:r>
        <w:rPr>
          <w:spacing w:val="-2"/>
        </w:rPr>
        <w:t>PLNĚNÍ</w:t>
      </w:r>
    </w:p>
    <w:p>
      <w:pPr>
        <w:pStyle w:val="ListParagraph"/>
        <w:numPr>
          <w:ilvl w:val="1"/>
          <w:numId w:val="1"/>
        </w:numPr>
        <w:tabs>
          <w:tab w:pos="849" w:val="left" w:leader="none"/>
        </w:tabs>
        <w:spacing w:line="280"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2"/>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8" w:lineRule="auto" w:before="70"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68"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23"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ListParagraph"/>
        <w:spacing w:after="0" w:line="240" w:lineRule="auto"/>
        <w:jc w:val="both"/>
        <w:rPr>
          <w:sz w:val="20"/>
        </w:rPr>
        <w:sectPr>
          <w:pgSz w:w="11910" w:h="16840"/>
          <w:pgMar w:header="0" w:footer="1245" w:top="1320" w:bottom="1440" w:left="1275" w:right="1275"/>
        </w:sectPr>
      </w:pPr>
    </w:p>
    <w:p>
      <w:pPr>
        <w:pStyle w:val="BodyText"/>
        <w:spacing w:line="276" w:lineRule="auto" w:before="83"/>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1"/>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9"/>
        <w:ind w:left="0" w:firstLine="0"/>
        <w:jc w:val="left"/>
      </w:pPr>
    </w:p>
    <w:p>
      <w:pPr>
        <w:pStyle w:val="Heading1"/>
        <w:numPr>
          <w:ilvl w:val="0"/>
          <w:numId w:val="1"/>
        </w:numPr>
        <w:tabs>
          <w:tab w:pos="849" w:val="left" w:leader="none"/>
        </w:tabs>
        <w:spacing w:line="240" w:lineRule="auto" w:before="0"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5"/>
        </w:rPr>
        <w:t> </w:t>
      </w:r>
      <w:r>
        <w:rPr/>
        <w:t>určeno</w:t>
      </w:r>
      <w:r>
        <w:rPr>
          <w:spacing w:val="-4"/>
        </w:rPr>
        <w:t> </w:t>
      </w:r>
      <w:r>
        <w:rPr/>
        <w:t>v</w:t>
      </w:r>
      <w:r>
        <w:rPr>
          <w:spacing w:val="-4"/>
        </w:rPr>
        <w:t> </w:t>
      </w:r>
      <w:r>
        <w:rPr>
          <w:spacing w:val="-2"/>
        </w:rPr>
        <w:t>objednávce.</w:t>
      </w:r>
    </w:p>
    <w:p>
      <w:pPr>
        <w:pStyle w:val="BodyText"/>
        <w:spacing w:before="89"/>
        <w:ind w:left="0" w:firstLine="0"/>
        <w:jc w:val="left"/>
      </w:pPr>
    </w:p>
    <w:p>
      <w:pPr>
        <w:pStyle w:val="Heading1"/>
        <w:numPr>
          <w:ilvl w:val="0"/>
          <w:numId w:val="1"/>
        </w:numPr>
        <w:tabs>
          <w:tab w:pos="849" w:val="left" w:leader="none"/>
        </w:tabs>
        <w:spacing w:line="240" w:lineRule="auto" w:before="0"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24" w:after="0"/>
        <w:ind w:left="849" w:right="137"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80" w:lineRule="auto" w:before="69" w:after="0"/>
        <w:ind w:left="849" w:right="137" w:hanging="709"/>
        <w:jc w:val="both"/>
        <w:rPr>
          <w:sz w:val="20"/>
        </w:rPr>
      </w:pPr>
      <w:r>
        <w:rPr>
          <w:sz w:val="20"/>
        </w:rPr>
        <w:t>Prodávající se zavazuje vynaložit přiměřené úsilí, které na něm lze spravedlivě požadovat,</w:t>
      </w:r>
      <w:r>
        <w:rPr>
          <w:spacing w:val="40"/>
          <w:sz w:val="20"/>
        </w:rPr>
        <w:t> </w:t>
      </w:r>
      <w:r>
        <w:rPr>
          <w:sz w:val="20"/>
        </w:rPr>
        <w:t>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3"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5"/>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3"/>
          <w:sz w:val="20"/>
        </w:rPr>
        <w:t> </w:t>
      </w:r>
      <w:r>
        <w:rPr>
          <w:sz w:val="20"/>
        </w:rPr>
        <w:t>zásadami udržitelného lesního hospodaření (např. certifikační systém FSC).</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Prodávající poskytuje na dodané Zboží záruku za jakost v</w:t>
      </w:r>
      <w:r>
        <w:rPr>
          <w:spacing w:val="-2"/>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9"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5"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3" w:after="0"/>
        <w:ind w:left="1558" w:right="136" w:hanging="709"/>
        <w:jc w:val="both"/>
        <w:rPr>
          <w:sz w:val="20"/>
        </w:rPr>
      </w:pPr>
      <w:r>
        <w:rPr>
          <w:sz w:val="20"/>
        </w:rPr>
        <w:t>na odstranění vady dodáním nového Zboží či jeho části bez vady nebo dodáním chybějícího Zboží či jeho části,</w:t>
      </w:r>
    </w:p>
    <w:p>
      <w:pPr>
        <w:pStyle w:val="ListParagraph"/>
        <w:numPr>
          <w:ilvl w:val="2"/>
          <w:numId w:val="1"/>
        </w:numPr>
        <w:tabs>
          <w:tab w:pos="1558" w:val="left" w:leader="none"/>
        </w:tabs>
        <w:spacing w:line="240" w:lineRule="auto" w:before="70" w:after="0"/>
        <w:ind w:left="1558" w:right="0" w:hanging="709"/>
        <w:jc w:val="both"/>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spacing w:after="0" w:line="240" w:lineRule="auto"/>
        <w:jc w:val="both"/>
        <w:rPr>
          <w:sz w:val="20"/>
        </w:rPr>
        <w:sectPr>
          <w:pgSz w:w="11910" w:h="16840"/>
          <w:pgMar w:header="0" w:footer="1245" w:top="1320" w:bottom="1440" w:left="1275" w:right="1275"/>
        </w:sectPr>
      </w:pPr>
    </w:p>
    <w:p>
      <w:pPr>
        <w:pStyle w:val="ListParagraph"/>
        <w:numPr>
          <w:ilvl w:val="2"/>
          <w:numId w:val="1"/>
        </w:numPr>
        <w:tabs>
          <w:tab w:pos="1558" w:val="left" w:leader="none"/>
        </w:tabs>
        <w:spacing w:line="240" w:lineRule="auto" w:before="83" w:after="0"/>
        <w:ind w:left="1558" w:right="0" w:hanging="709"/>
        <w:jc w:val="both"/>
        <w:rPr>
          <w:sz w:val="20"/>
        </w:rPr>
      </w:pPr>
      <w:r>
        <w:rPr>
          <w:sz w:val="20"/>
        </w:rPr>
        <w:t>odstoupit</w:t>
      </w:r>
      <w:r>
        <w:rPr>
          <w:spacing w:val="-6"/>
          <w:sz w:val="20"/>
        </w:rPr>
        <w:t> </w:t>
      </w:r>
      <w:r>
        <w:rPr>
          <w:sz w:val="20"/>
        </w:rPr>
        <w:t>od</w:t>
      </w:r>
      <w:r>
        <w:rPr>
          <w:spacing w:val="-6"/>
          <w:sz w:val="20"/>
        </w:rPr>
        <w:t> </w:t>
      </w:r>
      <w:r>
        <w:rPr>
          <w:spacing w:val="-2"/>
          <w:sz w:val="20"/>
        </w:rPr>
        <w:t>Smlouvy,</w:t>
      </w:r>
    </w:p>
    <w:p>
      <w:pPr>
        <w:pStyle w:val="BodyText"/>
        <w:spacing w:line="276" w:lineRule="auto"/>
        <w:ind w:right="137"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9" w:after="0"/>
        <w:ind w:left="849" w:right="137" w:hanging="709"/>
        <w:jc w:val="both"/>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both"/>
        <w:rPr>
          <w:sz w:val="20"/>
        </w:rPr>
      </w:pPr>
      <w:r>
        <w:rPr>
          <w:sz w:val="20"/>
        </w:rPr>
        <w:t>O</w:t>
      </w:r>
      <w:r>
        <w:rPr>
          <w:spacing w:val="-13"/>
          <w:sz w:val="20"/>
        </w:rPr>
        <w:t> </w:t>
      </w:r>
      <w:r>
        <w:rPr>
          <w:sz w:val="20"/>
        </w:rPr>
        <w:t>odstranění</w:t>
      </w:r>
      <w:r>
        <w:rPr>
          <w:spacing w:val="-12"/>
          <w:sz w:val="20"/>
        </w:rPr>
        <w:t> </w:t>
      </w:r>
      <w:r>
        <w:rPr>
          <w:sz w:val="20"/>
        </w:rPr>
        <w:t>reklamované</w:t>
      </w:r>
      <w:r>
        <w:rPr>
          <w:spacing w:val="-13"/>
          <w:sz w:val="20"/>
        </w:rPr>
        <w:t> </w:t>
      </w:r>
      <w:r>
        <w:rPr>
          <w:sz w:val="20"/>
        </w:rPr>
        <w:t>vady</w:t>
      </w:r>
      <w:r>
        <w:rPr>
          <w:spacing w:val="-12"/>
          <w:sz w:val="20"/>
        </w:rPr>
        <w:t> </w:t>
      </w:r>
      <w:r>
        <w:rPr>
          <w:sz w:val="20"/>
        </w:rPr>
        <w:t>sepíše</w:t>
      </w:r>
      <w:r>
        <w:rPr>
          <w:spacing w:val="-13"/>
          <w:sz w:val="20"/>
        </w:rPr>
        <w:t> </w:t>
      </w:r>
      <w:r>
        <w:rPr>
          <w:sz w:val="20"/>
        </w:rPr>
        <w:t>Prodávající</w:t>
      </w:r>
      <w:r>
        <w:rPr>
          <w:spacing w:val="-12"/>
          <w:sz w:val="20"/>
        </w:rPr>
        <w:t> </w:t>
      </w:r>
      <w:r>
        <w:rPr>
          <w:sz w:val="20"/>
        </w:rPr>
        <w:t>protokol,</w:t>
      </w:r>
      <w:r>
        <w:rPr>
          <w:spacing w:val="-13"/>
          <w:sz w:val="20"/>
        </w:rPr>
        <w:t> </w:t>
      </w:r>
      <w:r>
        <w:rPr>
          <w:sz w:val="20"/>
        </w:rPr>
        <w:t>ve</w:t>
      </w:r>
      <w:r>
        <w:rPr>
          <w:spacing w:val="-12"/>
          <w:sz w:val="20"/>
        </w:rPr>
        <w:t> </w:t>
      </w:r>
      <w:r>
        <w:rPr>
          <w:sz w:val="20"/>
        </w:rPr>
        <w:t>kterém</w:t>
      </w:r>
      <w:r>
        <w:rPr>
          <w:spacing w:val="-13"/>
          <w:sz w:val="20"/>
        </w:rPr>
        <w:t> </w:t>
      </w:r>
      <w:r>
        <w:rPr>
          <w:sz w:val="20"/>
        </w:rPr>
        <w:t>potvrdí</w:t>
      </w:r>
      <w:r>
        <w:rPr>
          <w:spacing w:val="-12"/>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78" w:lineRule="auto" w:before="75" w:after="0"/>
        <w:ind w:left="849" w:right="138" w:hanging="709"/>
        <w:jc w:val="both"/>
        <w:rPr>
          <w:sz w:val="20"/>
        </w:rPr>
      </w:pPr>
      <w:r>
        <w:rPr>
          <w:sz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pPr>
        <w:pStyle w:val="BodyText"/>
        <w:spacing w:before="38"/>
        <w:ind w:left="0" w:firstLine="0"/>
        <w:jc w:val="left"/>
      </w:pPr>
    </w:p>
    <w:p>
      <w:pPr>
        <w:pStyle w:val="Heading1"/>
        <w:numPr>
          <w:ilvl w:val="0"/>
          <w:numId w:val="1"/>
        </w:numPr>
        <w:tabs>
          <w:tab w:pos="849" w:val="left" w:leader="none"/>
        </w:tabs>
        <w:spacing w:line="240" w:lineRule="auto" w:before="0"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4" w:after="0"/>
        <w:ind w:left="849" w:right="139"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6"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78" w:lineRule="auto" w:before="77"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4"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4"/>
        <w:ind w:left="0" w:firstLine="0"/>
        <w:jc w:val="left"/>
      </w:pPr>
    </w:p>
    <w:p>
      <w:pPr>
        <w:pStyle w:val="Heading1"/>
        <w:numPr>
          <w:ilvl w:val="0"/>
          <w:numId w:val="1"/>
        </w:numPr>
        <w:tabs>
          <w:tab w:pos="849" w:val="left" w:leader="none"/>
        </w:tabs>
        <w:spacing w:line="240" w:lineRule="auto" w:before="0"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9"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8" w:lineRule="auto" w:before="70"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w:t>
      </w:r>
    </w:p>
    <w:p>
      <w:pPr>
        <w:pStyle w:val="ListParagraph"/>
        <w:spacing w:after="0" w:line="278" w:lineRule="auto"/>
        <w:jc w:val="both"/>
        <w:rPr>
          <w:sz w:val="20"/>
        </w:rPr>
        <w:sectPr>
          <w:pgSz w:w="11910" w:h="16840"/>
          <w:pgMar w:header="0" w:footer="1245" w:top="1320" w:bottom="1440" w:left="1275" w:right="1275"/>
        </w:sectPr>
      </w:pPr>
    </w:p>
    <w:p>
      <w:pPr>
        <w:pStyle w:val="BodyText"/>
        <w:spacing w:line="278" w:lineRule="auto" w:before="83"/>
        <w:ind w:right="138" w:firstLine="0"/>
      </w:pPr>
      <w:r>
        <w:rPr/>
        <w:t>převáděného</w:t>
      </w:r>
      <w:r>
        <w:rPr>
          <w:spacing w:val="-9"/>
        </w:rPr>
        <w:t> </w:t>
      </w:r>
      <w:r>
        <w:rPr/>
        <w:t>Zboží,</w:t>
      </w:r>
      <w:r>
        <w:rPr>
          <w:spacing w:val="-8"/>
        </w:rPr>
        <w:t> </w:t>
      </w:r>
      <w:r>
        <w:rPr/>
        <w:t>zavazuje</w:t>
      </w:r>
      <w:r>
        <w:rPr>
          <w:spacing w:val="-8"/>
        </w:rPr>
        <w:t> </w:t>
      </w:r>
      <w:r>
        <w:rPr/>
        <w:t>se</w:t>
      </w:r>
      <w:r>
        <w:rPr>
          <w:spacing w:val="-8"/>
        </w:rPr>
        <w:t> </w:t>
      </w:r>
      <w:r>
        <w:rPr/>
        <w:t>Prodávající</w:t>
      </w:r>
      <w:r>
        <w:rPr>
          <w:spacing w:val="-8"/>
        </w:rPr>
        <w:t> </w:t>
      </w:r>
      <w:r>
        <w:rPr/>
        <w:t>pohledávku</w:t>
      </w:r>
      <w:r>
        <w:rPr>
          <w:spacing w:val="-9"/>
        </w:rPr>
        <w:t> </w:t>
      </w:r>
      <w:r>
        <w:rPr/>
        <w:t>zaplatit</w:t>
      </w:r>
      <w:r>
        <w:rPr>
          <w:spacing w:val="-8"/>
        </w:rPr>
        <w:t> </w:t>
      </w:r>
      <w:r>
        <w:rPr/>
        <w:t>a</w:t>
      </w:r>
      <w:r>
        <w:rPr>
          <w:spacing w:val="-8"/>
        </w:rPr>
        <w:t> </w:t>
      </w:r>
      <w:r>
        <w:rPr/>
        <w:t>jiné</w:t>
      </w:r>
      <w:r>
        <w:rPr>
          <w:spacing w:val="-8"/>
        </w:rPr>
        <w:t> </w:t>
      </w:r>
      <w:r>
        <w:rPr/>
        <w:t>právo</w:t>
      </w:r>
      <w:r>
        <w:rPr>
          <w:spacing w:val="-9"/>
        </w:rPr>
        <w:t> </w:t>
      </w:r>
      <w:r>
        <w:rPr/>
        <w:t>uspokojí</w:t>
      </w:r>
      <w:r>
        <w:rPr>
          <w:spacing w:val="-8"/>
        </w:rPr>
        <w:t> </w:t>
      </w:r>
      <w:r>
        <w:rPr/>
        <w:t>ze</w:t>
      </w:r>
      <w:r>
        <w:rPr>
          <w:spacing w:val="-8"/>
        </w:rPr>
        <w:t> </w:t>
      </w:r>
      <w:r>
        <w:rPr/>
        <w:t>svého a Kupujícímu nahradit případně vzniklou škodu.</w:t>
      </w:r>
    </w:p>
    <w:p>
      <w:pPr>
        <w:pStyle w:val="ListParagraph"/>
        <w:numPr>
          <w:ilvl w:val="1"/>
          <w:numId w:val="1"/>
        </w:numPr>
        <w:tabs>
          <w:tab w:pos="849" w:val="left" w:leader="none"/>
        </w:tabs>
        <w:spacing w:line="240" w:lineRule="auto" w:before="70"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24"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5"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6"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 spory vyplývající z této Smlouvy a s touto Smlouvou související, a to včetně sporů týkajících se její platnosti, se budou řešit u věcně a místě příslušného soudu v České republice. Smluvní</w:t>
      </w:r>
      <w:r>
        <w:rPr>
          <w:spacing w:val="33"/>
          <w:sz w:val="20"/>
        </w:rPr>
        <w:t> </w:t>
      </w:r>
      <w:r>
        <w:rPr>
          <w:sz w:val="20"/>
        </w:rPr>
        <w:t>strany</w:t>
      </w:r>
      <w:r>
        <w:rPr>
          <w:spacing w:val="33"/>
          <w:sz w:val="20"/>
        </w:rPr>
        <w:t> </w:t>
      </w:r>
      <w:r>
        <w:rPr>
          <w:sz w:val="20"/>
        </w:rPr>
        <w:t>se</w:t>
      </w:r>
      <w:r>
        <w:rPr>
          <w:spacing w:val="33"/>
          <w:sz w:val="20"/>
        </w:rPr>
        <w:t> </w:t>
      </w:r>
      <w:r>
        <w:rPr>
          <w:sz w:val="20"/>
        </w:rPr>
        <w:t>dohodly</w:t>
      </w:r>
      <w:r>
        <w:rPr>
          <w:spacing w:val="33"/>
          <w:sz w:val="20"/>
        </w:rPr>
        <w:t> </w:t>
      </w:r>
      <w:r>
        <w:rPr>
          <w:sz w:val="20"/>
        </w:rPr>
        <w:t>na</w:t>
      </w:r>
      <w:r>
        <w:rPr>
          <w:spacing w:val="33"/>
          <w:sz w:val="20"/>
        </w:rPr>
        <w:t> </w:t>
      </w:r>
      <w:r>
        <w:rPr>
          <w:sz w:val="20"/>
        </w:rPr>
        <w:t>tom,</w:t>
      </w:r>
      <w:r>
        <w:rPr>
          <w:spacing w:val="33"/>
          <w:sz w:val="20"/>
        </w:rPr>
        <w:t> </w:t>
      </w:r>
      <w:r>
        <w:rPr>
          <w:sz w:val="20"/>
        </w:rPr>
        <w:t>že</w:t>
      </w:r>
      <w:r>
        <w:rPr>
          <w:spacing w:val="33"/>
          <w:sz w:val="20"/>
        </w:rPr>
        <w:t> </w:t>
      </w:r>
      <w:r>
        <w:rPr>
          <w:sz w:val="20"/>
        </w:rPr>
        <w:t>v</w:t>
      </w:r>
      <w:r>
        <w:rPr>
          <w:spacing w:val="33"/>
          <w:sz w:val="20"/>
        </w:rPr>
        <w:t> </w:t>
      </w:r>
      <w:r>
        <w:rPr>
          <w:sz w:val="20"/>
        </w:rPr>
        <w:t>rozsahu,</w:t>
      </w:r>
      <w:r>
        <w:rPr>
          <w:spacing w:val="33"/>
          <w:sz w:val="20"/>
        </w:rPr>
        <w:t> </w:t>
      </w:r>
      <w:r>
        <w:rPr>
          <w:sz w:val="20"/>
        </w:rPr>
        <w:t>ve</w:t>
      </w:r>
      <w:r>
        <w:rPr>
          <w:spacing w:val="33"/>
          <w:sz w:val="20"/>
        </w:rPr>
        <w:t> </w:t>
      </w:r>
      <w:r>
        <w:rPr>
          <w:sz w:val="20"/>
        </w:rPr>
        <w:t>kterém</w:t>
      </w:r>
      <w:r>
        <w:rPr>
          <w:spacing w:val="32"/>
          <w:sz w:val="20"/>
        </w:rPr>
        <w:t> </w:t>
      </w:r>
      <w:r>
        <w:rPr>
          <w:sz w:val="20"/>
        </w:rPr>
        <w:t>to</w:t>
      </w:r>
      <w:r>
        <w:rPr>
          <w:spacing w:val="33"/>
          <w:sz w:val="20"/>
        </w:rPr>
        <w:t> </w:t>
      </w:r>
      <w:r>
        <w:rPr>
          <w:sz w:val="20"/>
        </w:rPr>
        <w:t>připouští</w:t>
      </w:r>
      <w:r>
        <w:rPr>
          <w:spacing w:val="33"/>
          <w:sz w:val="20"/>
        </w:rPr>
        <w:t> </w:t>
      </w:r>
      <w:r>
        <w:rPr>
          <w:sz w:val="20"/>
        </w:rPr>
        <w:t>právní</w:t>
      </w:r>
      <w:r>
        <w:rPr>
          <w:spacing w:val="33"/>
          <w:sz w:val="20"/>
        </w:rPr>
        <w:t> </w:t>
      </w:r>
      <w:r>
        <w:rPr>
          <w:sz w:val="20"/>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21280">
          <wp:simplePos x="0" y="0"/>
          <wp:positionH relativeFrom="page">
            <wp:posOffset>6210936</wp:posOffset>
          </wp:positionH>
          <wp:positionV relativeFrom="page">
            <wp:posOffset>9774981</wp:posOffset>
          </wp:positionV>
          <wp:extent cx="449580" cy="4495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49580" cy="44957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2025-10-06T11:03:25Z</dcterms:created>
  <dcterms:modified xsi:type="dcterms:W3CDTF">2025-10-06T11:03:25Z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LastSaved">
    <vt:filetime>2025-10-06T00:00:00Z</vt:filetime>
  </property>
  <property fmtid="{D5CDD505-2E9C-101B-9397-08002B2CF9AE}" pid="4" name="Producer">
    <vt:lpwstr>macOS Verze 26.0.1 (sestava 25A362) Quartz PDFContext</vt:lpwstr>
  </property>
</Properties>
</file>