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0017920240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294655856" name="Picture">
</wp:docPr>
                  <a:graphic>
                    <a:graphicData uri="http://schemas.openxmlformats.org/drawingml/2006/picture">
                      <pic:pic>
                        <pic:nvPicPr>
                          <pic:cNvPr id="1294655856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26793075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CZ26793075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Vakuum servis s.r.o.</w:t>
                    <w:br/>
                    <w:t xml:space="preserve">Hasičská 2643</w:t>
                    <w:br/>
                    <w:t xml:space="preserve">756 61 ROŽNOV POD RADHOŠTĚM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29.08.2017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L3 prototype breadboard with legs</w:t>
              <w:br/>
              <w:t xml:space="preserve">- test of bake out for cleaning to NVR level A/10</w:t>
              <w:br/>
              <w:t xml:space="preserve">- vibration testing and L3 mirror mount to breadboard interface testing</w:t>
              <w:br/>
              <w:t xml:space="preserve">transport included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10 650.00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10 650.00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VAT 21%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2 236.50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2 236.50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12 886.50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12 886.50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22.08.2017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