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6E0350AB" w14:textId="77777777" w:rsidR="00EB367F" w:rsidRDefault="00EB367F" w:rsidP="00EB367F"/>
    <w:p w14:paraId="103A9DBF" w14:textId="77777777" w:rsidR="00EB367F" w:rsidRPr="000A6455" w:rsidRDefault="00EB367F" w:rsidP="00EB367F">
      <w:pPr>
        <w:rPr>
          <w:b/>
        </w:rPr>
      </w:pPr>
      <w:r w:rsidRPr="000A6455">
        <w:rPr>
          <w:b/>
        </w:rPr>
        <w:t xml:space="preserve">MADISSON, s.r.o. </w:t>
      </w:r>
    </w:p>
    <w:p w14:paraId="33C251F9" w14:textId="77777777" w:rsidR="00EB367F" w:rsidRDefault="00EB367F" w:rsidP="00EB367F">
      <w:r w:rsidRPr="000A6455">
        <w:t>IČ: 26124637</w:t>
      </w:r>
    </w:p>
    <w:p w14:paraId="40CF9007" w14:textId="77777777" w:rsidR="00EB367F" w:rsidRPr="00512AB9" w:rsidRDefault="00EB367F" w:rsidP="00EB367F">
      <w:r>
        <w:t>DIČ: CZ</w:t>
      </w:r>
      <w:r w:rsidRPr="000A6455">
        <w:t>26124637</w:t>
      </w:r>
    </w:p>
    <w:p w14:paraId="75D53CD3" w14:textId="77777777" w:rsidR="00EB367F" w:rsidRDefault="00EB367F" w:rsidP="00EB367F">
      <w:r>
        <w:t>se sídlem</w:t>
      </w:r>
      <w:r w:rsidRPr="00512AB9">
        <w:t xml:space="preserve">: </w:t>
      </w:r>
      <w:r w:rsidRPr="000A6455">
        <w:t xml:space="preserve">Praha 10 - Uhříněves, Soumarská 1541/8, PSČ 10400 </w:t>
      </w:r>
    </w:p>
    <w:p w14:paraId="108B5428" w14:textId="77777777" w:rsidR="00EB367F" w:rsidRDefault="00EB367F" w:rsidP="00EB367F">
      <w:r>
        <w:t>zastoupena:</w:t>
      </w:r>
      <w:r w:rsidRPr="000A6455">
        <w:t xml:space="preserve"> Mgr. Robert Vojtíšek, MBA, Executive DBA</w:t>
      </w:r>
    </w:p>
    <w:p w14:paraId="4C282C6A" w14:textId="7E1C0341" w:rsidR="00EB367F" w:rsidRDefault="00EB367F" w:rsidP="00EB367F">
      <w:r w:rsidRPr="00512AB9">
        <w:t xml:space="preserve">bankovní spojení: </w:t>
      </w:r>
      <w:r w:rsidRPr="000A6455">
        <w:t>Č</w:t>
      </w:r>
      <w:r w:rsidR="00DC5583">
        <w:t>SOB a.s.</w:t>
      </w:r>
    </w:p>
    <w:p w14:paraId="3C3CCCF4" w14:textId="77777777" w:rsidR="00EB367F" w:rsidRPr="00512AB9" w:rsidRDefault="00EB367F" w:rsidP="00EB367F">
      <w:r w:rsidRPr="00512AB9">
        <w:t xml:space="preserve">číslo účtu: </w:t>
      </w:r>
      <w:r w:rsidRPr="000A6455">
        <w:t>174621392</w:t>
      </w:r>
      <w:r>
        <w:t>/0300</w:t>
      </w:r>
    </w:p>
    <w:p w14:paraId="038F7C71" w14:textId="77777777" w:rsidR="00EB367F" w:rsidRPr="00512AB9" w:rsidRDefault="00EB367F" w:rsidP="00EB367F">
      <w:r>
        <w:t>z</w:t>
      </w:r>
      <w:r w:rsidRPr="00512AB9">
        <w:t>apsán</w:t>
      </w:r>
      <w:r>
        <w:t>a</w:t>
      </w:r>
      <w:r w:rsidRPr="00512AB9">
        <w:t xml:space="preserve"> v obchodním rejstříku vedeném </w:t>
      </w:r>
      <w:r>
        <w:t xml:space="preserve">u </w:t>
      </w:r>
      <w:r w:rsidRPr="000A6455">
        <w:t xml:space="preserve">Městského </w:t>
      </w:r>
      <w:r w:rsidRPr="00652864">
        <w:t>soud</w:t>
      </w:r>
      <w:r>
        <w:t>u</w:t>
      </w:r>
      <w:r w:rsidRPr="00652864">
        <w:t xml:space="preserve"> v </w:t>
      </w:r>
      <w:r>
        <w:t>Praze</w:t>
      </w:r>
      <w:r w:rsidRPr="00652864">
        <w:t xml:space="preserve">, oddíl </w:t>
      </w:r>
      <w:r>
        <w:t>C</w:t>
      </w:r>
      <w:r w:rsidRPr="00652864">
        <w:t xml:space="preserve">, vložka </w:t>
      </w:r>
      <w:r w:rsidRPr="000A6455">
        <w:t>72284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67D9A830" w14:textId="0781141E" w:rsidR="00EF3231" w:rsidRPr="00DC780C" w:rsidRDefault="00095C75" w:rsidP="00EF3231">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A3509">
        <w:t>„</w:t>
      </w:r>
      <w:r w:rsidR="00263995">
        <w:t xml:space="preserve">Přístrojové vybavení </w:t>
      </w:r>
      <w:r w:rsidR="00263995" w:rsidRPr="00DC780C">
        <w:t>DRHO</w:t>
      </w:r>
      <w:r w:rsidRPr="00DC780C">
        <w:t xml:space="preserve">“, část </w:t>
      </w:r>
      <w:r w:rsidR="005E3A77" w:rsidRPr="00DC780C">
        <w:t>2</w:t>
      </w:r>
      <w:r w:rsidR="00EF3231" w:rsidRPr="00DC780C">
        <w:t xml:space="preserve"> </w:t>
      </w:r>
      <w:r w:rsidRPr="00DC780C">
        <w:t>(dále jen „</w:t>
      </w:r>
      <w:r w:rsidRPr="00DC780C">
        <w:rPr>
          <w:b/>
        </w:rPr>
        <w:t>Zadávací dokumentace</w:t>
      </w:r>
      <w:r w:rsidR="0091114F" w:rsidRPr="00DC780C">
        <w:t>“)</w:t>
      </w:r>
      <w:r w:rsidR="00CC6A8F" w:rsidRPr="00DC780C">
        <w:t>.</w:t>
      </w:r>
      <w:r w:rsidR="00EF3231" w:rsidRPr="00DC780C">
        <w:t xml:space="preserve"> Plnění této smlouvy bude financováno z projektu s názvem „Zvýšení kvality a dostupnosti léčebně rehabilitační péče ve FN Brno“ registrační číslo projektu „CZ.31.7.0/0.0/0.0/23_064/0008289 (dále a výše jen „</w:t>
      </w:r>
      <w:r w:rsidR="00EF3231" w:rsidRPr="00DC780C">
        <w:rPr>
          <w:b/>
        </w:rPr>
        <w:t>Projekt</w:t>
      </w:r>
      <w:r w:rsidR="00EF3231" w:rsidRPr="00DC780C">
        <w:t>“ a „</w:t>
      </w:r>
      <w:r w:rsidR="00EF3231" w:rsidRPr="00DC780C">
        <w:rPr>
          <w:b/>
        </w:rPr>
        <w:t>Číslo Projektu</w:t>
      </w:r>
      <w:r w:rsidR="00EF3231" w:rsidRPr="00DC780C">
        <w:t>“), který je financován Evropskou unií z „Nástroje pro oživení a odolnost prostřednictvím Národního plánu obnovy ČR“.</w:t>
      </w:r>
    </w:p>
    <w:p w14:paraId="29B026B9" w14:textId="038D8951" w:rsidR="00095C75" w:rsidRPr="00CF0C56" w:rsidRDefault="00095C75" w:rsidP="00EF3231">
      <w:pPr>
        <w:pStyle w:val="Odstavecsmlouvy"/>
        <w:numPr>
          <w:ilvl w:val="0"/>
          <w:numId w:val="0"/>
        </w:numPr>
        <w:ind w:left="567"/>
      </w:pP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3537329D"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484547">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w:t>
      </w:r>
      <w:r>
        <w:lastRenderedPageBreak/>
        <w:t>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5E6CFB60" w14:textId="77777777" w:rsidR="00263995" w:rsidRDefault="00142BD2" w:rsidP="00263995">
      <w:pPr>
        <w:pStyle w:val="Zkladntext3"/>
        <w:spacing w:before="120"/>
        <w:ind w:left="709"/>
      </w:pPr>
      <w:r w:rsidRPr="00263995">
        <w:rPr>
          <w:sz w:val="22"/>
          <w:szCs w:val="22"/>
        </w:rPr>
        <w:t xml:space="preserve">Prodávající se zavazuje dodat </w:t>
      </w:r>
      <w:r w:rsidR="00ED3A3E" w:rsidRPr="00263995">
        <w:rPr>
          <w:sz w:val="22"/>
          <w:szCs w:val="22"/>
        </w:rPr>
        <w:t>Kupujícímu</w:t>
      </w:r>
      <w:r w:rsidR="009E1C26" w:rsidRPr="00D859C2">
        <w:t xml:space="preserve"> </w:t>
      </w:r>
    </w:p>
    <w:p w14:paraId="35810671" w14:textId="3342D374" w:rsidR="00263995" w:rsidRDefault="00263995" w:rsidP="00263995">
      <w:pPr>
        <w:pStyle w:val="Zkladntext3"/>
        <w:spacing w:before="120"/>
        <w:ind w:left="709"/>
        <w:rPr>
          <w:b/>
          <w:sz w:val="22"/>
          <w:szCs w:val="22"/>
        </w:rPr>
      </w:pPr>
      <w:r w:rsidRPr="00256A22">
        <w:rPr>
          <w:b/>
          <w:sz w:val="22"/>
          <w:szCs w:val="22"/>
        </w:rPr>
        <w:t xml:space="preserve">pro Část č. </w:t>
      </w:r>
      <w:r>
        <w:rPr>
          <w:b/>
          <w:sz w:val="22"/>
          <w:szCs w:val="22"/>
        </w:rPr>
        <w:t>2</w:t>
      </w:r>
      <w:r w:rsidRPr="00256A22">
        <w:rPr>
          <w:b/>
          <w:sz w:val="22"/>
          <w:szCs w:val="22"/>
        </w:rPr>
        <w:t xml:space="preserve"> </w:t>
      </w:r>
      <w:r>
        <w:rPr>
          <w:b/>
          <w:sz w:val="22"/>
          <w:szCs w:val="22"/>
        </w:rPr>
        <w:t>–</w:t>
      </w:r>
      <w:r w:rsidRPr="00256A22">
        <w:rPr>
          <w:b/>
          <w:sz w:val="22"/>
          <w:szCs w:val="22"/>
        </w:rPr>
        <w:t xml:space="preserve"> </w:t>
      </w:r>
      <w:proofErr w:type="spellStart"/>
      <w:r w:rsidRPr="00263995">
        <w:rPr>
          <w:b/>
          <w:sz w:val="22"/>
          <w:szCs w:val="22"/>
        </w:rPr>
        <w:t>Motodlaha</w:t>
      </w:r>
      <w:proofErr w:type="spellEnd"/>
      <w:r w:rsidRPr="00263995">
        <w:rPr>
          <w:b/>
          <w:sz w:val="22"/>
          <w:szCs w:val="22"/>
        </w:rPr>
        <w:t xml:space="preserve"> kolenního a kyčelního kloubu</w:t>
      </w:r>
      <w:r>
        <w:rPr>
          <w:b/>
          <w:sz w:val="22"/>
          <w:szCs w:val="22"/>
        </w:rPr>
        <w:t>, 1 ks</w:t>
      </w:r>
    </w:p>
    <w:p w14:paraId="31E0E402" w14:textId="0F38E1F2" w:rsidR="00263995" w:rsidRDefault="002D7CD1" w:rsidP="00263995">
      <w:pPr>
        <w:pStyle w:val="Zkladntext3"/>
        <w:spacing w:line="240" w:lineRule="auto"/>
        <w:ind w:left="709"/>
        <w:rPr>
          <w:b/>
          <w:sz w:val="22"/>
          <w:szCs w:val="22"/>
        </w:rPr>
      </w:pPr>
      <w:proofErr w:type="spellStart"/>
      <w:r w:rsidRPr="002D7CD1">
        <w:rPr>
          <w:b/>
          <w:bCs/>
          <w:sz w:val="22"/>
          <w:szCs w:val="22"/>
        </w:rPr>
        <w:t>Artromot</w:t>
      </w:r>
      <w:proofErr w:type="spellEnd"/>
      <w:r w:rsidR="00263995" w:rsidRPr="002D7CD1">
        <w:rPr>
          <w:b/>
          <w:sz w:val="22"/>
          <w:szCs w:val="22"/>
        </w:rPr>
        <w:t xml:space="preserve">, typ: </w:t>
      </w:r>
      <w:r w:rsidRPr="002D7CD1">
        <w:rPr>
          <w:b/>
          <w:sz w:val="22"/>
          <w:szCs w:val="22"/>
        </w:rPr>
        <w:t xml:space="preserve">KI </w:t>
      </w:r>
      <w:proofErr w:type="spellStart"/>
      <w:r w:rsidRPr="002D7CD1">
        <w:rPr>
          <w:b/>
          <w:sz w:val="22"/>
          <w:szCs w:val="22"/>
        </w:rPr>
        <w:t>Comfort</w:t>
      </w:r>
      <w:proofErr w:type="spellEnd"/>
      <w:r w:rsidR="00263995" w:rsidRPr="002D7CD1">
        <w:rPr>
          <w:b/>
          <w:sz w:val="22"/>
          <w:szCs w:val="22"/>
        </w:rPr>
        <w:t xml:space="preserve">, výrobce </w:t>
      </w:r>
      <w:proofErr w:type="spellStart"/>
      <w:r w:rsidRPr="002D7CD1">
        <w:rPr>
          <w:b/>
          <w:sz w:val="22"/>
          <w:szCs w:val="22"/>
        </w:rPr>
        <w:t>Ormed</w:t>
      </w:r>
      <w:proofErr w:type="spellEnd"/>
      <w:r w:rsidRPr="002D7CD1">
        <w:rPr>
          <w:b/>
          <w:sz w:val="22"/>
          <w:szCs w:val="22"/>
        </w:rPr>
        <w:t xml:space="preserve"> </w:t>
      </w:r>
      <w:proofErr w:type="spellStart"/>
      <w:r w:rsidRPr="002D7CD1">
        <w:rPr>
          <w:b/>
          <w:sz w:val="22"/>
          <w:szCs w:val="22"/>
        </w:rPr>
        <w:t>GmbH</w:t>
      </w:r>
      <w:proofErr w:type="spellEnd"/>
    </w:p>
    <w:p w14:paraId="4D9085C9" w14:textId="77777777" w:rsidR="00CF198E" w:rsidRDefault="00CF198E" w:rsidP="00263995">
      <w:pPr>
        <w:pStyle w:val="Zkladntext3"/>
        <w:spacing w:line="240" w:lineRule="auto"/>
        <w:ind w:left="709"/>
        <w:rPr>
          <w:b/>
          <w:sz w:val="22"/>
          <w:szCs w:val="22"/>
        </w:rPr>
      </w:pPr>
    </w:p>
    <w:p w14:paraId="75136A5F" w14:textId="4674D191" w:rsidR="00D86891" w:rsidRPr="00D859C2" w:rsidRDefault="00142BD2" w:rsidP="00D859C2">
      <w:pPr>
        <w:pStyle w:val="Odstavecsmlouvy"/>
      </w:pP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0C0B049"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63995">
        <w:rPr>
          <w:b/>
        </w:rPr>
        <w:t>8</w:t>
      </w:r>
      <w:r w:rsidR="0042712C" w:rsidRPr="00D859C2">
        <w:rPr>
          <w:b/>
        </w:rPr>
        <w:t xml:space="preserve"> </w:t>
      </w:r>
      <w:r w:rsidR="006C3751" w:rsidRPr="00D859C2">
        <w:rPr>
          <w:b/>
        </w:rPr>
        <w:t>týdnů</w:t>
      </w:r>
      <w:r w:rsidRPr="00D859C2">
        <w:t xml:space="preserve"> </w:t>
      </w:r>
      <w:r w:rsidR="00263995">
        <w:t xml:space="preserve">od vyzvání, předpoklad je </w:t>
      </w:r>
      <w:r w:rsidR="00804A5F">
        <w:t>září</w:t>
      </w:r>
      <w:r w:rsidR="00263995">
        <w:t xml:space="preserve">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999C344" w:rsidR="00BE2371" w:rsidRPr="00D859C2" w:rsidRDefault="003F7B02" w:rsidP="00D859C2">
      <w:pPr>
        <w:pStyle w:val="Odstavecsmlouvy"/>
      </w:pPr>
      <w:r w:rsidRPr="00D859C2">
        <w:t xml:space="preserve">Místem dodání Zboží </w:t>
      </w:r>
      <w:r w:rsidR="00D50BBE" w:rsidRPr="00D859C2">
        <w:t xml:space="preserve">je </w:t>
      </w:r>
      <w:r w:rsidR="00263995">
        <w:t>Dětské rehabilitační oddělení, Fakultní nemocníce Brno, pracoviště Dětská nemocnice, Černopolní 9, 613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C2A146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DC780C">
        <w:t>XXXXXXXX</w:t>
      </w:r>
      <w:r w:rsidR="00DE3A3F">
        <w:t xml:space="preserve">, tel.: </w:t>
      </w:r>
      <w:r w:rsidR="00DC780C">
        <w:t>XXXXXXX</w:t>
      </w:r>
      <w:r w:rsidR="00DE3A3F">
        <w:t xml:space="preserve"> a písemně na e-mail: </w:t>
      </w:r>
      <w:r w:rsidR="00DC780C">
        <w:t>XXXXXXXX</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w:t>
      </w:r>
      <w:r w:rsidR="003E4543" w:rsidRPr="009A7E08">
        <w:lastRenderedPageBreak/>
        <w:t>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5E0750" w:rsidRDefault="00AF2763" w:rsidP="00D859C2">
      <w:pPr>
        <w:pStyle w:val="Odstavecsmlouvy"/>
        <w:numPr>
          <w:ilvl w:val="0"/>
          <w:numId w:val="0"/>
        </w:numPr>
        <w:ind w:left="567"/>
        <w:rPr>
          <w:sz w:val="20"/>
          <w:szCs w:val="20"/>
        </w:rPr>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Pr="005E0750" w:rsidRDefault="005F5EEB" w:rsidP="00D859C2">
      <w:pPr>
        <w:pStyle w:val="Zkladntext3"/>
        <w:spacing w:line="240" w:lineRule="auto"/>
        <w:ind w:left="567"/>
        <w:rPr>
          <w:sz w:val="20"/>
        </w:rPr>
      </w:pPr>
    </w:p>
    <w:p w14:paraId="76E9B822" w14:textId="77777777" w:rsidR="00841443" w:rsidRDefault="00841443" w:rsidP="00841443">
      <w:pPr>
        <w:pStyle w:val="Nadpis1"/>
      </w:pPr>
      <w:bookmarkStart w:id="7" w:name="_Ref31278541"/>
      <w:r>
        <w:t>Montáž</w:t>
      </w:r>
      <w:bookmarkEnd w:id="7"/>
    </w:p>
    <w:p w14:paraId="7F49ED67" w14:textId="77777777" w:rsidR="00841443" w:rsidRPr="005E0750" w:rsidRDefault="00841443" w:rsidP="00841443">
      <w:pPr>
        <w:jc w:val="center"/>
        <w:rPr>
          <w:b/>
          <w:bCs/>
          <w:sz w:val="20"/>
          <w:szCs w:val="20"/>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w:t>
      </w:r>
      <w:r>
        <w:lastRenderedPageBreak/>
        <w:t xml:space="preserve">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3C695C71" w14:textId="77777777" w:rsidR="00CF198E" w:rsidRPr="00D859C2" w:rsidRDefault="00CF198E" w:rsidP="00CF198E">
      <w:pPr>
        <w:pStyle w:val="Odstavecsmlouvy"/>
        <w:numPr>
          <w:ilvl w:val="0"/>
          <w:numId w:val="0"/>
        </w:numPr>
        <w:ind w:left="567"/>
      </w:pPr>
    </w:p>
    <w:tbl>
      <w:tblPr>
        <w:tblW w:w="0" w:type="auto"/>
        <w:tblInd w:w="709" w:type="dxa"/>
        <w:tblLook w:val="04A0" w:firstRow="1" w:lastRow="0" w:firstColumn="1" w:lastColumn="0" w:noHBand="0" w:noVBand="1"/>
      </w:tblPr>
      <w:tblGrid>
        <w:gridCol w:w="4575"/>
        <w:gridCol w:w="3788"/>
      </w:tblGrid>
      <w:tr w:rsidR="005E0750" w:rsidRPr="005E0750" w14:paraId="6BEB038B" w14:textId="77777777" w:rsidTr="00427B07">
        <w:tc>
          <w:tcPr>
            <w:tcW w:w="8363" w:type="dxa"/>
            <w:gridSpan w:val="2"/>
          </w:tcPr>
          <w:p w14:paraId="45586A18" w14:textId="5C3F2CBF" w:rsidR="005E0750" w:rsidRPr="005E0750" w:rsidRDefault="005E0750" w:rsidP="0068398E">
            <w:pPr>
              <w:pStyle w:val="Zkladntext3"/>
              <w:rPr>
                <w:b/>
                <w:sz w:val="22"/>
                <w:szCs w:val="22"/>
                <w:highlight w:val="yellow"/>
                <w:u w:val="single"/>
              </w:rPr>
            </w:pPr>
            <w:r w:rsidRPr="005E0750">
              <w:rPr>
                <w:sz w:val="22"/>
                <w:szCs w:val="22"/>
                <w:u w:val="single"/>
              </w:rPr>
              <w:t xml:space="preserve">Část č. 2 – </w:t>
            </w:r>
            <w:proofErr w:type="spellStart"/>
            <w:r w:rsidRPr="005E0750">
              <w:rPr>
                <w:sz w:val="22"/>
                <w:szCs w:val="22"/>
                <w:u w:val="single"/>
              </w:rPr>
              <w:t>Motodlaha</w:t>
            </w:r>
            <w:proofErr w:type="spellEnd"/>
            <w:r w:rsidRPr="005E0750">
              <w:rPr>
                <w:sz w:val="22"/>
                <w:szCs w:val="22"/>
                <w:u w:val="single"/>
              </w:rPr>
              <w:t xml:space="preserve"> kolenního a kyčelního kloubu</w:t>
            </w:r>
          </w:p>
        </w:tc>
      </w:tr>
      <w:tr w:rsidR="005E0750" w:rsidRPr="005B49AA" w14:paraId="5A5522B0" w14:textId="77777777" w:rsidTr="0068398E">
        <w:tc>
          <w:tcPr>
            <w:tcW w:w="4575" w:type="dxa"/>
          </w:tcPr>
          <w:p w14:paraId="31F3C9C2" w14:textId="77777777" w:rsidR="005E0750" w:rsidRPr="005B49AA" w:rsidRDefault="005E0750" w:rsidP="0068398E">
            <w:pPr>
              <w:pStyle w:val="Zkladntext3"/>
              <w:rPr>
                <w:b/>
                <w:sz w:val="22"/>
                <w:szCs w:val="22"/>
              </w:rPr>
            </w:pPr>
            <w:r w:rsidRPr="005B49AA">
              <w:rPr>
                <w:b/>
                <w:sz w:val="22"/>
                <w:szCs w:val="22"/>
              </w:rPr>
              <w:t>Kupní cena bez DPH:</w:t>
            </w:r>
          </w:p>
        </w:tc>
        <w:tc>
          <w:tcPr>
            <w:tcW w:w="3788" w:type="dxa"/>
          </w:tcPr>
          <w:p w14:paraId="708FDE6E" w14:textId="6A367639" w:rsidR="005E0750" w:rsidRPr="009B462D" w:rsidRDefault="009B462D" w:rsidP="0068398E">
            <w:pPr>
              <w:pStyle w:val="Zkladntext3"/>
              <w:rPr>
                <w:b/>
                <w:sz w:val="22"/>
                <w:szCs w:val="22"/>
              </w:rPr>
            </w:pPr>
            <w:r w:rsidRPr="009B462D">
              <w:rPr>
                <w:b/>
                <w:sz w:val="22"/>
                <w:szCs w:val="22"/>
              </w:rPr>
              <w:t>169 400</w:t>
            </w:r>
            <w:r w:rsidR="005E0750" w:rsidRPr="009B462D">
              <w:rPr>
                <w:b/>
                <w:sz w:val="22"/>
                <w:szCs w:val="22"/>
              </w:rPr>
              <w:t xml:space="preserve"> Kč</w:t>
            </w:r>
          </w:p>
        </w:tc>
      </w:tr>
      <w:tr w:rsidR="005E0750" w:rsidRPr="005B49AA" w14:paraId="30C8BB9F" w14:textId="77777777" w:rsidTr="0068398E">
        <w:tc>
          <w:tcPr>
            <w:tcW w:w="4575" w:type="dxa"/>
          </w:tcPr>
          <w:p w14:paraId="0F20962D" w14:textId="1B7BF580" w:rsidR="005E0750" w:rsidRPr="005B49AA" w:rsidRDefault="005E0750" w:rsidP="0068398E">
            <w:pPr>
              <w:pStyle w:val="Zkladntext3"/>
              <w:rPr>
                <w:b/>
                <w:sz w:val="22"/>
                <w:szCs w:val="22"/>
              </w:rPr>
            </w:pPr>
            <w:r w:rsidRPr="005B49AA">
              <w:rPr>
                <w:b/>
                <w:sz w:val="22"/>
                <w:szCs w:val="22"/>
              </w:rPr>
              <w:t xml:space="preserve">DPH </w:t>
            </w:r>
            <w:r w:rsidR="009B462D">
              <w:rPr>
                <w:b/>
                <w:sz w:val="22"/>
                <w:szCs w:val="22"/>
              </w:rPr>
              <w:t>12</w:t>
            </w:r>
            <w:r w:rsidRPr="005B49AA">
              <w:rPr>
                <w:b/>
                <w:sz w:val="22"/>
                <w:szCs w:val="22"/>
              </w:rPr>
              <w:t xml:space="preserve"> %:</w:t>
            </w:r>
          </w:p>
        </w:tc>
        <w:tc>
          <w:tcPr>
            <w:tcW w:w="3788" w:type="dxa"/>
          </w:tcPr>
          <w:p w14:paraId="702E06D3" w14:textId="2DD3220B" w:rsidR="005E0750" w:rsidRPr="009B462D" w:rsidRDefault="009B462D" w:rsidP="0068398E">
            <w:pPr>
              <w:pStyle w:val="Zkladntext3"/>
              <w:rPr>
                <w:b/>
                <w:sz w:val="22"/>
                <w:szCs w:val="22"/>
              </w:rPr>
            </w:pPr>
            <w:r>
              <w:rPr>
                <w:b/>
                <w:sz w:val="22"/>
                <w:szCs w:val="22"/>
              </w:rPr>
              <w:t xml:space="preserve">  </w:t>
            </w:r>
            <w:r w:rsidRPr="009B462D">
              <w:rPr>
                <w:b/>
                <w:sz w:val="22"/>
                <w:szCs w:val="22"/>
              </w:rPr>
              <w:t>20 328</w:t>
            </w:r>
            <w:r w:rsidR="005E0750" w:rsidRPr="009B462D">
              <w:rPr>
                <w:b/>
                <w:sz w:val="22"/>
                <w:szCs w:val="22"/>
              </w:rPr>
              <w:t xml:space="preserve"> Kč</w:t>
            </w:r>
          </w:p>
        </w:tc>
      </w:tr>
      <w:tr w:rsidR="005E0750" w:rsidRPr="005B49AA" w14:paraId="5E5A7BE6" w14:textId="77777777" w:rsidTr="0068398E">
        <w:tc>
          <w:tcPr>
            <w:tcW w:w="4575" w:type="dxa"/>
          </w:tcPr>
          <w:p w14:paraId="1FD29D0D" w14:textId="77777777" w:rsidR="005E0750" w:rsidRPr="005B49AA" w:rsidRDefault="005E0750" w:rsidP="0068398E">
            <w:pPr>
              <w:pStyle w:val="Zkladntext3"/>
              <w:rPr>
                <w:b/>
                <w:sz w:val="22"/>
                <w:szCs w:val="22"/>
              </w:rPr>
            </w:pPr>
            <w:r w:rsidRPr="005B49AA">
              <w:rPr>
                <w:b/>
                <w:sz w:val="22"/>
                <w:szCs w:val="22"/>
              </w:rPr>
              <w:t>Kupní cena včetně DPH:</w:t>
            </w:r>
          </w:p>
        </w:tc>
        <w:tc>
          <w:tcPr>
            <w:tcW w:w="3788" w:type="dxa"/>
          </w:tcPr>
          <w:p w14:paraId="6DDFD0D7" w14:textId="31D27C7D" w:rsidR="005E0750" w:rsidRPr="009B462D" w:rsidRDefault="009B462D" w:rsidP="0068398E">
            <w:pPr>
              <w:pStyle w:val="Zkladntext3"/>
              <w:rPr>
                <w:b/>
                <w:sz w:val="22"/>
                <w:szCs w:val="22"/>
              </w:rPr>
            </w:pPr>
            <w:r w:rsidRPr="009B462D">
              <w:rPr>
                <w:b/>
                <w:sz w:val="22"/>
                <w:szCs w:val="22"/>
              </w:rPr>
              <w:t>189 728</w:t>
            </w:r>
            <w:r w:rsidR="005E0750" w:rsidRPr="009B462D">
              <w:rPr>
                <w:b/>
                <w:sz w:val="22"/>
                <w:szCs w:val="22"/>
              </w:rPr>
              <w:t xml:space="preserve"> Kč</w:t>
            </w:r>
          </w:p>
          <w:p w14:paraId="310C2E86" w14:textId="77777777" w:rsidR="005E0750" w:rsidRDefault="005E0750" w:rsidP="0068398E">
            <w:pPr>
              <w:pStyle w:val="Zkladntext3"/>
              <w:rPr>
                <w:b/>
                <w:sz w:val="22"/>
                <w:szCs w:val="22"/>
              </w:rPr>
            </w:pPr>
          </w:p>
          <w:p w14:paraId="3B618B7E" w14:textId="77777777" w:rsidR="00CF198E" w:rsidRDefault="00CF198E" w:rsidP="0068398E">
            <w:pPr>
              <w:pStyle w:val="Zkladntext3"/>
              <w:rPr>
                <w:b/>
                <w:sz w:val="22"/>
                <w:szCs w:val="22"/>
              </w:rPr>
            </w:pPr>
          </w:p>
          <w:p w14:paraId="3E5BAF22" w14:textId="77777777" w:rsidR="00CF198E" w:rsidRPr="009B462D" w:rsidRDefault="00CF198E" w:rsidP="0068398E">
            <w:pPr>
              <w:pStyle w:val="Zkladntext3"/>
              <w:rPr>
                <w:b/>
                <w:sz w:val="22"/>
                <w:szCs w:val="22"/>
              </w:rPr>
            </w:pPr>
          </w:p>
        </w:tc>
      </w:tr>
    </w:tbl>
    <w:p w14:paraId="5E725850" w14:textId="59DC23C1" w:rsidR="008872FC" w:rsidRPr="00102A22" w:rsidRDefault="005E0750" w:rsidP="009B462D">
      <w:pPr>
        <w:spacing w:after="80"/>
        <w:ind w:left="709"/>
        <w:rPr>
          <w:b/>
          <w:u w:val="single"/>
        </w:rPr>
      </w:pPr>
      <w:r w:rsidRPr="00A0593A">
        <w:rPr>
          <w:b/>
        </w:rPr>
        <w:lastRenderedPageBreak/>
        <w:t xml:space="preserve">  </w:t>
      </w:r>
      <w:r w:rsidR="008872FC" w:rsidRPr="00102A22">
        <w:rPr>
          <w:b/>
          <w:u w:val="single"/>
        </w:rPr>
        <w:t>Celkem za všechny položky</w:t>
      </w:r>
    </w:p>
    <w:tbl>
      <w:tblPr>
        <w:tblW w:w="0" w:type="auto"/>
        <w:tblInd w:w="709" w:type="dxa"/>
        <w:tblLook w:val="04A0" w:firstRow="1" w:lastRow="0" w:firstColumn="1" w:lastColumn="0" w:noHBand="0" w:noVBand="1"/>
      </w:tblPr>
      <w:tblGrid>
        <w:gridCol w:w="4575"/>
        <w:gridCol w:w="3788"/>
      </w:tblGrid>
      <w:tr w:rsidR="008872FC" w:rsidRPr="005B49AA" w14:paraId="631796CA" w14:textId="77777777" w:rsidTr="0068398E">
        <w:tc>
          <w:tcPr>
            <w:tcW w:w="4575" w:type="dxa"/>
          </w:tcPr>
          <w:p w14:paraId="63B2EAA0" w14:textId="77777777" w:rsidR="008872FC" w:rsidRPr="005B49AA" w:rsidRDefault="008872FC" w:rsidP="0068398E">
            <w:pPr>
              <w:pStyle w:val="Zkladntext3"/>
              <w:rPr>
                <w:b/>
                <w:sz w:val="22"/>
                <w:szCs w:val="22"/>
              </w:rPr>
            </w:pPr>
            <w:r w:rsidRPr="005B49AA">
              <w:rPr>
                <w:b/>
                <w:sz w:val="22"/>
                <w:szCs w:val="22"/>
              </w:rPr>
              <w:t>Kupní cena bez DPH:</w:t>
            </w:r>
          </w:p>
        </w:tc>
        <w:tc>
          <w:tcPr>
            <w:tcW w:w="3788" w:type="dxa"/>
          </w:tcPr>
          <w:p w14:paraId="61DFD5BD" w14:textId="4DBE2FB7" w:rsidR="008872FC" w:rsidRPr="005B49AA" w:rsidRDefault="009C656F" w:rsidP="0068398E">
            <w:pPr>
              <w:pStyle w:val="Zkladntext3"/>
              <w:rPr>
                <w:b/>
                <w:sz w:val="22"/>
                <w:szCs w:val="22"/>
              </w:rPr>
            </w:pPr>
            <w:r>
              <w:rPr>
                <w:b/>
                <w:sz w:val="22"/>
                <w:szCs w:val="22"/>
              </w:rPr>
              <w:t xml:space="preserve"> </w:t>
            </w:r>
            <w:r w:rsidR="009B462D" w:rsidRPr="009B462D">
              <w:rPr>
                <w:b/>
                <w:sz w:val="22"/>
                <w:szCs w:val="22"/>
              </w:rPr>
              <w:t xml:space="preserve">169 400 </w:t>
            </w:r>
            <w:r w:rsidR="008872FC" w:rsidRPr="005B49AA">
              <w:rPr>
                <w:b/>
                <w:sz w:val="22"/>
                <w:szCs w:val="22"/>
              </w:rPr>
              <w:t>Kč</w:t>
            </w:r>
          </w:p>
        </w:tc>
      </w:tr>
      <w:tr w:rsidR="008872FC" w:rsidRPr="005B49AA" w14:paraId="65A5D83E" w14:textId="77777777" w:rsidTr="0068398E">
        <w:tc>
          <w:tcPr>
            <w:tcW w:w="4575" w:type="dxa"/>
          </w:tcPr>
          <w:p w14:paraId="1B00A923" w14:textId="232A9682" w:rsidR="008872FC" w:rsidRPr="005B49AA" w:rsidRDefault="008872FC" w:rsidP="0068398E">
            <w:pPr>
              <w:pStyle w:val="Zkladntext3"/>
              <w:rPr>
                <w:b/>
                <w:sz w:val="22"/>
                <w:szCs w:val="22"/>
              </w:rPr>
            </w:pPr>
            <w:r w:rsidRPr="005B49AA">
              <w:rPr>
                <w:b/>
                <w:sz w:val="22"/>
                <w:szCs w:val="22"/>
              </w:rPr>
              <w:t xml:space="preserve">DPH </w:t>
            </w:r>
            <w:r w:rsidR="009B462D">
              <w:rPr>
                <w:b/>
                <w:sz w:val="22"/>
                <w:szCs w:val="22"/>
              </w:rPr>
              <w:t>12</w:t>
            </w:r>
            <w:r w:rsidRPr="005B49AA">
              <w:rPr>
                <w:b/>
                <w:sz w:val="22"/>
                <w:szCs w:val="22"/>
              </w:rPr>
              <w:t xml:space="preserve"> %:</w:t>
            </w:r>
          </w:p>
        </w:tc>
        <w:tc>
          <w:tcPr>
            <w:tcW w:w="3788" w:type="dxa"/>
          </w:tcPr>
          <w:p w14:paraId="036570D2" w14:textId="103E5FAA" w:rsidR="008872FC" w:rsidRPr="005B49AA" w:rsidRDefault="009B462D" w:rsidP="0068398E">
            <w:pPr>
              <w:pStyle w:val="Zkladntext3"/>
              <w:rPr>
                <w:b/>
                <w:sz w:val="22"/>
                <w:szCs w:val="22"/>
              </w:rPr>
            </w:pPr>
            <w:r>
              <w:rPr>
                <w:b/>
                <w:sz w:val="22"/>
                <w:szCs w:val="22"/>
              </w:rPr>
              <w:t xml:space="preserve"> </w:t>
            </w:r>
            <w:r w:rsidRPr="009B462D">
              <w:rPr>
                <w:b/>
                <w:sz w:val="22"/>
                <w:szCs w:val="22"/>
              </w:rPr>
              <w:t xml:space="preserve">  20 328 </w:t>
            </w:r>
            <w:r w:rsidR="008872FC" w:rsidRPr="005B49AA">
              <w:rPr>
                <w:b/>
                <w:sz w:val="22"/>
                <w:szCs w:val="22"/>
              </w:rPr>
              <w:t>Kč</w:t>
            </w:r>
          </w:p>
        </w:tc>
      </w:tr>
      <w:tr w:rsidR="008872FC" w:rsidRPr="005B49AA" w14:paraId="5B210B5F" w14:textId="77777777" w:rsidTr="0068398E">
        <w:tc>
          <w:tcPr>
            <w:tcW w:w="4575" w:type="dxa"/>
          </w:tcPr>
          <w:p w14:paraId="2665A5F5" w14:textId="77777777" w:rsidR="008872FC" w:rsidRPr="005B49AA" w:rsidRDefault="008872FC" w:rsidP="0068398E">
            <w:pPr>
              <w:pStyle w:val="Zkladntext3"/>
              <w:rPr>
                <w:b/>
                <w:sz w:val="22"/>
                <w:szCs w:val="22"/>
              </w:rPr>
            </w:pPr>
            <w:r w:rsidRPr="005B49AA">
              <w:rPr>
                <w:b/>
                <w:sz w:val="22"/>
                <w:szCs w:val="22"/>
              </w:rPr>
              <w:t>Kupní cena včetně DPH:</w:t>
            </w:r>
          </w:p>
        </w:tc>
        <w:tc>
          <w:tcPr>
            <w:tcW w:w="3788" w:type="dxa"/>
          </w:tcPr>
          <w:p w14:paraId="249C5CE8" w14:textId="43E8B3D5" w:rsidR="008872FC" w:rsidRDefault="009B462D" w:rsidP="0068398E">
            <w:pPr>
              <w:pStyle w:val="Zkladntext3"/>
              <w:rPr>
                <w:b/>
                <w:sz w:val="22"/>
                <w:szCs w:val="22"/>
              </w:rPr>
            </w:pPr>
            <w:r>
              <w:rPr>
                <w:b/>
                <w:sz w:val="22"/>
                <w:szCs w:val="22"/>
              </w:rPr>
              <w:t xml:space="preserve"> </w:t>
            </w:r>
            <w:r w:rsidRPr="009B462D">
              <w:rPr>
                <w:b/>
                <w:sz w:val="22"/>
                <w:szCs w:val="22"/>
              </w:rPr>
              <w:t>189 728 Kč</w:t>
            </w:r>
            <w:r w:rsidR="008872FC" w:rsidRPr="005B49AA">
              <w:rPr>
                <w:b/>
                <w:sz w:val="22"/>
                <w:szCs w:val="22"/>
              </w:rPr>
              <w:t xml:space="preserve"> </w:t>
            </w:r>
          </w:p>
          <w:p w14:paraId="1DA4ECE7" w14:textId="77777777" w:rsidR="008872FC" w:rsidRPr="005B49AA" w:rsidRDefault="008872FC" w:rsidP="0068398E">
            <w:pPr>
              <w:pStyle w:val="Zkladntext3"/>
              <w:rPr>
                <w:b/>
                <w:sz w:val="22"/>
                <w:szCs w:val="22"/>
              </w:rPr>
            </w:pPr>
          </w:p>
        </w:tc>
      </w:tr>
    </w:tbl>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268139C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w:t>
      </w:r>
      <w:r w:rsidRPr="00EF7418">
        <w:t xml:space="preserve">plnění kupujícím od Prodávajícího. </w:t>
      </w:r>
      <w:r w:rsidR="00D222C9" w:rsidRPr="00EF7418">
        <w:t xml:space="preserve">Nesmí být vystaveny zálohové faktury. </w:t>
      </w:r>
      <w:r w:rsidRPr="00EF7418">
        <w:t>Faktura musí</w:t>
      </w:r>
      <w:r w:rsidRPr="00D859C2">
        <w:t xml:space="preserve">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 xml:space="preserve">a musí na ní být uvedena sjednaná </w:t>
      </w:r>
      <w:r w:rsidRPr="00EF7418">
        <w:t>kupní cena</w:t>
      </w:r>
      <w:r w:rsidR="00F41207" w:rsidRPr="00EF7418">
        <w:t>, Projekt, číslo Projektu</w:t>
      </w:r>
      <w:r w:rsidRPr="00EF7418">
        <w:t xml:space="preserve"> a datum splatnosti v souladu se smlouvou</w:t>
      </w:r>
      <w:r w:rsidRPr="00EF7418">
        <w:rPr>
          <w:color w:val="000000"/>
        </w:rPr>
        <w:t>, jinak je</w:t>
      </w:r>
      <w:r w:rsidRPr="00D859C2">
        <w:rPr>
          <w:color w:val="000000"/>
        </w:rPr>
        <w:t xml:space="preserv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w:t>
      </w:r>
      <w:r w:rsidR="009A4F9F" w:rsidRPr="325DB655">
        <w:rPr>
          <w:color w:val="000000" w:themeColor="text1"/>
        </w:rPr>
        <w:lastRenderedPageBreak/>
        <w:t xml:space="preserve">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55163DEB" w14:textId="77777777" w:rsidR="00EF2CD5" w:rsidRPr="00EF7418" w:rsidRDefault="00EF2CD5" w:rsidP="00EF2CD5">
      <w:pPr>
        <w:pStyle w:val="Odstavecsmlouvy"/>
        <w:numPr>
          <w:ilvl w:val="1"/>
          <w:numId w:val="3"/>
        </w:numPr>
      </w:pPr>
      <w:r w:rsidRPr="00EF7418">
        <w:rPr>
          <w:color w:val="000000" w:themeColor="text1"/>
        </w:rPr>
        <w:t>Pro účely této smlouvy se vylučuje postoupení peněžitých pohledávek dle § 1879 zákona č. 89</w:t>
      </w:r>
      <w:r w:rsidRPr="00EF7418">
        <w:rPr>
          <w:rFonts w:eastAsia="Arial"/>
        </w:rPr>
        <w:t>/2012 Sb., občanského zákoníku, v platném znění, tj. žádná ze smluvních stran není oprávněna postoupit své peněžité pohledávky za druhou smluvní stranou nebo jejich části jiné osobě.</w:t>
      </w:r>
    </w:p>
    <w:p w14:paraId="515235F0" w14:textId="77777777" w:rsidR="00EF2CD5" w:rsidRPr="00EF7418" w:rsidRDefault="00EF2CD5" w:rsidP="00EF2CD5">
      <w:pPr>
        <w:pStyle w:val="Odstavecsmlouvy"/>
        <w:numPr>
          <w:ilvl w:val="0"/>
          <w:numId w:val="0"/>
        </w:numPr>
        <w:ind w:left="567"/>
      </w:pPr>
    </w:p>
    <w:p w14:paraId="59EC22A9" w14:textId="77777777" w:rsidR="00EF2CD5" w:rsidRPr="00EF7418" w:rsidRDefault="00EF2CD5" w:rsidP="00EF2CD5">
      <w:pPr>
        <w:pStyle w:val="Odstavecsmlouvy"/>
        <w:numPr>
          <w:ilvl w:val="1"/>
          <w:numId w:val="3"/>
        </w:numPr>
      </w:pPr>
      <w:r w:rsidRPr="00EF7418">
        <w:t xml:space="preserve">Pro účely této smlouvy se vylučuje postoupení smlouvy </w:t>
      </w:r>
      <w:r w:rsidRPr="00EF7418">
        <w:rPr>
          <w:rFonts w:eastAsia="Arial"/>
        </w:rPr>
        <w:t>dle § 1895 zákona č. 89/2012 Sb., občanského zákoníku, v platném znění, tj. žádná ze smluvních stran není oprávněna postoupit svá práva a povinnosti z této smlouvy nebo její části třetí osobě.</w:t>
      </w:r>
    </w:p>
    <w:p w14:paraId="52FA8B81" w14:textId="77777777" w:rsidR="00EF2CD5" w:rsidRPr="00D859C2" w:rsidRDefault="00EF2CD5" w:rsidP="00EF2CD5">
      <w:pPr>
        <w:pStyle w:val="Odstavecsmlouvy"/>
        <w:numPr>
          <w:ilvl w:val="0"/>
          <w:numId w:val="0"/>
        </w:numPr>
        <w:ind w:left="567"/>
      </w:pPr>
    </w:p>
    <w:p w14:paraId="70C6B318" w14:textId="77777777" w:rsidR="00EF2CD5" w:rsidRPr="00D859C2" w:rsidRDefault="00EF2CD5" w:rsidP="00EF2CD5">
      <w:pPr>
        <w:pStyle w:val="Odstavecsmlouvy"/>
        <w:numPr>
          <w:ilvl w:val="1"/>
          <w:numId w:val="3"/>
        </w:numPr>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lastRenderedPageBreak/>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lastRenderedPageBreak/>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5E9E909A" w14:textId="77777777" w:rsidR="00633189" w:rsidRPr="00D859C2" w:rsidRDefault="00633189"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636310AF"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84547">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84547">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28C355C4"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484547">
        <w:t>VIII.2</w:t>
      </w:r>
      <w:r>
        <w:fldChar w:fldCharType="end"/>
      </w:r>
      <w:r>
        <w:t xml:space="preserve"> ani </w:t>
      </w:r>
      <w:r>
        <w:fldChar w:fldCharType="begin"/>
      </w:r>
      <w:r>
        <w:instrText xml:space="preserve"> REF _Ref171692445 \r \h </w:instrText>
      </w:r>
      <w:r>
        <w:fldChar w:fldCharType="separate"/>
      </w:r>
      <w:r w:rsidR="00484547">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F58F0E9"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484547">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289BCA76"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48454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895826E"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484547">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w:t>
      </w:r>
      <w:r>
        <w:lastRenderedPageBreak/>
        <w:t>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w:t>
      </w:r>
      <w:r>
        <w:lastRenderedPageBreak/>
        <w:t>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8A9A15A"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8454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160D51E5" w14:textId="77777777" w:rsidR="00EF3231" w:rsidRDefault="00EF3231" w:rsidP="00EF3231">
      <w:pPr>
        <w:pStyle w:val="Odstavecsmlouvy"/>
        <w:numPr>
          <w:ilvl w:val="0"/>
          <w:numId w:val="0"/>
        </w:numPr>
        <w:ind w:left="567"/>
      </w:pPr>
    </w:p>
    <w:p w14:paraId="4F82205D" w14:textId="77777777" w:rsidR="00EF3231" w:rsidRPr="00EF7418" w:rsidRDefault="00EF3231" w:rsidP="00EF3231">
      <w:pPr>
        <w:pStyle w:val="Odstavecsmlouvy"/>
      </w:pPr>
      <w:r w:rsidRPr="00EF7418">
        <w:t>Nestanoví-li právní předpisy dobu delší, je Prodávající povinen uchovávat veškerou dokumentaci související s realizací Projektu včetně účetních dokladů minimálně do 31. 12. 2036. Nestanoví</w:t>
      </w:r>
      <w:r w:rsidRPr="00EF7418">
        <w:noBreakHyphen/>
        <w:t>li právní předpisy dobu delší, je Prodávající povinen minimálně do 31. 12. 2036 poskytovat požadované informace a dokumentaci (včetně účetních dokladů) související s plněním této smlouvy zaměstnancům nebo zmocněncům pověřených orgánů (OLAF – Evropského úřadu pro boj proti podvodům, Úřadu evropského veřejného žalobce, Ministerstva financí ČR, Evropské komise, Evropského účetního dvora, Ministerstva zdravotnictví ČR, Nejvyššího kontrolního úřadu a dalším příslušným vnitrostátním orgánům). Prodávající se dále zavazuje vytvořit výše uvedeným osobám a orgánům podmínky k provedení kontroly vztahující se k plnění této smlouvy a poskytnout jim při provádění kontroly součinnost.</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lastRenderedPageBreak/>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CFD71AF" w:rsidR="00327588" w:rsidRPr="00D859C2" w:rsidRDefault="00497922" w:rsidP="00094B12">
      <w:pPr>
        <w:pStyle w:val="Odstavecsmlouvy"/>
        <w:rPr>
          <w:snapToGrid w:val="0"/>
        </w:rPr>
      </w:pPr>
      <w:r>
        <w:rPr>
          <w:snapToGrid w:val="0"/>
        </w:rPr>
        <w:t xml:space="preserve">Tato smlouva je sepsána </w:t>
      </w:r>
      <w:r w:rsidR="0061410D">
        <w:rPr>
          <w:snapToGrid w:val="0"/>
        </w:rPr>
        <w:t>ve dvou</w:t>
      </w:r>
      <w:r>
        <w:rPr>
          <w:snapToGrid w:val="0"/>
        </w:rPr>
        <w:t xml:space="preserve"> vyhotoveních stejné platnosti a závaznosti, přičemž Prodávající obdrží jedno vyhotovení a Kupující obdrží </w:t>
      </w:r>
      <w:r w:rsidR="0061410D">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tcPr>
          <w:p w14:paraId="69B3B101" w14:textId="044059A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4E725A">
              <w:rPr>
                <w:sz w:val="22"/>
                <w:szCs w:val="22"/>
              </w:rPr>
              <w:t>Praze</w:t>
            </w:r>
            <w:r w:rsidRPr="001150C5">
              <w:rPr>
                <w:sz w:val="22"/>
                <w:szCs w:val="22"/>
              </w:rPr>
              <w:t xml:space="preserve"> dne</w:t>
            </w:r>
            <w:r w:rsidR="004E725A">
              <w:rPr>
                <w:sz w:val="22"/>
                <w:szCs w:val="22"/>
              </w:rPr>
              <w:t xml:space="preserve"> </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146C95C9" w14:textId="76139C06" w:rsidR="004E725A" w:rsidRDefault="004E725A" w:rsidP="000E79CE">
            <w:pPr>
              <w:pStyle w:val="slovn"/>
              <w:numPr>
                <w:ilvl w:val="0"/>
                <w:numId w:val="0"/>
              </w:numPr>
              <w:tabs>
                <w:tab w:val="num" w:pos="567"/>
              </w:tabs>
              <w:spacing w:after="0" w:line="280" w:lineRule="atLeast"/>
              <w:jc w:val="center"/>
              <w:rPr>
                <w:b/>
                <w:sz w:val="22"/>
                <w:szCs w:val="22"/>
              </w:rPr>
            </w:pPr>
            <w:r w:rsidRPr="004E725A">
              <w:rPr>
                <w:b/>
                <w:sz w:val="22"/>
                <w:szCs w:val="22"/>
              </w:rPr>
              <w:t>MADISSON, s.r.o.</w:t>
            </w:r>
          </w:p>
          <w:p w14:paraId="17D23793" w14:textId="0B855077" w:rsidR="00094B12" w:rsidRPr="004E725A" w:rsidRDefault="004E725A" w:rsidP="000E79CE">
            <w:pPr>
              <w:pStyle w:val="slovn"/>
              <w:numPr>
                <w:ilvl w:val="0"/>
                <w:numId w:val="0"/>
              </w:numPr>
              <w:tabs>
                <w:tab w:val="num" w:pos="567"/>
              </w:tabs>
              <w:spacing w:after="0" w:line="280" w:lineRule="atLeast"/>
              <w:jc w:val="center"/>
              <w:rPr>
                <w:bCs/>
                <w:sz w:val="22"/>
                <w:szCs w:val="22"/>
              </w:rPr>
            </w:pPr>
            <w:r w:rsidRPr="004E725A">
              <w:rPr>
                <w:bCs/>
                <w:sz w:val="22"/>
                <w:szCs w:val="22"/>
              </w:rPr>
              <w:t>Mgr. Robert Vojtíšek, MBA,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tbl>
      <w:tblPr>
        <w:tblW w:w="985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4096"/>
        <w:gridCol w:w="3174"/>
        <w:gridCol w:w="2581"/>
      </w:tblGrid>
      <w:tr w:rsidR="004E725A" w:rsidRPr="00273C1B" w14:paraId="741B90EF" w14:textId="77777777" w:rsidTr="00B807EB">
        <w:trPr>
          <w:trHeight w:val="682"/>
        </w:trPr>
        <w:tc>
          <w:tcPr>
            <w:tcW w:w="9851" w:type="dxa"/>
            <w:gridSpan w:val="3"/>
            <w:tcBorders>
              <w:bottom w:val="single" w:sz="8" w:space="0" w:color="A6A6A6"/>
            </w:tcBorders>
            <w:shd w:val="clear" w:color="auto" w:fill="2E74B5"/>
            <w:vAlign w:val="center"/>
          </w:tcPr>
          <w:p w14:paraId="34DBECE3" w14:textId="77777777" w:rsidR="004E725A" w:rsidRPr="003C40F2" w:rsidRDefault="004E725A" w:rsidP="00B807EB">
            <w:pPr>
              <w:pStyle w:val="Normln0"/>
              <w:spacing w:line="240" w:lineRule="auto"/>
              <w:rPr>
                <w:rFonts w:ascii="Arial" w:hAnsi="Arial" w:cs="Arial"/>
                <w:b/>
                <w:color w:val="FFFFFF"/>
                <w:sz w:val="16"/>
                <w:szCs w:val="16"/>
              </w:rPr>
            </w:pPr>
            <w:r w:rsidRPr="00FA2A0E">
              <w:rPr>
                <w:rFonts w:ascii="Arial" w:hAnsi="Arial" w:cs="Arial"/>
                <w:b/>
                <w:bCs/>
                <w:color w:val="FFFFFF"/>
              </w:rPr>
              <w:t xml:space="preserve">Kolenní </w:t>
            </w:r>
            <w:proofErr w:type="spellStart"/>
            <w:r w:rsidRPr="00FA2A0E">
              <w:rPr>
                <w:rFonts w:ascii="Arial" w:hAnsi="Arial" w:cs="Arial"/>
                <w:b/>
                <w:bCs/>
                <w:color w:val="FFFFFF"/>
              </w:rPr>
              <w:t>motodlaha</w:t>
            </w:r>
            <w:proofErr w:type="spellEnd"/>
            <w:r w:rsidRPr="00FA2A0E">
              <w:rPr>
                <w:rFonts w:ascii="Arial" w:hAnsi="Arial" w:cs="Arial"/>
                <w:b/>
                <w:bCs/>
                <w:color w:val="FFFFFF"/>
              </w:rPr>
              <w:t xml:space="preserve"> „</w:t>
            </w:r>
            <w:proofErr w:type="spellStart"/>
            <w:r w:rsidRPr="00FA2A0E">
              <w:rPr>
                <w:rFonts w:ascii="Arial" w:hAnsi="Arial" w:cs="Arial"/>
                <w:b/>
                <w:bCs/>
                <w:color w:val="FFFFFF"/>
              </w:rPr>
              <w:t>Artromot</w:t>
            </w:r>
            <w:proofErr w:type="spellEnd"/>
            <w:r w:rsidRPr="00FA2A0E">
              <w:rPr>
                <w:rFonts w:ascii="Arial" w:hAnsi="Arial" w:cs="Arial"/>
                <w:b/>
                <w:bCs/>
                <w:color w:val="FFFFFF"/>
              </w:rPr>
              <w:t xml:space="preserve"> KI </w:t>
            </w:r>
            <w:proofErr w:type="spellStart"/>
            <w:r>
              <w:rPr>
                <w:rFonts w:ascii="Arial" w:hAnsi="Arial" w:cs="Arial"/>
                <w:b/>
                <w:bCs/>
                <w:color w:val="FFFFFF"/>
              </w:rPr>
              <w:t>C</w:t>
            </w:r>
            <w:r w:rsidRPr="00FA2A0E">
              <w:rPr>
                <w:rFonts w:ascii="Arial" w:hAnsi="Arial" w:cs="Arial"/>
                <w:b/>
                <w:bCs/>
                <w:color w:val="FFFFFF"/>
              </w:rPr>
              <w:t>omfort</w:t>
            </w:r>
            <w:proofErr w:type="spellEnd"/>
          </w:p>
        </w:tc>
      </w:tr>
      <w:tr w:rsidR="004E725A" w:rsidRPr="00273C1B" w14:paraId="243202B5" w14:textId="77777777" w:rsidTr="00B807EB">
        <w:trPr>
          <w:trHeight w:val="7209"/>
        </w:trPr>
        <w:tc>
          <w:tcPr>
            <w:tcW w:w="4096" w:type="dxa"/>
            <w:tcBorders>
              <w:top w:val="single" w:sz="8" w:space="0" w:color="A6A6A6"/>
              <w:left w:val="single" w:sz="8" w:space="0" w:color="A6A6A6"/>
              <w:bottom w:val="single" w:sz="8" w:space="0" w:color="A6A6A6"/>
              <w:right w:val="single" w:sz="8" w:space="0" w:color="A6A6A6"/>
            </w:tcBorders>
          </w:tcPr>
          <w:p w14:paraId="6094242C" w14:textId="77777777" w:rsidR="004E725A" w:rsidRPr="00273C1B" w:rsidRDefault="004E725A" w:rsidP="00B807EB">
            <w:pPr>
              <w:spacing w:after="40"/>
            </w:pPr>
            <w:r>
              <w:rPr>
                <w:noProof/>
              </w:rPr>
              <w:drawing>
                <wp:anchor distT="0" distB="0" distL="114300" distR="114300" simplePos="0" relativeHeight="251659264" behindDoc="0" locked="0" layoutInCell="1" allowOverlap="1" wp14:anchorId="6D23E9AD" wp14:editId="13D58BBE">
                  <wp:simplePos x="0" y="0"/>
                  <wp:positionH relativeFrom="column">
                    <wp:posOffset>200025</wp:posOffset>
                  </wp:positionH>
                  <wp:positionV relativeFrom="paragraph">
                    <wp:posOffset>958850</wp:posOffset>
                  </wp:positionV>
                  <wp:extent cx="2020570" cy="2400300"/>
                  <wp:effectExtent l="0" t="0" r="0" b="0"/>
                  <wp:wrapNone/>
                  <wp:docPr id="11" name="Obrázek 11" descr="http://www.ormedent.cz/foto/motodlahy/kolenni/k3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rmedent.cz/foto/motodlahy/kolenni/k3av.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2057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55" w:type="dxa"/>
            <w:gridSpan w:val="2"/>
            <w:tcBorders>
              <w:top w:val="single" w:sz="8" w:space="0" w:color="A6A6A6"/>
              <w:left w:val="single" w:sz="8" w:space="0" w:color="A6A6A6"/>
              <w:bottom w:val="single" w:sz="8" w:space="0" w:color="A6A6A6"/>
              <w:right w:val="single" w:sz="8" w:space="0" w:color="A6A6A6"/>
            </w:tcBorders>
            <w:vAlign w:val="center"/>
          </w:tcPr>
          <w:p w14:paraId="2E3C95DC" w14:textId="77777777" w:rsidR="004E725A" w:rsidRPr="000270C4" w:rsidRDefault="004E725A" w:rsidP="004E725A">
            <w:pPr>
              <w:pStyle w:val="Normln0"/>
              <w:numPr>
                <w:ilvl w:val="0"/>
                <w:numId w:val="17"/>
              </w:numPr>
              <w:spacing w:after="120" w:line="240" w:lineRule="auto"/>
              <w:ind w:left="639" w:hanging="469"/>
              <w:rPr>
                <w:rFonts w:ascii="Arial" w:hAnsi="Arial" w:cs="Arial"/>
                <w:b/>
                <w:sz w:val="16"/>
                <w:szCs w:val="16"/>
              </w:rPr>
            </w:pPr>
            <w:bookmarkStart w:id="18" w:name="_Hlk210377452"/>
            <w:proofErr w:type="spellStart"/>
            <w:r>
              <w:rPr>
                <w:rFonts w:ascii="Arial" w:hAnsi="Arial" w:cs="Arial"/>
                <w:b/>
                <w:sz w:val="16"/>
                <w:szCs w:val="16"/>
              </w:rPr>
              <w:t>Artromot</w:t>
            </w:r>
            <w:proofErr w:type="spellEnd"/>
            <w:r>
              <w:rPr>
                <w:rFonts w:ascii="Arial" w:hAnsi="Arial" w:cs="Arial"/>
                <w:b/>
                <w:sz w:val="16"/>
                <w:szCs w:val="16"/>
              </w:rPr>
              <w:t xml:space="preserve"> KI </w:t>
            </w:r>
            <w:proofErr w:type="spellStart"/>
            <w:r>
              <w:rPr>
                <w:rFonts w:ascii="Arial" w:hAnsi="Arial" w:cs="Arial"/>
                <w:b/>
                <w:sz w:val="16"/>
                <w:szCs w:val="16"/>
              </w:rPr>
              <w:t>Comfort</w:t>
            </w:r>
            <w:proofErr w:type="spellEnd"/>
          </w:p>
          <w:p w14:paraId="654DE5A6" w14:textId="77777777" w:rsidR="004E725A" w:rsidRPr="00BC3B1C" w:rsidRDefault="004E725A" w:rsidP="004E725A">
            <w:pPr>
              <w:pStyle w:val="Normln0"/>
              <w:numPr>
                <w:ilvl w:val="1"/>
                <w:numId w:val="17"/>
              </w:numPr>
              <w:spacing w:line="240" w:lineRule="auto"/>
              <w:ind w:left="639" w:hanging="283"/>
              <w:rPr>
                <w:rFonts w:ascii="Arial" w:hAnsi="Arial" w:cs="Arial"/>
                <w:b/>
                <w:bCs/>
                <w:sz w:val="16"/>
                <w:szCs w:val="16"/>
              </w:rPr>
            </w:pPr>
            <w:r w:rsidRPr="00BC3B1C">
              <w:rPr>
                <w:rFonts w:ascii="Arial" w:hAnsi="Arial" w:cs="Arial"/>
                <w:sz w:val="16"/>
                <w:szCs w:val="16"/>
              </w:rPr>
              <w:t xml:space="preserve">moderní programovatelná </w:t>
            </w:r>
            <w:proofErr w:type="spellStart"/>
            <w:r w:rsidRPr="00BC3B1C">
              <w:rPr>
                <w:rFonts w:ascii="Arial" w:hAnsi="Arial" w:cs="Arial"/>
                <w:sz w:val="16"/>
                <w:szCs w:val="16"/>
              </w:rPr>
              <w:t>motodlaha</w:t>
            </w:r>
            <w:proofErr w:type="spellEnd"/>
            <w:r w:rsidRPr="00BC3B1C">
              <w:rPr>
                <w:rFonts w:ascii="Arial" w:hAnsi="Arial" w:cs="Arial"/>
                <w:sz w:val="16"/>
                <w:szCs w:val="16"/>
              </w:rPr>
              <w:t xml:space="preserve"> kolenního a kyčelního kloubu na čipové karty řízena dálkovým ovladačem s mnoha léčebnými programy</w:t>
            </w:r>
            <w:r w:rsidRPr="00BC3B1C">
              <w:rPr>
                <w:rFonts w:ascii="Arial" w:hAnsi="Arial" w:cs="Arial"/>
                <w:b/>
                <w:bCs/>
                <w:sz w:val="16"/>
                <w:szCs w:val="16"/>
              </w:rPr>
              <w:t> </w:t>
            </w:r>
          </w:p>
          <w:p w14:paraId="786FEB24"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 xml:space="preserve">rychlé nastavení </w:t>
            </w:r>
            <w:proofErr w:type="spellStart"/>
            <w:r w:rsidRPr="00BC3B1C">
              <w:rPr>
                <w:rFonts w:ascii="Arial" w:hAnsi="Arial" w:cs="Arial"/>
                <w:sz w:val="16"/>
                <w:szCs w:val="16"/>
              </w:rPr>
              <w:t>motodlahy</w:t>
            </w:r>
            <w:proofErr w:type="spellEnd"/>
            <w:r w:rsidRPr="00BC3B1C">
              <w:rPr>
                <w:rFonts w:ascii="Arial" w:hAnsi="Arial" w:cs="Arial"/>
                <w:sz w:val="16"/>
                <w:szCs w:val="16"/>
              </w:rPr>
              <w:t xml:space="preserve"> na anatomické rozměry pacienta, zaručený anatomicky správný pohyb končetiny</w:t>
            </w:r>
          </w:p>
          <w:p w14:paraId="789CBC1C"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monitoring rehabilitace – uchování léčebných dat na čipové kartě</w:t>
            </w:r>
          </w:p>
          <w:p w14:paraId="2FE97E13"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možnost přenosu léčebných dat z čipové karty do PC</w:t>
            </w:r>
          </w:p>
          <w:p w14:paraId="2B967B24"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funkce navíc oproti modelu Klasik a Standard</w:t>
            </w:r>
          </w:p>
          <w:p w14:paraId="46FEDE8F"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není nutná přestavba pravá / levá končetina</w:t>
            </w:r>
          </w:p>
          <w:p w14:paraId="3AACDC8E"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plynulé nastavení rozsahu pohybu podle potřeb pacienta</w:t>
            </w:r>
          </w:p>
          <w:p w14:paraId="14960DCD" w14:textId="77777777" w:rsidR="004E725A" w:rsidRPr="00BC3B1C"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podpěry stehna, lýtka a botička z lehce omyvatelného materiálu, protiskluzová podložka</w:t>
            </w:r>
          </w:p>
          <w:p w14:paraId="5B9C3F9F" w14:textId="77777777" w:rsidR="004E725A" w:rsidRDefault="004E725A" w:rsidP="004E725A">
            <w:pPr>
              <w:pStyle w:val="Normln0"/>
              <w:numPr>
                <w:ilvl w:val="1"/>
                <w:numId w:val="17"/>
              </w:numPr>
              <w:ind w:left="639" w:hanging="283"/>
              <w:rPr>
                <w:rFonts w:ascii="Arial" w:hAnsi="Arial" w:cs="Arial"/>
                <w:sz w:val="16"/>
                <w:szCs w:val="16"/>
              </w:rPr>
            </w:pPr>
            <w:r w:rsidRPr="00BC3B1C">
              <w:rPr>
                <w:rFonts w:ascii="Arial" w:hAnsi="Arial" w:cs="Arial"/>
                <w:sz w:val="16"/>
                <w:szCs w:val="16"/>
              </w:rPr>
              <w:t>přístroj je indikován k ošetření většiny poranění, postoperativních stavů a onemocnění kolenního a kyčelního kloubu</w:t>
            </w:r>
          </w:p>
          <w:p w14:paraId="1441A1EA" w14:textId="77777777" w:rsidR="004E725A" w:rsidRDefault="004E725A" w:rsidP="004E725A">
            <w:pPr>
              <w:pStyle w:val="Normln0"/>
              <w:numPr>
                <w:ilvl w:val="1"/>
                <w:numId w:val="17"/>
              </w:numPr>
              <w:ind w:left="639" w:hanging="283"/>
              <w:rPr>
                <w:rFonts w:ascii="Arial" w:hAnsi="Arial" w:cs="Arial"/>
                <w:sz w:val="16"/>
                <w:szCs w:val="16"/>
              </w:rPr>
            </w:pPr>
            <w:r>
              <w:rPr>
                <w:rFonts w:ascii="Arial" w:hAnsi="Arial" w:cs="Arial"/>
                <w:sz w:val="16"/>
                <w:szCs w:val="16"/>
              </w:rPr>
              <w:t>nový přístroj, nese označení CE</w:t>
            </w:r>
          </w:p>
          <w:p w14:paraId="34ED37BE" w14:textId="77777777" w:rsidR="004E725A" w:rsidRDefault="004E725A" w:rsidP="004E725A">
            <w:pPr>
              <w:pStyle w:val="Normln0"/>
              <w:numPr>
                <w:ilvl w:val="1"/>
                <w:numId w:val="17"/>
              </w:numPr>
              <w:ind w:left="639" w:hanging="283"/>
              <w:rPr>
                <w:rFonts w:ascii="Arial" w:hAnsi="Arial" w:cs="Arial"/>
                <w:sz w:val="16"/>
                <w:szCs w:val="16"/>
              </w:rPr>
            </w:pPr>
            <w:r>
              <w:rPr>
                <w:rFonts w:ascii="Arial" w:hAnsi="Arial" w:cs="Arial"/>
                <w:sz w:val="16"/>
                <w:szCs w:val="16"/>
              </w:rPr>
              <w:t>manuál na CD a v tištěné formě</w:t>
            </w:r>
          </w:p>
          <w:p w14:paraId="0B805489" w14:textId="77777777" w:rsidR="004E725A" w:rsidRPr="00BC3B1C" w:rsidRDefault="004E725A" w:rsidP="00B807EB">
            <w:pPr>
              <w:pStyle w:val="Normln0"/>
              <w:ind w:left="639"/>
              <w:rPr>
                <w:rFonts w:ascii="Arial" w:hAnsi="Arial" w:cs="Arial"/>
                <w:sz w:val="16"/>
                <w:szCs w:val="16"/>
              </w:rPr>
            </w:pPr>
          </w:p>
          <w:p w14:paraId="5537BD72" w14:textId="77777777" w:rsidR="004E725A" w:rsidRPr="00540B5F" w:rsidRDefault="004E725A" w:rsidP="00B807EB">
            <w:pPr>
              <w:pStyle w:val="Normln0"/>
              <w:spacing w:line="240" w:lineRule="auto"/>
              <w:ind w:left="639"/>
              <w:rPr>
                <w:rFonts w:ascii="Arial" w:hAnsi="Arial" w:cs="Arial"/>
                <w:b/>
                <w:bCs/>
                <w:sz w:val="16"/>
                <w:szCs w:val="16"/>
              </w:rPr>
            </w:pPr>
            <w:r w:rsidRPr="00540B5F">
              <w:rPr>
                <w:rFonts w:ascii="Arial" w:hAnsi="Arial" w:cs="Arial"/>
                <w:b/>
                <w:bCs/>
                <w:sz w:val="16"/>
                <w:szCs w:val="16"/>
              </w:rPr>
              <w:t>Příslušenství</w:t>
            </w:r>
          </w:p>
          <w:p w14:paraId="566BA8A9" w14:textId="77777777" w:rsidR="004E725A" w:rsidRDefault="004E725A" w:rsidP="00B807EB">
            <w:pPr>
              <w:pStyle w:val="Normln0"/>
              <w:spacing w:line="240" w:lineRule="auto"/>
              <w:ind w:left="340" w:hanging="283"/>
              <w:rPr>
                <w:rFonts w:ascii="Arial" w:hAnsi="Arial" w:cs="Arial"/>
                <w:sz w:val="16"/>
                <w:szCs w:val="16"/>
              </w:rPr>
            </w:pPr>
            <w:r>
              <w:rPr>
                <w:rFonts w:ascii="Arial" w:hAnsi="Arial" w:cs="Arial"/>
                <w:sz w:val="16"/>
                <w:szCs w:val="16"/>
              </w:rPr>
              <w:t xml:space="preserve">             Transportní vozík na </w:t>
            </w:r>
            <w:proofErr w:type="spellStart"/>
            <w:r>
              <w:rPr>
                <w:rFonts w:ascii="Arial" w:hAnsi="Arial" w:cs="Arial"/>
                <w:sz w:val="16"/>
                <w:szCs w:val="16"/>
              </w:rPr>
              <w:t>motodlahu</w:t>
            </w:r>
            <w:proofErr w:type="spellEnd"/>
            <w:r>
              <w:rPr>
                <w:rFonts w:ascii="Arial" w:hAnsi="Arial" w:cs="Arial"/>
                <w:sz w:val="16"/>
                <w:szCs w:val="16"/>
              </w:rPr>
              <w:t xml:space="preserve"> s umístěním do lůžka</w:t>
            </w:r>
          </w:p>
          <w:p w14:paraId="7B324AF6" w14:textId="77777777" w:rsidR="004E725A" w:rsidRDefault="004E725A" w:rsidP="00B807EB">
            <w:pPr>
              <w:pStyle w:val="Normln0"/>
              <w:spacing w:line="240" w:lineRule="auto"/>
              <w:ind w:left="340" w:hanging="283"/>
              <w:rPr>
                <w:rFonts w:ascii="Arial" w:hAnsi="Arial" w:cs="Arial"/>
                <w:sz w:val="16"/>
                <w:szCs w:val="16"/>
              </w:rPr>
            </w:pPr>
          </w:p>
          <w:p w14:paraId="5372AAF7" w14:textId="77777777" w:rsidR="004E725A" w:rsidRPr="000270C4" w:rsidRDefault="004E725A" w:rsidP="00B807EB">
            <w:pPr>
              <w:pStyle w:val="Normln0"/>
              <w:spacing w:line="240" w:lineRule="auto"/>
              <w:ind w:left="340" w:hanging="283"/>
              <w:rPr>
                <w:rFonts w:ascii="Arial" w:hAnsi="Arial" w:cs="Arial"/>
                <w:sz w:val="16"/>
                <w:szCs w:val="16"/>
              </w:rPr>
            </w:pPr>
          </w:p>
          <w:p w14:paraId="71159946" w14:textId="77777777" w:rsidR="004E725A" w:rsidRPr="000270C4" w:rsidRDefault="004E725A" w:rsidP="004E725A">
            <w:pPr>
              <w:pStyle w:val="Normln0"/>
              <w:numPr>
                <w:ilvl w:val="0"/>
                <w:numId w:val="17"/>
              </w:numPr>
              <w:spacing w:after="120" w:line="240" w:lineRule="auto"/>
              <w:ind w:left="639" w:hanging="469"/>
              <w:rPr>
                <w:rFonts w:ascii="Arial" w:hAnsi="Arial" w:cs="Arial"/>
                <w:b/>
                <w:sz w:val="16"/>
                <w:szCs w:val="16"/>
              </w:rPr>
            </w:pPr>
            <w:r>
              <w:rPr>
                <w:rFonts w:ascii="Arial" w:hAnsi="Arial" w:cs="Arial"/>
                <w:b/>
                <w:sz w:val="16"/>
                <w:szCs w:val="16"/>
              </w:rPr>
              <w:t xml:space="preserve">programy: </w:t>
            </w:r>
          </w:p>
          <w:p w14:paraId="64A60093"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pauzy ve flexi či extenzi – obě samostatně volitelné</w:t>
            </w:r>
          </w:p>
          <w:p w14:paraId="4F70E1D7"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zpětný chod – bezpečnostní prvek</w:t>
            </w:r>
          </w:p>
          <w:p w14:paraId="3894D829"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 xml:space="preserve">nastavení doby terapie </w:t>
            </w:r>
          </w:p>
          <w:p w14:paraId="41357BAE"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 xml:space="preserve">plynulá regulace rychlosti pohybu </w:t>
            </w:r>
            <w:proofErr w:type="spellStart"/>
            <w:r w:rsidRPr="00BC3B1C">
              <w:rPr>
                <w:rFonts w:ascii="Arial" w:eastAsia="Times New Roman" w:hAnsi="Arial"/>
                <w:color w:val="000000"/>
                <w:sz w:val="16"/>
                <w:szCs w:val="16"/>
              </w:rPr>
              <w:t>motodlahy</w:t>
            </w:r>
            <w:proofErr w:type="spellEnd"/>
            <w:r w:rsidRPr="00BC3B1C">
              <w:rPr>
                <w:rFonts w:ascii="Arial" w:eastAsia="Times New Roman" w:hAnsi="Arial"/>
                <w:color w:val="000000"/>
                <w:sz w:val="16"/>
                <w:szCs w:val="16"/>
              </w:rPr>
              <w:t xml:space="preserve"> od 20° do 200° / min.</w:t>
            </w:r>
          </w:p>
          <w:p w14:paraId="3BD6936F"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 xml:space="preserve">zahřívací </w:t>
            </w:r>
            <w:proofErr w:type="gramStart"/>
            <w:r w:rsidRPr="00BC3B1C">
              <w:rPr>
                <w:rFonts w:ascii="Arial" w:eastAsia="Times New Roman" w:hAnsi="Arial"/>
                <w:color w:val="000000"/>
                <w:sz w:val="16"/>
                <w:szCs w:val="16"/>
              </w:rPr>
              <w:t>program - postupné</w:t>
            </w:r>
            <w:proofErr w:type="gramEnd"/>
            <w:r w:rsidRPr="00BC3B1C">
              <w:rPr>
                <w:rFonts w:ascii="Arial" w:eastAsia="Times New Roman" w:hAnsi="Arial"/>
                <w:color w:val="000000"/>
                <w:sz w:val="16"/>
                <w:szCs w:val="16"/>
              </w:rPr>
              <w:t xml:space="preserve"> zvyšování rozsahu</w:t>
            </w:r>
          </w:p>
          <w:p w14:paraId="31E2DF45"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protažení – pomalé navýšení max. rozsahu o 5°</w:t>
            </w:r>
          </w:p>
          <w:p w14:paraId="679C1AA7" w14:textId="77777777" w:rsidR="004E725A"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oscilace – četnější opakování mezních 10°</w:t>
            </w:r>
          </w:p>
          <w:p w14:paraId="6AB76889"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1C746E">
              <w:rPr>
                <w:rFonts w:ascii="Arial" w:eastAsia="Times New Roman" w:hAnsi="Arial"/>
                <w:color w:val="000000"/>
                <w:sz w:val="16"/>
                <w:szCs w:val="16"/>
              </w:rPr>
              <w:t>cyklické zvyšování rozsahu pohybu až do nastavených hodnot</w:t>
            </w:r>
          </w:p>
          <w:p w14:paraId="193230E1" w14:textId="77777777" w:rsidR="004E725A" w:rsidRPr="00BC3B1C" w:rsidRDefault="004E725A" w:rsidP="004E725A">
            <w:pPr>
              <w:pStyle w:val="Odstavecseseznamem"/>
              <w:numPr>
                <w:ilvl w:val="1"/>
                <w:numId w:val="17"/>
              </w:numPr>
              <w:spacing w:after="0"/>
              <w:ind w:left="639" w:hanging="283"/>
              <w:jc w:val="left"/>
              <w:rPr>
                <w:rFonts w:ascii="Arial" w:eastAsia="Times New Roman" w:hAnsi="Arial"/>
                <w:color w:val="000000"/>
                <w:sz w:val="16"/>
                <w:szCs w:val="16"/>
              </w:rPr>
            </w:pPr>
            <w:r w:rsidRPr="00BC3B1C">
              <w:rPr>
                <w:rFonts w:ascii="Arial" w:eastAsia="Times New Roman" w:hAnsi="Arial"/>
                <w:color w:val="000000"/>
                <w:sz w:val="16"/>
                <w:szCs w:val="16"/>
              </w:rPr>
              <w:t>další programy</w:t>
            </w:r>
            <w:bookmarkEnd w:id="18"/>
            <w:r w:rsidRPr="00BC3B1C">
              <w:rPr>
                <w:rFonts w:ascii="Arial" w:eastAsia="Times New Roman" w:hAnsi="Arial"/>
                <w:color w:val="000000"/>
                <w:sz w:val="16"/>
                <w:szCs w:val="16"/>
              </w:rPr>
              <w:t>…</w:t>
            </w:r>
          </w:p>
          <w:p w14:paraId="3589EACD" w14:textId="77777777" w:rsidR="004E725A" w:rsidRPr="000270C4" w:rsidRDefault="004E725A" w:rsidP="00B807EB">
            <w:pPr>
              <w:pStyle w:val="Odstavecseseznamem"/>
              <w:ind w:left="639"/>
              <w:contextualSpacing w:val="0"/>
              <w:rPr>
                <w:rFonts w:ascii="Arial" w:eastAsia="Times New Roman" w:hAnsi="Arial"/>
                <w:color w:val="000000"/>
                <w:sz w:val="16"/>
                <w:szCs w:val="16"/>
              </w:rPr>
            </w:pPr>
          </w:p>
          <w:p w14:paraId="070183C2" w14:textId="77777777" w:rsidR="004E725A" w:rsidRPr="000270C4" w:rsidRDefault="004E725A" w:rsidP="004E725A">
            <w:pPr>
              <w:pStyle w:val="Normln0"/>
              <w:numPr>
                <w:ilvl w:val="0"/>
                <w:numId w:val="17"/>
              </w:numPr>
              <w:spacing w:after="120" w:line="240" w:lineRule="auto"/>
              <w:ind w:left="639" w:hanging="469"/>
              <w:rPr>
                <w:rFonts w:ascii="Arial" w:hAnsi="Arial" w:cs="Arial"/>
                <w:b/>
                <w:sz w:val="16"/>
                <w:szCs w:val="16"/>
              </w:rPr>
            </w:pPr>
            <w:r>
              <w:rPr>
                <w:rFonts w:ascii="Arial" w:hAnsi="Arial" w:cs="Arial"/>
                <w:b/>
                <w:sz w:val="16"/>
                <w:szCs w:val="16"/>
              </w:rPr>
              <w:t>technické parametry</w:t>
            </w:r>
            <w:r w:rsidRPr="000270C4">
              <w:rPr>
                <w:rFonts w:ascii="Arial" w:hAnsi="Arial" w:cs="Arial"/>
                <w:b/>
                <w:sz w:val="16"/>
                <w:szCs w:val="16"/>
              </w:rPr>
              <w:t xml:space="preserve">: </w:t>
            </w:r>
          </w:p>
          <w:p w14:paraId="60284F50"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flexe/</w:t>
            </w:r>
            <w:proofErr w:type="gramStart"/>
            <w:r w:rsidRPr="00BC3B1C">
              <w:rPr>
                <w:rFonts w:ascii="Arial" w:hAnsi="Arial"/>
                <w:sz w:val="16"/>
                <w:szCs w:val="16"/>
              </w:rPr>
              <w:t>extenze - kolenní</w:t>
            </w:r>
            <w:proofErr w:type="gramEnd"/>
            <w:r w:rsidRPr="00BC3B1C">
              <w:rPr>
                <w:rFonts w:ascii="Arial" w:hAnsi="Arial"/>
                <w:sz w:val="16"/>
                <w:szCs w:val="16"/>
              </w:rPr>
              <w:t xml:space="preserve"> kloub -10° - 0° - 120°</w:t>
            </w:r>
          </w:p>
          <w:p w14:paraId="0577A5DB"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flexe/</w:t>
            </w:r>
            <w:proofErr w:type="gramStart"/>
            <w:r w:rsidRPr="00BC3B1C">
              <w:rPr>
                <w:rFonts w:ascii="Arial" w:hAnsi="Arial"/>
                <w:sz w:val="16"/>
                <w:szCs w:val="16"/>
              </w:rPr>
              <w:t>extenze - kyčelní</w:t>
            </w:r>
            <w:proofErr w:type="gramEnd"/>
            <w:r w:rsidRPr="00BC3B1C">
              <w:rPr>
                <w:rFonts w:ascii="Arial" w:hAnsi="Arial"/>
                <w:sz w:val="16"/>
                <w:szCs w:val="16"/>
              </w:rPr>
              <w:t xml:space="preserve"> kloub 0° - 7° - 115°</w:t>
            </w:r>
          </w:p>
          <w:p w14:paraId="5A22645A"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 xml:space="preserve">rychlost 20° až 200° / min </w:t>
            </w:r>
          </w:p>
          <w:p w14:paraId="7470A776"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 xml:space="preserve">hmotnost 11,0 kg </w:t>
            </w:r>
          </w:p>
          <w:p w14:paraId="20D540BF"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 xml:space="preserve">rozměry 35 x 96 cm </w:t>
            </w:r>
          </w:p>
          <w:p w14:paraId="3021A200"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 xml:space="preserve">výška pacientů od 120 do 195 cm </w:t>
            </w:r>
          </w:p>
          <w:p w14:paraId="15509FD6" w14:textId="77777777" w:rsidR="004E725A" w:rsidRPr="00BC3B1C" w:rsidRDefault="004E725A" w:rsidP="004E725A">
            <w:pPr>
              <w:pStyle w:val="Odstavecseseznamem"/>
              <w:numPr>
                <w:ilvl w:val="0"/>
                <w:numId w:val="18"/>
              </w:numPr>
              <w:spacing w:after="0"/>
              <w:ind w:left="639" w:hanging="283"/>
              <w:jc w:val="left"/>
              <w:rPr>
                <w:rFonts w:ascii="Arial" w:hAnsi="Arial"/>
                <w:sz w:val="16"/>
                <w:szCs w:val="16"/>
              </w:rPr>
            </w:pPr>
            <w:r w:rsidRPr="00BC3B1C">
              <w:rPr>
                <w:rFonts w:ascii="Arial" w:hAnsi="Arial"/>
                <w:sz w:val="16"/>
                <w:szCs w:val="16"/>
              </w:rPr>
              <w:t xml:space="preserve">max. hmotnost jedné končetiny </w:t>
            </w:r>
            <w:r>
              <w:rPr>
                <w:rFonts w:ascii="Arial" w:hAnsi="Arial"/>
                <w:sz w:val="16"/>
                <w:szCs w:val="16"/>
              </w:rPr>
              <w:t>25</w:t>
            </w:r>
            <w:r w:rsidRPr="00BC3B1C">
              <w:rPr>
                <w:rFonts w:ascii="Arial" w:hAnsi="Arial"/>
                <w:sz w:val="16"/>
                <w:szCs w:val="16"/>
              </w:rPr>
              <w:t xml:space="preserve"> kg</w:t>
            </w:r>
          </w:p>
          <w:p w14:paraId="5110934E" w14:textId="77777777" w:rsidR="004E725A" w:rsidRDefault="004E725A" w:rsidP="00B807EB">
            <w:pPr>
              <w:pStyle w:val="Normlnweb0"/>
              <w:spacing w:after="40" w:line="360" w:lineRule="auto"/>
              <w:ind w:firstLine="303"/>
              <w:rPr>
                <w:rFonts w:ascii="Arial" w:hAnsi="Arial" w:cs="Arial"/>
                <w:b/>
                <w:bCs/>
                <w:sz w:val="16"/>
                <w:szCs w:val="16"/>
              </w:rPr>
            </w:pPr>
          </w:p>
          <w:p w14:paraId="03F00AE1" w14:textId="77777777" w:rsidR="004E725A" w:rsidRDefault="004E725A" w:rsidP="00B807EB">
            <w:pPr>
              <w:pStyle w:val="Normlnweb0"/>
              <w:spacing w:before="0" w:after="0" w:line="360" w:lineRule="auto"/>
              <w:ind w:left="720"/>
              <w:rPr>
                <w:rFonts w:ascii="Arial" w:hAnsi="Arial" w:cs="Arial"/>
                <w:sz w:val="16"/>
                <w:szCs w:val="16"/>
              </w:rPr>
            </w:pPr>
          </w:p>
          <w:p w14:paraId="2ADE10AA" w14:textId="77777777" w:rsidR="004E725A" w:rsidRPr="00A72CCC" w:rsidRDefault="004E725A" w:rsidP="00B807EB">
            <w:pPr>
              <w:pStyle w:val="Normlnweb0"/>
              <w:spacing w:before="0" w:after="0" w:line="360" w:lineRule="auto"/>
              <w:ind w:left="720"/>
              <w:rPr>
                <w:rFonts w:ascii="Arial" w:hAnsi="Arial" w:cs="Arial"/>
                <w:sz w:val="16"/>
                <w:szCs w:val="16"/>
              </w:rPr>
            </w:pPr>
          </w:p>
        </w:tc>
      </w:tr>
      <w:tr w:rsidR="004E725A" w:rsidRPr="00273C1B" w14:paraId="1F7F2E67" w14:textId="77777777" w:rsidTr="00B807EB">
        <w:trPr>
          <w:trHeight w:val="426"/>
        </w:trPr>
        <w:tc>
          <w:tcPr>
            <w:tcW w:w="4096"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2D9E8F08" w14:textId="77777777" w:rsidR="004E725A" w:rsidRPr="00AE65CA" w:rsidRDefault="004E725A" w:rsidP="00B807EB">
            <w:pPr>
              <w:pStyle w:val="DPbezloga"/>
              <w:ind w:left="0"/>
              <w:jc w:val="center"/>
              <w:rPr>
                <w:b/>
                <w:bCs/>
                <w:color w:val="FFFFFF"/>
                <w:sz w:val="16"/>
                <w:szCs w:val="16"/>
              </w:rPr>
            </w:pPr>
            <w:r>
              <w:rPr>
                <w:b/>
                <w:color w:val="FFFFFF"/>
                <w:sz w:val="16"/>
                <w:szCs w:val="16"/>
              </w:rPr>
              <w:t xml:space="preserve">Kolenní </w:t>
            </w:r>
            <w:proofErr w:type="spellStart"/>
            <w:r>
              <w:rPr>
                <w:b/>
                <w:color w:val="FFFFFF"/>
                <w:sz w:val="16"/>
                <w:szCs w:val="16"/>
              </w:rPr>
              <w:t>motodlaha</w:t>
            </w:r>
            <w:proofErr w:type="spellEnd"/>
            <w:r>
              <w:rPr>
                <w:b/>
                <w:color w:val="FFFFFF"/>
                <w:sz w:val="16"/>
                <w:szCs w:val="16"/>
              </w:rPr>
              <w:t xml:space="preserve"> „</w:t>
            </w:r>
            <w:proofErr w:type="spellStart"/>
            <w:r>
              <w:rPr>
                <w:b/>
                <w:color w:val="FFFFFF"/>
                <w:sz w:val="16"/>
                <w:szCs w:val="16"/>
              </w:rPr>
              <w:t>Artromot</w:t>
            </w:r>
            <w:proofErr w:type="spellEnd"/>
            <w:r>
              <w:rPr>
                <w:b/>
                <w:color w:val="FFFFFF"/>
                <w:sz w:val="16"/>
                <w:szCs w:val="16"/>
              </w:rPr>
              <w:t xml:space="preserve"> KI </w:t>
            </w:r>
            <w:proofErr w:type="spellStart"/>
            <w:r>
              <w:rPr>
                <w:b/>
                <w:color w:val="FFFFFF"/>
                <w:sz w:val="16"/>
                <w:szCs w:val="16"/>
              </w:rPr>
              <w:t>Comfort</w:t>
            </w:r>
            <w:proofErr w:type="spellEnd"/>
            <w:r>
              <w:rPr>
                <w:b/>
                <w:color w:val="FFFFFF"/>
                <w:sz w:val="16"/>
                <w:szCs w:val="16"/>
              </w:rPr>
              <w:t>“</w:t>
            </w:r>
          </w:p>
        </w:tc>
        <w:tc>
          <w:tcPr>
            <w:tcW w:w="3174" w:type="dxa"/>
            <w:tcBorders>
              <w:top w:val="single" w:sz="8" w:space="0" w:color="A6A6A6"/>
              <w:left w:val="single" w:sz="8" w:space="0" w:color="A6A6A6"/>
              <w:bottom w:val="single" w:sz="8" w:space="0" w:color="A6A6A6"/>
              <w:right w:val="single" w:sz="8" w:space="0" w:color="A6A6A6"/>
            </w:tcBorders>
            <w:vAlign w:val="center"/>
          </w:tcPr>
          <w:p w14:paraId="36E1DF01" w14:textId="77777777" w:rsidR="004E725A" w:rsidRPr="00962AE1" w:rsidRDefault="004E725A" w:rsidP="00B807EB">
            <w:pPr>
              <w:pStyle w:val="DPbezloga"/>
              <w:spacing w:after="40"/>
              <w:ind w:left="0"/>
              <w:jc w:val="center"/>
              <w:rPr>
                <w:b/>
                <w:bCs/>
                <w:sz w:val="16"/>
                <w:szCs w:val="16"/>
              </w:rPr>
            </w:pPr>
            <w:r w:rsidRPr="00962AE1">
              <w:rPr>
                <w:b/>
                <w:bCs/>
                <w:sz w:val="16"/>
                <w:szCs w:val="16"/>
              </w:rPr>
              <w:t xml:space="preserve">Cena bez </w:t>
            </w:r>
            <w:r>
              <w:rPr>
                <w:b/>
                <w:bCs/>
                <w:sz w:val="16"/>
                <w:szCs w:val="16"/>
              </w:rPr>
              <w:t>12</w:t>
            </w:r>
            <w:r w:rsidRPr="00962AE1">
              <w:rPr>
                <w:b/>
                <w:bCs/>
                <w:sz w:val="16"/>
                <w:szCs w:val="16"/>
              </w:rPr>
              <w:t xml:space="preserve"> % DPH </w:t>
            </w:r>
          </w:p>
          <w:p w14:paraId="1234EC94" w14:textId="77777777" w:rsidR="004E725A" w:rsidRPr="00962AE1" w:rsidRDefault="004E725A" w:rsidP="00B807EB">
            <w:pPr>
              <w:pStyle w:val="DPbezloga"/>
              <w:spacing w:after="40"/>
              <w:ind w:left="0"/>
              <w:jc w:val="center"/>
              <w:rPr>
                <w:b/>
                <w:bCs/>
                <w:sz w:val="16"/>
                <w:szCs w:val="16"/>
              </w:rPr>
            </w:pPr>
            <w:proofErr w:type="gramStart"/>
            <w:r>
              <w:rPr>
                <w:b/>
                <w:bCs/>
                <w:sz w:val="16"/>
                <w:szCs w:val="16"/>
              </w:rPr>
              <w:t>12</w:t>
            </w:r>
            <w:r w:rsidRPr="00962AE1">
              <w:rPr>
                <w:b/>
                <w:bCs/>
                <w:sz w:val="16"/>
                <w:szCs w:val="16"/>
              </w:rPr>
              <w:t>%</w:t>
            </w:r>
            <w:proofErr w:type="gramEnd"/>
            <w:r w:rsidRPr="00962AE1">
              <w:rPr>
                <w:b/>
                <w:bCs/>
                <w:sz w:val="16"/>
                <w:szCs w:val="16"/>
              </w:rPr>
              <w:t xml:space="preserve"> DPH</w:t>
            </w:r>
          </w:p>
          <w:p w14:paraId="13649A9F" w14:textId="77777777" w:rsidR="004E725A" w:rsidRPr="00A72CCC" w:rsidRDefault="004E725A" w:rsidP="00B807EB">
            <w:pPr>
              <w:pStyle w:val="DPbezloga"/>
              <w:spacing w:after="40"/>
              <w:ind w:left="0"/>
              <w:jc w:val="center"/>
              <w:rPr>
                <w:sz w:val="16"/>
                <w:szCs w:val="16"/>
              </w:rPr>
            </w:pPr>
            <w:r w:rsidRPr="00962AE1">
              <w:rPr>
                <w:b/>
                <w:bCs/>
                <w:sz w:val="16"/>
                <w:szCs w:val="16"/>
              </w:rPr>
              <w:t xml:space="preserve">Cena včetně </w:t>
            </w:r>
            <w:proofErr w:type="gramStart"/>
            <w:r>
              <w:rPr>
                <w:b/>
                <w:bCs/>
                <w:sz w:val="16"/>
                <w:szCs w:val="16"/>
              </w:rPr>
              <w:t>12</w:t>
            </w:r>
            <w:r w:rsidRPr="00962AE1">
              <w:rPr>
                <w:b/>
                <w:bCs/>
                <w:sz w:val="16"/>
                <w:szCs w:val="16"/>
              </w:rPr>
              <w:t>%</w:t>
            </w:r>
            <w:proofErr w:type="gramEnd"/>
            <w:r w:rsidRPr="00962AE1">
              <w:rPr>
                <w:b/>
                <w:bCs/>
                <w:sz w:val="16"/>
                <w:szCs w:val="16"/>
              </w:rPr>
              <w:t xml:space="preserve"> DPH</w:t>
            </w:r>
          </w:p>
        </w:tc>
        <w:tc>
          <w:tcPr>
            <w:tcW w:w="2581" w:type="dxa"/>
            <w:tcBorders>
              <w:top w:val="single" w:sz="8" w:space="0" w:color="A6A6A6"/>
              <w:left w:val="single" w:sz="8" w:space="0" w:color="A6A6A6"/>
              <w:bottom w:val="single" w:sz="8" w:space="0" w:color="A6A6A6"/>
              <w:right w:val="single" w:sz="8" w:space="0" w:color="A6A6A6"/>
            </w:tcBorders>
            <w:vAlign w:val="center"/>
          </w:tcPr>
          <w:p w14:paraId="158C89B9" w14:textId="77777777" w:rsidR="004E725A" w:rsidRPr="00962AE1" w:rsidRDefault="004E725A" w:rsidP="00B807EB">
            <w:pPr>
              <w:pStyle w:val="DPbezloga"/>
              <w:spacing w:after="40"/>
              <w:ind w:left="0" w:right="639"/>
              <w:jc w:val="right"/>
              <w:rPr>
                <w:b/>
                <w:bCs/>
                <w:sz w:val="18"/>
                <w:szCs w:val="18"/>
              </w:rPr>
            </w:pPr>
            <w:r>
              <w:rPr>
                <w:b/>
                <w:bCs/>
                <w:sz w:val="18"/>
                <w:szCs w:val="18"/>
              </w:rPr>
              <w:t>169</w:t>
            </w:r>
            <w:r w:rsidRPr="00962AE1">
              <w:rPr>
                <w:b/>
                <w:bCs/>
                <w:sz w:val="18"/>
                <w:szCs w:val="18"/>
              </w:rPr>
              <w:t xml:space="preserve"> </w:t>
            </w:r>
            <w:r>
              <w:rPr>
                <w:b/>
                <w:bCs/>
                <w:sz w:val="18"/>
                <w:szCs w:val="18"/>
              </w:rPr>
              <w:t>4</w:t>
            </w:r>
            <w:r w:rsidRPr="00962AE1">
              <w:rPr>
                <w:b/>
                <w:bCs/>
                <w:sz w:val="18"/>
                <w:szCs w:val="18"/>
              </w:rPr>
              <w:t>00 Kč</w:t>
            </w:r>
          </w:p>
          <w:p w14:paraId="4B8C4E61" w14:textId="77777777" w:rsidR="004E725A" w:rsidRPr="00962AE1" w:rsidRDefault="004E725A" w:rsidP="00B807EB">
            <w:pPr>
              <w:pStyle w:val="DPbezloga"/>
              <w:spacing w:after="40"/>
              <w:ind w:left="0" w:right="639"/>
              <w:jc w:val="right"/>
              <w:rPr>
                <w:b/>
                <w:bCs/>
                <w:sz w:val="18"/>
                <w:szCs w:val="18"/>
              </w:rPr>
            </w:pPr>
            <w:r>
              <w:rPr>
                <w:b/>
                <w:bCs/>
                <w:sz w:val="18"/>
                <w:szCs w:val="18"/>
              </w:rPr>
              <w:t>20 328</w:t>
            </w:r>
            <w:r w:rsidRPr="00962AE1">
              <w:rPr>
                <w:b/>
                <w:bCs/>
                <w:sz w:val="18"/>
                <w:szCs w:val="18"/>
              </w:rPr>
              <w:t xml:space="preserve"> Kč</w:t>
            </w:r>
          </w:p>
          <w:p w14:paraId="60A7C6B6" w14:textId="77777777" w:rsidR="004E725A" w:rsidRPr="00A72CCC" w:rsidRDefault="004E725A" w:rsidP="00B807EB">
            <w:pPr>
              <w:pStyle w:val="DPbezloga"/>
              <w:spacing w:after="40"/>
              <w:ind w:left="0" w:right="639"/>
              <w:jc w:val="right"/>
              <w:rPr>
                <w:b/>
                <w:bCs/>
                <w:color w:val="FF0000"/>
                <w:sz w:val="18"/>
                <w:szCs w:val="18"/>
              </w:rPr>
            </w:pPr>
            <w:r>
              <w:rPr>
                <w:b/>
                <w:bCs/>
                <w:sz w:val="18"/>
                <w:szCs w:val="18"/>
              </w:rPr>
              <w:t>189 728</w:t>
            </w:r>
            <w:r w:rsidRPr="00962AE1">
              <w:rPr>
                <w:b/>
                <w:bCs/>
                <w:sz w:val="18"/>
                <w:szCs w:val="18"/>
              </w:rPr>
              <w:t xml:space="preserve"> Kč</w:t>
            </w:r>
          </w:p>
        </w:tc>
      </w:tr>
    </w:tbl>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Default="009730A2" w:rsidP="009730A2">
      <w:pPr>
        <w:rPr>
          <w:b/>
        </w:rPr>
      </w:pPr>
      <w:r w:rsidRPr="00AE7134">
        <w:rPr>
          <w:b/>
        </w:rPr>
        <w:t>Blokové komunikační schéma:</w:t>
      </w:r>
    </w:p>
    <w:p w14:paraId="11433626" w14:textId="77777777" w:rsidR="009D5F2A" w:rsidRPr="00AE7134" w:rsidRDefault="009D5F2A" w:rsidP="009730A2">
      <w:pPr>
        <w:rPr>
          <w:b/>
        </w:rPr>
      </w:pPr>
    </w:p>
    <w:p w14:paraId="7C27102A" w14:textId="62AC6351" w:rsidR="009730A2" w:rsidRDefault="009D5F2A" w:rsidP="009730A2">
      <w:pPr>
        <w:rPr>
          <w:bCs/>
          <w:u w:val="single"/>
        </w:rPr>
      </w:pPr>
      <w:r w:rsidRPr="009D5F2A">
        <w:rPr>
          <w:bCs/>
          <w:u w:val="single"/>
        </w:rPr>
        <w:t>Zboží nebude připojeno k datové síti zadavatele ani nebude uchovávat osobní údaje na externím úložišti.</w:t>
      </w:r>
    </w:p>
    <w:p w14:paraId="22B54F57" w14:textId="77777777" w:rsidR="009D5F2A" w:rsidRPr="009D5F2A" w:rsidRDefault="009D5F2A" w:rsidP="009730A2">
      <w:pPr>
        <w:rPr>
          <w:bCs/>
        </w:rPr>
      </w:pPr>
    </w:p>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E57F46" w:rsidRDefault="009730A2" w:rsidP="009730A2">
      <w:r w:rsidRPr="00E57F46">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w:t>
      </w:r>
      <w:r w:rsidRPr="002C402F">
        <w:lastRenderedPageBreak/>
        <w:t xml:space="preserve">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0D66A1">
        <w:rPr>
          <w:rFonts w:ascii="Arial" w:hAnsi="Arial"/>
        </w:rPr>
        <w:t>[MÁ-LI ZAŘÍZENÍ KOMUNIKOVAT S PACS ZADAVATELE, DOPLNÍ ÚČASTNÍK ZADÁVACÍHO ŘÍZENÍ TABULKU S MANDATORNÍMI DICOM TAGS, JINAK PONECHÁ PRÁZDNÉ]</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F198E" w:rsidRPr="00CF198E">
          <w:rPr>
            <w:rFonts w:ascii="Arial" w:hAnsi="Arial"/>
            <w:noProof/>
            <w:sz w:val="20"/>
            <w:lang w:val="cs-CZ"/>
          </w:rPr>
          <w:t>10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A0BC" w14:textId="5E52A928" w:rsidR="00EF3231" w:rsidRPr="00EF3231" w:rsidRDefault="00EF3231">
    <w:pPr>
      <w:pStyle w:val="Zhlav"/>
      <w:rPr>
        <w:lang w:val="cs-CZ"/>
      </w:rPr>
    </w:pPr>
    <w:r>
      <w:tab/>
    </w:r>
    <w:r>
      <w:tab/>
    </w:r>
    <w:r>
      <w:rPr>
        <w:lang w:val="cs-CZ"/>
      </w:rPr>
      <w:t>P25V00000324</w:t>
    </w:r>
  </w:p>
  <w:p w14:paraId="790702C9" w14:textId="77777777" w:rsidR="00EF3231" w:rsidRDefault="00EF32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0.5pt;height:438.75pt;visibility:visible;mso-wrap-style:square" o:bullet="t">
        <v:imagedata r:id="rId1" o:title=""/>
      </v:shape>
    </w:pict>
  </w:numPicBullet>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39346A"/>
    <w:multiLevelType w:val="hybridMultilevel"/>
    <w:tmpl w:val="1FCE8D46"/>
    <w:lvl w:ilvl="0" w:tplc="062298A8">
      <w:start w:val="1"/>
      <w:numFmt w:val="bullet"/>
      <w:lvlText w:val=""/>
      <w:lvlPicBulletId w:val="0"/>
      <w:lvlJc w:val="left"/>
      <w:pPr>
        <w:ind w:left="785" w:hanging="360"/>
      </w:pPr>
      <w:rPr>
        <w:rFonts w:ascii="Symbol" w:hAnsi="Symbol" w:hint="default"/>
        <w:color w:val="auto"/>
        <w:sz w:val="24"/>
        <w:szCs w:val="24"/>
      </w:rPr>
    </w:lvl>
    <w:lvl w:ilvl="1" w:tplc="3DC65A3C">
      <w:start w:val="1"/>
      <w:numFmt w:val="bullet"/>
      <w:lvlText w:val=""/>
      <w:lvlJc w:val="left"/>
      <w:pPr>
        <w:ind w:left="927" w:hanging="360"/>
      </w:pPr>
      <w:rPr>
        <w:rFonts w:ascii="Wingdings 3" w:hAnsi="Wingdings 3" w:hint="default"/>
        <w:color w:val="808080"/>
      </w:rPr>
    </w:lvl>
    <w:lvl w:ilvl="2" w:tplc="6E0C3142">
      <w:start w:val="7"/>
      <w:numFmt w:val="bullet"/>
      <w:lvlText w:val="-"/>
      <w:lvlJc w:val="left"/>
      <w:pPr>
        <w:ind w:left="2225" w:hanging="360"/>
      </w:pPr>
      <w:rPr>
        <w:rFonts w:ascii="Arial" w:eastAsia="Times New Roman" w:hAnsi="Arial" w:cs="Arial"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CDCB6D"/>
    <w:multiLevelType w:val="hybridMultilevel"/>
    <w:tmpl w:val="264CB94E"/>
    <w:lvl w:ilvl="0" w:tplc="72326A4C">
      <w:numFmt w:val="none"/>
      <w:lvlText w:val=""/>
      <w:lvlJc w:val="left"/>
      <w:pPr>
        <w:tabs>
          <w:tab w:val="num" w:pos="360"/>
        </w:tabs>
      </w:pPr>
    </w:lvl>
    <w:lvl w:ilvl="1" w:tplc="401CE44E">
      <w:start w:val="1"/>
      <w:numFmt w:val="lowerLetter"/>
      <w:lvlText w:val="%2."/>
      <w:lvlJc w:val="left"/>
      <w:pPr>
        <w:ind w:left="1440" w:hanging="360"/>
      </w:pPr>
    </w:lvl>
    <w:lvl w:ilvl="2" w:tplc="22046B82">
      <w:start w:val="1"/>
      <w:numFmt w:val="lowerRoman"/>
      <w:lvlText w:val="%3."/>
      <w:lvlJc w:val="right"/>
      <w:pPr>
        <w:ind w:left="2160" w:hanging="180"/>
      </w:pPr>
    </w:lvl>
    <w:lvl w:ilvl="3" w:tplc="E748627E">
      <w:start w:val="1"/>
      <w:numFmt w:val="decimal"/>
      <w:lvlText w:val="%4."/>
      <w:lvlJc w:val="left"/>
      <w:pPr>
        <w:ind w:left="2880" w:hanging="360"/>
      </w:pPr>
    </w:lvl>
    <w:lvl w:ilvl="4" w:tplc="FCE0B616">
      <w:start w:val="1"/>
      <w:numFmt w:val="lowerLetter"/>
      <w:lvlText w:val="%5."/>
      <w:lvlJc w:val="left"/>
      <w:pPr>
        <w:ind w:left="3600" w:hanging="360"/>
      </w:pPr>
    </w:lvl>
    <w:lvl w:ilvl="5" w:tplc="E07ED9D2">
      <w:start w:val="1"/>
      <w:numFmt w:val="lowerRoman"/>
      <w:lvlText w:val="%6."/>
      <w:lvlJc w:val="right"/>
      <w:pPr>
        <w:ind w:left="4320" w:hanging="180"/>
      </w:pPr>
    </w:lvl>
    <w:lvl w:ilvl="6" w:tplc="F8C410A0">
      <w:start w:val="1"/>
      <w:numFmt w:val="decimal"/>
      <w:lvlText w:val="%7."/>
      <w:lvlJc w:val="left"/>
      <w:pPr>
        <w:ind w:left="5040" w:hanging="360"/>
      </w:pPr>
    </w:lvl>
    <w:lvl w:ilvl="7" w:tplc="4EE05832">
      <w:start w:val="1"/>
      <w:numFmt w:val="lowerLetter"/>
      <w:lvlText w:val="%8."/>
      <w:lvlJc w:val="left"/>
      <w:pPr>
        <w:ind w:left="5760" w:hanging="360"/>
      </w:pPr>
    </w:lvl>
    <w:lvl w:ilvl="8" w:tplc="E1BC8EF4">
      <w:start w:val="1"/>
      <w:numFmt w:val="lowerRoman"/>
      <w:lvlText w:val="%9."/>
      <w:lvlJc w:val="right"/>
      <w:pPr>
        <w:ind w:left="6480" w:hanging="180"/>
      </w:pPr>
    </w:lvl>
  </w:abstractNum>
  <w:abstractNum w:abstractNumId="7"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18A3526"/>
    <w:multiLevelType w:val="hybridMultilevel"/>
    <w:tmpl w:val="F6D4E00E"/>
    <w:lvl w:ilvl="0" w:tplc="0D2222F8">
      <w:start w:val="1"/>
      <w:numFmt w:val="bullet"/>
      <w:lvlText w:val=""/>
      <w:lvlJc w:val="left"/>
      <w:pPr>
        <w:ind w:left="1800" w:hanging="360"/>
      </w:pPr>
      <w:rPr>
        <w:rFonts w:ascii="Wingdings 3" w:hAnsi="Wingdings 3" w:hint="default"/>
        <w:color w:val="808080"/>
        <w:sz w:val="16"/>
        <w:szCs w:val="16"/>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2235228">
    <w:abstractNumId w:val="6"/>
  </w:num>
  <w:num w:numId="2" w16cid:durableId="2128236261">
    <w:abstractNumId w:val="7"/>
  </w:num>
  <w:num w:numId="3" w16cid:durableId="1715037698">
    <w:abstractNumId w:val="8"/>
  </w:num>
  <w:num w:numId="4" w16cid:durableId="1033190427">
    <w:abstractNumId w:val="8"/>
  </w:num>
  <w:num w:numId="5" w16cid:durableId="1034890682">
    <w:abstractNumId w:val="13"/>
  </w:num>
  <w:num w:numId="6" w16cid:durableId="1339383089">
    <w:abstractNumId w:val="9"/>
  </w:num>
  <w:num w:numId="7" w16cid:durableId="1848524001">
    <w:abstractNumId w:val="1"/>
  </w:num>
  <w:num w:numId="8" w16cid:durableId="186451272">
    <w:abstractNumId w:val="5"/>
  </w:num>
  <w:num w:numId="9" w16cid:durableId="1915436651">
    <w:abstractNumId w:val="14"/>
  </w:num>
  <w:num w:numId="10" w16cid:durableId="1154175248">
    <w:abstractNumId w:val="4"/>
  </w:num>
  <w:num w:numId="11" w16cid:durableId="181404073">
    <w:abstractNumId w:val="11"/>
  </w:num>
  <w:num w:numId="12" w16cid:durableId="1331062610">
    <w:abstractNumId w:val="12"/>
  </w:num>
  <w:num w:numId="13" w16cid:durableId="2128503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2095684">
    <w:abstractNumId w:val="8"/>
  </w:num>
  <w:num w:numId="15" w16cid:durableId="31540557">
    <w:abstractNumId w:val="0"/>
  </w:num>
  <w:num w:numId="16" w16cid:durableId="883828134">
    <w:abstractNumId w:val="3"/>
  </w:num>
  <w:num w:numId="17" w16cid:durableId="563488771">
    <w:abstractNumId w:val="2"/>
  </w:num>
  <w:num w:numId="18" w16cid:durableId="10135286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44F1"/>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D66A1"/>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63995"/>
    <w:rsid w:val="00271FDF"/>
    <w:rsid w:val="00277ACF"/>
    <w:rsid w:val="002812F7"/>
    <w:rsid w:val="002834BC"/>
    <w:rsid w:val="00283E98"/>
    <w:rsid w:val="00290EF9"/>
    <w:rsid w:val="002943FF"/>
    <w:rsid w:val="0029524D"/>
    <w:rsid w:val="00296488"/>
    <w:rsid w:val="00297406"/>
    <w:rsid w:val="00297EE2"/>
    <w:rsid w:val="002A29DA"/>
    <w:rsid w:val="002A4107"/>
    <w:rsid w:val="002B4D67"/>
    <w:rsid w:val="002C2981"/>
    <w:rsid w:val="002C7AE0"/>
    <w:rsid w:val="002D2536"/>
    <w:rsid w:val="002D7CD1"/>
    <w:rsid w:val="002E1388"/>
    <w:rsid w:val="002E3B0B"/>
    <w:rsid w:val="002E48E0"/>
    <w:rsid w:val="002F4EDA"/>
    <w:rsid w:val="002F4F30"/>
    <w:rsid w:val="003073CD"/>
    <w:rsid w:val="003122E6"/>
    <w:rsid w:val="00312759"/>
    <w:rsid w:val="00327588"/>
    <w:rsid w:val="00330DC4"/>
    <w:rsid w:val="00336073"/>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E61BF"/>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548F"/>
    <w:rsid w:val="00457F76"/>
    <w:rsid w:val="004820A4"/>
    <w:rsid w:val="00484547"/>
    <w:rsid w:val="00487BCE"/>
    <w:rsid w:val="00494052"/>
    <w:rsid w:val="004975C3"/>
    <w:rsid w:val="00497922"/>
    <w:rsid w:val="004A1880"/>
    <w:rsid w:val="004A6335"/>
    <w:rsid w:val="004B52F7"/>
    <w:rsid w:val="004B647F"/>
    <w:rsid w:val="004B7BE2"/>
    <w:rsid w:val="004C2151"/>
    <w:rsid w:val="004C3CC2"/>
    <w:rsid w:val="004D237F"/>
    <w:rsid w:val="004E725A"/>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739F"/>
    <w:rsid w:val="005D0FD1"/>
    <w:rsid w:val="005D1964"/>
    <w:rsid w:val="005D1F37"/>
    <w:rsid w:val="005D29BD"/>
    <w:rsid w:val="005D319C"/>
    <w:rsid w:val="005E0750"/>
    <w:rsid w:val="005E39A9"/>
    <w:rsid w:val="005E3A77"/>
    <w:rsid w:val="005F53C1"/>
    <w:rsid w:val="005F5EEB"/>
    <w:rsid w:val="006031DD"/>
    <w:rsid w:val="00605F71"/>
    <w:rsid w:val="006124A5"/>
    <w:rsid w:val="0061410D"/>
    <w:rsid w:val="00614829"/>
    <w:rsid w:val="006151C2"/>
    <w:rsid w:val="00616EBE"/>
    <w:rsid w:val="00620394"/>
    <w:rsid w:val="00620A9D"/>
    <w:rsid w:val="006260B6"/>
    <w:rsid w:val="00626A1F"/>
    <w:rsid w:val="00633149"/>
    <w:rsid w:val="0063318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3657"/>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4A5F"/>
    <w:rsid w:val="00807207"/>
    <w:rsid w:val="00821D5C"/>
    <w:rsid w:val="008338EF"/>
    <w:rsid w:val="008342BB"/>
    <w:rsid w:val="00841443"/>
    <w:rsid w:val="00842E4D"/>
    <w:rsid w:val="00842E64"/>
    <w:rsid w:val="008510BD"/>
    <w:rsid w:val="0085307C"/>
    <w:rsid w:val="008645D8"/>
    <w:rsid w:val="00865A8C"/>
    <w:rsid w:val="00871625"/>
    <w:rsid w:val="008872FC"/>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62D"/>
    <w:rsid w:val="009B48A9"/>
    <w:rsid w:val="009C10A9"/>
    <w:rsid w:val="009C2784"/>
    <w:rsid w:val="009C656F"/>
    <w:rsid w:val="009C7D00"/>
    <w:rsid w:val="009D3B32"/>
    <w:rsid w:val="009D5F2A"/>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5D0D"/>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764B9"/>
    <w:rsid w:val="00C90967"/>
    <w:rsid w:val="00C9479B"/>
    <w:rsid w:val="00C970BF"/>
    <w:rsid w:val="00C978A8"/>
    <w:rsid w:val="00CA3509"/>
    <w:rsid w:val="00CB01C4"/>
    <w:rsid w:val="00CB6A3D"/>
    <w:rsid w:val="00CC0F64"/>
    <w:rsid w:val="00CC12D2"/>
    <w:rsid w:val="00CC6A8F"/>
    <w:rsid w:val="00CD5440"/>
    <w:rsid w:val="00CD60EF"/>
    <w:rsid w:val="00CD61FC"/>
    <w:rsid w:val="00CF0B12"/>
    <w:rsid w:val="00CF198E"/>
    <w:rsid w:val="00CF49B2"/>
    <w:rsid w:val="00D000FE"/>
    <w:rsid w:val="00D039A9"/>
    <w:rsid w:val="00D04283"/>
    <w:rsid w:val="00D04CE9"/>
    <w:rsid w:val="00D071E8"/>
    <w:rsid w:val="00D07D37"/>
    <w:rsid w:val="00D13E92"/>
    <w:rsid w:val="00D17289"/>
    <w:rsid w:val="00D203A0"/>
    <w:rsid w:val="00D222C9"/>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C5583"/>
    <w:rsid w:val="00DC780C"/>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57F46"/>
    <w:rsid w:val="00E710A0"/>
    <w:rsid w:val="00E80D56"/>
    <w:rsid w:val="00E826DA"/>
    <w:rsid w:val="00E84314"/>
    <w:rsid w:val="00E9244D"/>
    <w:rsid w:val="00E928B3"/>
    <w:rsid w:val="00EA0F46"/>
    <w:rsid w:val="00EA2BB7"/>
    <w:rsid w:val="00EA4C3B"/>
    <w:rsid w:val="00EB367F"/>
    <w:rsid w:val="00EB6947"/>
    <w:rsid w:val="00EB7849"/>
    <w:rsid w:val="00ED3A3E"/>
    <w:rsid w:val="00EE155A"/>
    <w:rsid w:val="00EE477D"/>
    <w:rsid w:val="00EF2CD5"/>
    <w:rsid w:val="00EF3231"/>
    <w:rsid w:val="00EF4125"/>
    <w:rsid w:val="00EF46EE"/>
    <w:rsid w:val="00EF7418"/>
    <w:rsid w:val="00F01FFB"/>
    <w:rsid w:val="00F06B76"/>
    <w:rsid w:val="00F1590C"/>
    <w:rsid w:val="00F17CE6"/>
    <w:rsid w:val="00F213A4"/>
    <w:rsid w:val="00F24FF5"/>
    <w:rsid w:val="00F25BC8"/>
    <w:rsid w:val="00F41207"/>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DPbezloga">
    <w:name w:val="DP bez loga"/>
    <w:basedOn w:val="Normln"/>
    <w:qFormat/>
    <w:rsid w:val="004E725A"/>
    <w:pPr>
      <w:spacing w:line="260" w:lineRule="exact"/>
      <w:ind w:left="1559"/>
      <w:jc w:val="left"/>
    </w:pPr>
    <w:rPr>
      <w:sz w:val="20"/>
      <w:szCs w:val="20"/>
    </w:rPr>
  </w:style>
  <w:style w:type="paragraph" w:customStyle="1" w:styleId="Normln0">
    <w:name w:val="Norm‡ln’"/>
    <w:basedOn w:val="Normln"/>
    <w:uiPriority w:val="99"/>
    <w:qFormat/>
    <w:rsid w:val="004E725A"/>
    <w:pPr>
      <w:widowControl w:val="0"/>
      <w:suppressAutoHyphens/>
      <w:autoSpaceDE w:val="0"/>
      <w:autoSpaceDN w:val="0"/>
      <w:adjustRightInd w:val="0"/>
      <w:spacing w:line="288" w:lineRule="auto"/>
      <w:jc w:val="left"/>
      <w:textAlignment w:val="center"/>
    </w:pPr>
    <w:rPr>
      <w:rFonts w:ascii="TimesNewRomanPSMT" w:hAnsi="TimesNewRomanPSMT" w:cs="TimesNewRomanPSMT"/>
      <w:color w:val="000000"/>
      <w:sz w:val="24"/>
      <w:szCs w:val="24"/>
      <w:lang w:eastAsia="en-US"/>
    </w:rPr>
  </w:style>
  <w:style w:type="paragraph" w:customStyle="1" w:styleId="Normlnweb0">
    <w:name w:val="Norm‡ln’ (web)"/>
    <w:aliases w:val="Norm‡ln’ (s’ WWW)"/>
    <w:basedOn w:val="Normln0"/>
    <w:uiPriority w:val="99"/>
    <w:rsid w:val="004E725A"/>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ormedent.cz/foto/motodlahy/kolenni/k3av.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906E-3A2B-4F93-A356-7AA7FA10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8719</Words>
  <Characters>51443</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2025-10-03T07:46:00Z</dcterms:created>
  <dcterms:modified xsi:type="dcterms:W3CDTF">2025-10-03T07:51:00Z</dcterms:modified>
</cp:coreProperties>
</file>