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9"/>
          <w:tab w:val="center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9"/>
          <w:tab w:val="center" w:leader="none" w:pos="45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9"/>
          <w:tab w:val="center" w:leader="none" w:pos="453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NÁJEMNÍ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uzavřená, níže uvedeného dne, měsíce a roku mezi smluvními stranami, kterými jsou: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0" w:line="240" w:lineRule="auto"/>
        <w:ind w:left="2124" w:right="141" w:hanging="2124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Pronajímatel:              Centrum Kociánka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Sídlo:</w:t>
        <w:tab/>
        <w:tab/>
        <w:tab/>
        <w:t xml:space="preserve">Kociánka 93/2, 612 00 Brno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Bankovní spojení:</w:t>
        <w:tab/>
        <w:t xml:space="preserve">ČNB Brno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</w:tabs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č. ú.</w:t>
        <w:tab/>
        <w:t xml:space="preserve">197136621/0710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Zastoupený:</w:t>
        <w:tab/>
        <w:tab/>
        <w:t xml:space="preserve">ředitelem -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kontakty:                           telefon: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775 404 071 , e-mail: plavcik@kocianka.cz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pronajímatel)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8"/>
        </w:tabs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pronajímatel)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Nájemce:      </w:t>
        <w:tab/>
        <w:tab/>
        <w:t xml:space="preserve">ParaCENTRUM Fenix, z.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Sídlo:</w:t>
        <w:tab/>
        <w:t xml:space="preserve">     </w:t>
        <w:tab/>
        <w:tab/>
        <w:t xml:space="preserve">Brno, Polní 780/92, PSČ 639 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               </w:t>
        <w:tab/>
        <w:tab/>
        <w:t xml:space="preserve">26676826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</w:t>
        <w:tab/>
        <w:t xml:space="preserve">                              není plátce DPH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Jednající:       </w:t>
        <w:tab/>
        <w:tab/>
        <w:t xml:space="preserve">ředitelem -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kontaktní osoba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kontakty:                           telefon: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739 646 395, e-mail: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@pcfenix.cz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nájemce)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92d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hanging="2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hospodaří podle zákona č.219/2000 Sb. O majetku ČR a jejím vystupování v právních vztazích s budovami areálu na adrese Brno, Královo Pole, Kociánka 93/2,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bazén + přilehlé šatny, sprchy a WC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budově bez č.p./ev. stojící na pozemku p.č. 4194/2, k. ú, Královo Pole, obec Brno.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je vybaven movitým majetkem popsaným spolu s prostorovým vymezením předmětu nájmu v příloze č. 1 smlouvy.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Účel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účelem provozování zdravotních služeb rehabilitace poskytovaných nájemcem.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nebo k bezplatnému užívání třetí osobě.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Cena nájmu, služby s nájmem spojené a způsob úhrady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předmět nájmu včetně úhrady za služby s nájmem spojené (energie, voda, teplo, úklid) se sjednává dohodou smluvních stran ve výši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2.000,-Kč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za hodinu včetně  zákonné sazby DPH.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po obdržení faktury vystavené pronajímatelem k vyznačenému datu splatnosti na účet zřízený u ČNB, č. účtu: 197136621/0710. Nájemné bude hrazeno a faktura vystavena měsíčně zpětně za předešlý kalendářní měsíc.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Nebude-li nájemné zaplaceno ve sjednané lhůtě, zavazuje se nájemce zaplatit pronajímateli smluvní pokutu ve výši 0,05% dlužné částky za každý den prodlení.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nájemce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povinen respektovat všechny provozní, bezpečnostní, hygienické, protipožární a další závazné předpisy pronajímatele týkající se předmětu nájmu, s nimiž byl před podpisem smlouvy seznámen, což nájemce stvrzuje podpisem nájemní smlouvy.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Škody, které pronajímateli vzniknou v souvislosti s provozem předmětu nájmu, a to jak osobami z řad nájemce, tak osobami, kterým nájemce umožní do pronajatých prostor přístup, hradí nájemce.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užívat předmět nájmu pouze k účelu stanovenému touto smlouvou.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Nájemce je oprávněn přenechat předmět nájmu do užívání a podnájmu třetímu subjektu pouze na základě písemného souhlasu pronajímatele.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pronajímatele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prohlašuje, že provozuje předmět nájmu podle platných bezpečnostních předpisů včetně zajištění výkonu funkce plavčíka.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Doba trvání nájmu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 účinností od 1. 9. 2025 do  30.6.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v16dy91956de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Předmět nájmu bude využíván nájemcem mimo období prázdnin a státních svátků,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47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nkkz2e4r5dbq" w:id="1"/>
      <w:bookmarkEnd w:id="1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každé pondělí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čase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od 12.30 hodin do 13.30 hodin.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má  k dispozici 15 minut před a 15 minut po plavání na převlékání.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a pronajímatel mohou nájemní smlouvu vypovědět kdykoliv bez udání důvodu s okamžitou účinností po doručení písemné výpovědi druhé smluvní straně.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smlouvy je možné odstoupit s okamžitou účinností pro podstatné porušení smluvních povinností druhé strany a z důvodů uvedených v § 27 odst. 2 zák. č. 219/2000 Sb., o majetku České republiky a jejím vystupování v právních vztazích, ve znění pozdějších předpisů.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Nedílnou součástí smlouvy je příloha č.1. - situační plán předmětu nájmu.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možné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měnit nebo doplňovat pouze písemně za sebou řazenými číselně označenými dodatky.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je platná podpisem a účinná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zveřejněním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 registru smluv podle podmínek zákona č.340/2015 Sb. o registru smluv. Uveřejnění v registru smluv provede pronajímatel.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 29.8.2025</w:t>
        <w:tab/>
        <w:tab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……………………………….……    </w:t>
        <w:tab/>
        <w:tab/>
        <w:tab/>
        <w:t xml:space="preserve">…………………………………………….……………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</w:t>
        <w:tab/>
        <w:tab/>
        <w:tab/>
        <w:t xml:space="preserve"> 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ředitel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426" w:firstLine="0"/>
      <w:jc w:val="left"/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426" w:firstLine="0"/>
      <w:jc w:val="left"/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6"/>
        <w:szCs w:val="6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b w:val="0"/>
        <w:i w:val="0"/>
        <w:smallCaps w:val="0"/>
        <w:strike w:val="0"/>
        <w:color w:val="119f22"/>
        <w:sz w:val="8"/>
        <w:szCs w:val="8"/>
        <w:u w:val="none"/>
        <w:shd w:fill="auto" w:val="clear"/>
        <w:vertAlign w:val="baseline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7eb813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b w:val="0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info@kocianka.cz</w:t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4e5555"/>
        <w:sz w:val="14"/>
        <w:szCs w:val="14"/>
        <w:u w:val="none"/>
        <w:shd w:fill="auto" w:val="clear"/>
        <w:vertAlign w:val="baseline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084705" cy="794385"/>
          <wp:effectExtent b="0" l="0" r="0" t="0"/>
          <wp:docPr descr="logo_CENTRUM_KOCIANKA-01" id="1026" name="image1.jpg"/>
          <a:graphic>
            <a:graphicData uri="http://schemas.openxmlformats.org/drawingml/2006/picture">
              <pic:pic>
                <pic:nvPicPr>
                  <pic:cNvPr descr="logo_CENTRUM_KOCIANKA-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4705" cy="794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323" w:hanging="360"/>
      </w:pPr>
      <w:rPr>
        <w:rFonts w:ascii="Georgia" w:cs="Georgia" w:eastAsia="Georgia" w:hAnsi="Georgia"/>
        <w:b w:val="1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6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48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2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4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083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b w:val="1"/>
      <w:w w:val="100"/>
      <w:position w:val="-1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right="1984" w:leftChars="-1" w:rightChars="0" w:firstLineChars="-1"/>
      <w:jc w:val="both"/>
      <w:textDirection w:val="btLr"/>
      <w:textAlignment w:val="baseline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right="1984" w:leftChars="-1" w:rightChars="0" w:firstLineChars="-1"/>
      <w:jc w:val="both"/>
      <w:textDirection w:val="btLr"/>
      <w:textAlignment w:val="baseline"/>
      <w:outlineLvl w:val="2"/>
    </w:pPr>
    <w:rPr>
      <w:b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ff000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color w:val="ff0000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character" w:styleId="apple-converted-space">
    <w:name w:val="apple-converted-space"/>
    <w:basedOn w:val="Standardnípísmoodstav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address">
    <w:name w:val="address"/>
    <w:basedOn w:val="Normální"/>
    <w:next w:val="address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line="1" w:lineRule="atLeast"/>
      <w:ind w:left="708"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basedOn w:val="Standardnípísmoodstavce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0AKc1E9G8BS6VCLew00CstY9Q==">CgMxLjAyDmgudjE2ZHk5MTk1NmRlMg5oLm5ra3oyZTRyNWRicTgAciExMS1xUkpDU01zNXVwRTREbHRtQTdNU1pzUFJIU0J2WEU=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2025-08-28T17:27:00Z</dcterms:created>
  <dc:creator>JUDr. Radoslav Dostál</dc:creator>
</cp:coreProperties>
</file>