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CF1EA6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CF1EA6" w:rsidRPr="00983E96" w:rsidRDefault="00CF1EA6" w:rsidP="00510328">
            <w:pPr>
              <w:spacing w:before="20"/>
              <w:rPr>
                <w:sz w:val="20"/>
                <w:szCs w:val="20"/>
              </w:rPr>
            </w:pPr>
            <w:r w:rsidRPr="00A51D02">
              <w:rPr>
                <w:rFonts w:ascii="Arial" w:hAnsi="Arial" w:cs="Arial"/>
                <w:bCs/>
                <w:noProof/>
                <w:sz w:val="20"/>
                <w:szCs w:val="20"/>
              </w:rPr>
              <w:t>1. dodávka vč. montáže obložení stěn (lamino) vč. věšáků v kabinách J.Palacha 167</w:t>
            </w:r>
          </w:p>
        </w:tc>
        <w:tc>
          <w:tcPr>
            <w:tcW w:w="1133" w:type="dxa"/>
            <w:shd w:val="clear" w:color="auto" w:fill="auto"/>
          </w:tcPr>
          <w:p w:rsidR="00CF1EA6" w:rsidRPr="00726B9A" w:rsidRDefault="00CF1EA6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D02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CF1EA6" w:rsidRPr="00726B9A" w:rsidRDefault="00CF1EA6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A51D02">
              <w:rPr>
                <w:rFonts w:ascii="Arial" w:hAnsi="Arial" w:cs="Arial"/>
                <w:noProof/>
                <w:sz w:val="20"/>
                <w:szCs w:val="20"/>
              </w:rPr>
              <w:t>bal</w:t>
            </w:r>
          </w:p>
        </w:tc>
        <w:tc>
          <w:tcPr>
            <w:tcW w:w="1596" w:type="dxa"/>
          </w:tcPr>
          <w:p w:rsidR="00CF1EA6" w:rsidRPr="00726B9A" w:rsidRDefault="00CF1EA6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121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700,00</w:t>
            </w:r>
          </w:p>
        </w:tc>
        <w:tc>
          <w:tcPr>
            <w:tcW w:w="1837" w:type="dxa"/>
            <w:shd w:val="clear" w:color="auto" w:fill="auto"/>
          </w:tcPr>
          <w:p w:rsidR="00CF1EA6" w:rsidRPr="00726B9A" w:rsidRDefault="00CF1EA6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147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257,00</w:t>
            </w:r>
          </w:p>
        </w:tc>
      </w:tr>
    </w:tbl>
    <w:p w:rsidR="00CF1EA6" w:rsidRPr="00726B9A" w:rsidRDefault="00CF1EA6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CF1EA6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EA6" w:rsidRPr="00726B9A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CF1EA6" w:rsidRPr="00726B9A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CF1EA6" w:rsidRPr="00726B9A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CF1EA6" w:rsidRPr="00726B9A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F1EA6" w:rsidRPr="00726B9A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147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257,00</w:t>
            </w:r>
          </w:p>
        </w:tc>
      </w:tr>
      <w:tr w:rsidR="00CF1EA6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F1EA6" w:rsidRPr="00F526B8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CF1EA6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F526B8" w:rsidRDefault="00CF1EA6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A51D02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CF1EA6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F526B8" w:rsidRDefault="00CF1EA6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A51D02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0   0  34 12 61 21 2086 13027     0   0     0    0  0  0     0   0        0</w:t>
            </w:r>
          </w:p>
        </w:tc>
      </w:tr>
      <w:tr w:rsidR="00CF1EA6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CF1EA6" w:rsidRPr="00F526B8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CF1EA6" w:rsidRPr="00F526B8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5D502C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5D502C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5D502C" w:rsidRDefault="00CF1EA6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5D502C" w:rsidRDefault="00CF1EA6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Document Format for the Long-term Archiving,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5D502C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5D502C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F526B8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5D502C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726B9A" w:rsidRDefault="00CF1EA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483FC0" w:rsidRDefault="00CF1EA6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CF1EA6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726B9A" w:rsidRDefault="00CF1EA6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CF1EA6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CF1EA6" w:rsidRPr="00483FC0" w:rsidRDefault="00CF1EA6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CF1EA6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726B9A" w:rsidRDefault="00CF1EA6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F1EA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F1EA6" w:rsidRPr="00726B9A" w:rsidRDefault="00CF1EA6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CF1EA6" w:rsidRPr="00F526B8" w:rsidRDefault="00CF1EA6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CF1EA6" w:rsidRPr="00F526B8" w:rsidRDefault="00CF1EA6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CF1EA6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A6" w:rsidRDefault="00CF1EA6">
      <w:r>
        <w:separator/>
      </w:r>
    </w:p>
  </w:endnote>
  <w:endnote w:type="continuationSeparator" w:id="0">
    <w:p w:rsidR="00CF1EA6" w:rsidRDefault="00CF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A6" w:rsidRDefault="00CF1E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A6" w:rsidRDefault="00CF1E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A6" w:rsidRDefault="00CF1EA6">
      <w:r>
        <w:separator/>
      </w:r>
    </w:p>
  </w:footnote>
  <w:footnote w:type="continuationSeparator" w:id="0">
    <w:p w:rsidR="00CF1EA6" w:rsidRDefault="00CF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A6" w:rsidRDefault="00CF1E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A6" w:rsidRDefault="00CF1E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E818F0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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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</w:t>
          </w:r>
          <w:r w:rsidRPr="00A51D02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CF1EA6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Objednávka 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E818F0" w:rsidRPr="00A51D02">
            <w:rPr>
              <w:rFonts w:ascii="Arial" w:hAnsi="Arial" w:cs="Arial"/>
              <w:b/>
              <w:bCs/>
              <w:noProof/>
              <w:sz w:val="36"/>
              <w:szCs w:val="36"/>
            </w:rPr>
            <w:t>1476/25/2086</w:t>
          </w:r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KOLAPSONE, s.r.o.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Vojtěšská 122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Ing. Ota Morawski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A51D02">
            <w:rPr>
              <w:rFonts w:ascii="Arial" w:hAnsi="Arial" w:cs="Arial"/>
              <w:noProof/>
              <w:sz w:val="20"/>
              <w:szCs w:val="20"/>
            </w:rPr>
            <w:t>26503646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606 089 529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E818F0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A51D02">
            <w:rPr>
              <w:rFonts w:ascii="Arial" w:hAnsi="Arial" w:cs="Arial"/>
              <w:noProof/>
              <w:sz w:val="20"/>
              <w:szCs w:val="20"/>
            </w:rPr>
            <w:t>CZ26503646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E818F0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morawski@mu.kutnahora.cz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E818F0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26.09.2025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  <w:p w:rsidR="006E3096" w:rsidRPr="008A537F" w:rsidRDefault="006E3096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Datum dodání: 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Default="00E818F0" w:rsidP="00CE129A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A51D02">
            <w:rPr>
              <w:rFonts w:ascii="Arial" w:hAnsi="Arial" w:cs="Arial"/>
              <w:bCs/>
              <w:noProof/>
              <w:sz w:val="20"/>
              <w:szCs w:val="20"/>
            </w:rPr>
            <w:t>Markéta Holubová</w:t>
          </w:r>
        </w:p>
        <w:p w:rsidR="006E3096" w:rsidRPr="008A537F" w:rsidRDefault="006E3096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31.10.2025</w:t>
          </w:r>
          <w:bookmarkStart w:id="0" w:name="_GoBack"/>
          <w:bookmarkEnd w:id="0"/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  <w:r w:rsidR="00E818F0" w:rsidRPr="00A51D02">
            <w:rPr>
              <w:rFonts w:ascii="Arial" w:hAnsi="Arial" w:cs="Arial"/>
              <w:bCs/>
              <w:noProof/>
              <w:sz w:val="20"/>
              <w:szCs w:val="20"/>
            </w:rPr>
            <w:t>Dle Vaší nabídky z 18.9.2025 objednáváme výrobu a montáž šatních stěn do 4 kabin a kabiny rozhodčích z lamina s hranou v barvě světle šedé vč. háčků (délka 36 m a výška 1,8, háčky v rozmezi 60cm).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Cena za jedn.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F0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3096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CF1EA6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818F0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C4E44"/>
  <w15:chartTrackingRefBased/>
  <w15:docId w15:val="{088B4B5E-8AC4-4C96-BD1E-2B4BDF9C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F1E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F1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2</TotalTime>
  <Pages>2</Pages>
  <Words>277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1923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Holubová Markéta</dc:creator>
  <cp:keywords/>
  <dc:description/>
  <cp:lastModifiedBy>Holubová Markéta</cp:lastModifiedBy>
  <cp:revision>2</cp:revision>
  <cp:lastPrinted>2025-10-01T13:51:00Z</cp:lastPrinted>
  <dcterms:created xsi:type="dcterms:W3CDTF">2025-10-01T13:51:00Z</dcterms:created>
  <dcterms:modified xsi:type="dcterms:W3CDTF">2025-10-01T13:53:00Z</dcterms:modified>
</cp:coreProperties>
</file>