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 xml:space="preserve">Dodatek č. </w:t>
      </w:r>
      <w:r w:rsidR="00044230">
        <w:rPr>
          <w:rFonts w:ascii="Arial" w:hAnsi="Arial" w:cs="Arial"/>
          <w:b/>
          <w:szCs w:val="24"/>
        </w:rPr>
        <w:t>9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:rsidR="00E7155D" w:rsidRPr="00C10066" w:rsidRDefault="00E7155D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:rsidR="000E03BB" w:rsidRPr="00E714AA" w:rsidRDefault="00FE6FA7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Kartouzská  4,  150 </w:t>
      </w:r>
      <w:r w:rsidR="00BC4D82">
        <w:rPr>
          <w:rFonts w:ascii="Arial" w:hAnsi="Arial" w:cs="Arial"/>
          <w:sz w:val="22"/>
          <w:szCs w:val="22"/>
        </w:rPr>
        <w:t>00</w:t>
      </w:r>
      <w:r w:rsidRPr="00E714AA">
        <w:rPr>
          <w:rFonts w:ascii="Arial" w:hAnsi="Arial" w:cs="Arial"/>
          <w:sz w:val="22"/>
          <w:szCs w:val="22"/>
        </w:rPr>
        <w:t xml:space="preserve"> Praha 5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 xml:space="preserve">, </w:t>
      </w:r>
      <w:r w:rsidR="00003791">
        <w:rPr>
          <w:rFonts w:ascii="Arial" w:hAnsi="Arial" w:cs="Arial"/>
          <w:sz w:val="22"/>
          <w:szCs w:val="22"/>
        </w:rPr>
        <w:t>prokurist</w:t>
      </w:r>
      <w:r w:rsidR="00BC4D82">
        <w:rPr>
          <w:rFonts w:ascii="Arial" w:hAnsi="Arial" w:cs="Arial"/>
          <w:sz w:val="22"/>
          <w:szCs w:val="22"/>
        </w:rPr>
        <w:t>ou</w:t>
      </w:r>
    </w:p>
    <w:p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bankovní spojení: ČS </w:t>
      </w:r>
      <w:r w:rsidR="00500369">
        <w:rPr>
          <w:rFonts w:ascii="Arial" w:hAnsi="Arial" w:cs="Arial"/>
          <w:sz w:val="22"/>
          <w:szCs w:val="22"/>
        </w:rPr>
        <w:t>a.s., číslo účtu:</w:t>
      </w:r>
      <w:r w:rsidRPr="00E714AA">
        <w:rPr>
          <w:rFonts w:ascii="Arial" w:hAnsi="Arial" w:cs="Arial"/>
          <w:sz w:val="22"/>
          <w:szCs w:val="22"/>
        </w:rPr>
        <w:t xml:space="preserve"> 1260064339/0800</w:t>
      </w:r>
    </w:p>
    <w:p w:rsidR="000E03BB" w:rsidRPr="00E714AA" w:rsidRDefault="006E5D2B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„pronajímatel“)</w:t>
      </w:r>
    </w:p>
    <w:p w:rsidR="00E7155D" w:rsidRPr="00E714AA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:rsidR="00E7155D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C10066" w:rsidRPr="00E714AA" w:rsidRDefault="00C10066" w:rsidP="00BC4D82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ČR – Ministerstvo práce a sociálních věcí</w:t>
      </w:r>
    </w:p>
    <w:p w:rsidR="00C10066" w:rsidRPr="00E714AA" w:rsidRDefault="00BD6A6B" w:rsidP="00BC4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Na poříčním právu </w:t>
      </w:r>
      <w:r w:rsidR="00C10066" w:rsidRPr="00E714AA">
        <w:rPr>
          <w:rFonts w:ascii="Arial" w:hAnsi="Arial" w:cs="Arial"/>
          <w:sz w:val="22"/>
          <w:szCs w:val="22"/>
        </w:rPr>
        <w:t>376</w:t>
      </w:r>
      <w:r>
        <w:rPr>
          <w:rFonts w:ascii="Arial" w:hAnsi="Arial" w:cs="Arial"/>
          <w:sz w:val="22"/>
          <w:szCs w:val="22"/>
        </w:rPr>
        <w:t>/1, 128 01</w:t>
      </w:r>
      <w:r w:rsidR="00C10066" w:rsidRPr="00E714AA">
        <w:rPr>
          <w:rFonts w:ascii="Arial" w:hAnsi="Arial" w:cs="Arial"/>
          <w:sz w:val="22"/>
          <w:szCs w:val="22"/>
        </w:rPr>
        <w:t xml:space="preserve"> Praha 2</w:t>
      </w:r>
    </w:p>
    <w:p w:rsidR="00C10066" w:rsidRPr="004B7D1C" w:rsidRDefault="00C10066" w:rsidP="00BC4D82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>IČ: 00551023</w:t>
      </w:r>
    </w:p>
    <w:p w:rsidR="00C10066" w:rsidRPr="00E714AA" w:rsidRDefault="00500369" w:rsidP="00C100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C10066" w:rsidRPr="004B7D1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Mgr. </w:t>
      </w:r>
      <w:r w:rsidR="00FE7ABF" w:rsidRPr="004B7D1C">
        <w:rPr>
          <w:rFonts w:ascii="Arial" w:hAnsi="Arial" w:cs="Arial"/>
          <w:sz w:val="22"/>
          <w:szCs w:val="22"/>
        </w:rPr>
        <w:t>Ladislavem Šimánkem, ředitelem odboru</w:t>
      </w:r>
      <w:r w:rsidR="00BC4D82">
        <w:rPr>
          <w:rFonts w:ascii="Arial" w:hAnsi="Arial" w:cs="Arial"/>
          <w:sz w:val="22"/>
          <w:szCs w:val="22"/>
        </w:rPr>
        <w:t xml:space="preserve"> vnitřní správy</w:t>
      </w:r>
    </w:p>
    <w:p w:rsidR="00C10066" w:rsidRPr="00E714AA" w:rsidRDefault="00500369" w:rsidP="00C100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066" w:rsidRPr="00E714AA">
        <w:rPr>
          <w:rFonts w:ascii="Arial" w:hAnsi="Arial" w:cs="Arial"/>
          <w:sz w:val="22"/>
          <w:szCs w:val="22"/>
        </w:rPr>
        <w:t>ankovní spojení: ČNB</w:t>
      </w:r>
      <w:r w:rsidR="00C10066" w:rsidRPr="00E714AA" w:rsidDel="00990085">
        <w:rPr>
          <w:rFonts w:ascii="Arial" w:hAnsi="Arial" w:cs="Arial"/>
          <w:sz w:val="22"/>
          <w:szCs w:val="22"/>
        </w:rPr>
        <w:t xml:space="preserve"> </w:t>
      </w:r>
      <w:r w:rsidR="00C10066" w:rsidRPr="00E714AA">
        <w:rPr>
          <w:rFonts w:ascii="Arial" w:hAnsi="Arial" w:cs="Arial"/>
          <w:sz w:val="22"/>
          <w:szCs w:val="22"/>
        </w:rPr>
        <w:t>Praha 1</w:t>
      </w:r>
      <w:r>
        <w:rPr>
          <w:rFonts w:ascii="Arial" w:hAnsi="Arial" w:cs="Arial"/>
          <w:sz w:val="22"/>
          <w:szCs w:val="22"/>
        </w:rPr>
        <w:t>, číslo účtu: 2229001</w:t>
      </w:r>
      <w:r w:rsidR="00C10066" w:rsidRPr="00E714AA">
        <w:rPr>
          <w:rFonts w:ascii="Arial" w:hAnsi="Arial" w:cs="Arial"/>
          <w:sz w:val="22"/>
          <w:szCs w:val="22"/>
        </w:rPr>
        <w:t>/0710</w:t>
      </w:r>
    </w:p>
    <w:p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:rsidR="00E7155D" w:rsidRDefault="00E7155D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:rsidR="00E7155D" w:rsidRPr="00E714AA" w:rsidRDefault="00E7155D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044230">
        <w:rPr>
          <w:rFonts w:ascii="Arial" w:hAnsi="Arial" w:cs="Arial"/>
          <w:b/>
          <w:sz w:val="22"/>
          <w:szCs w:val="22"/>
        </w:rPr>
        <w:t>9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:rsidR="00C056AB" w:rsidRPr="00E714AA" w:rsidRDefault="00922CEC" w:rsidP="00BD6A6B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„dodatek“)</w:t>
      </w:r>
    </w:p>
    <w:p w:rsidR="00E7155D" w:rsidRDefault="00E7155D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190CC2" w:rsidRDefault="00EB07D8" w:rsidP="00EB07D8">
      <w:pPr>
        <w:pStyle w:val="Normln1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:rsidR="00976A0F" w:rsidRPr="00E714AA" w:rsidRDefault="00976A0F" w:rsidP="00EB07D8">
      <w:pPr>
        <w:pStyle w:val="Normln1"/>
        <w:rPr>
          <w:rFonts w:ascii="Arial" w:hAnsi="Arial" w:cs="Arial"/>
          <w:b/>
          <w:sz w:val="22"/>
          <w:szCs w:val="22"/>
        </w:rPr>
      </w:pPr>
    </w:p>
    <w:p w:rsidR="00FA412B" w:rsidRDefault="00DF10AC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CA1487">
        <w:rPr>
          <w:rFonts w:ascii="Arial" w:hAnsi="Arial" w:cs="Arial"/>
          <w:sz w:val="22"/>
          <w:szCs w:val="22"/>
        </w:rPr>
        <w:t xml:space="preserve">rozsahu a ceny </w:t>
      </w:r>
      <w:r w:rsidR="00971FCC">
        <w:rPr>
          <w:rFonts w:ascii="Arial" w:hAnsi="Arial" w:cs="Arial"/>
          <w:sz w:val="22"/>
          <w:szCs w:val="22"/>
        </w:rPr>
        <w:t xml:space="preserve">smluvních služeb </w:t>
      </w:r>
      <w:r w:rsidRPr="00E714AA">
        <w:rPr>
          <w:rFonts w:ascii="Arial" w:hAnsi="Arial" w:cs="Arial"/>
          <w:sz w:val="22"/>
          <w:szCs w:val="22"/>
        </w:rPr>
        <w:t xml:space="preserve">ve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dodatků</w:t>
      </w:r>
      <w:r w:rsidR="00BC4D82">
        <w:rPr>
          <w:rFonts w:ascii="Arial" w:hAnsi="Arial" w:cs="Arial"/>
          <w:sz w:val="22"/>
          <w:szCs w:val="22"/>
        </w:rPr>
        <w:t xml:space="preserve"> (dále jen „smlouva“), které se týkají prostor dětské skupiny.</w:t>
      </w:r>
    </w:p>
    <w:p w:rsidR="00CA1487" w:rsidRDefault="00C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úklid pronajatých prostor a dodávku hygienického mateirálu pro dětskou skupinu, který je definován v příloze č. 2H.</w:t>
      </w:r>
    </w:p>
    <w:p w:rsidR="00976A0F" w:rsidRPr="00971FCC" w:rsidRDefault="00976A0F" w:rsidP="00095D5D">
      <w:pPr>
        <w:pStyle w:val="Normln1"/>
        <w:ind w:left="7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horzAnchor="margin" w:tblpY="46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</w:tblGrid>
      <w:tr w:rsidR="00982E61" w:rsidRPr="00E714AA" w:rsidTr="00971F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FCC" w:rsidRPr="00E714AA" w:rsidRDefault="00971FCC" w:rsidP="00971FCC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61" w:rsidRPr="00971FCC" w:rsidRDefault="00982E61" w:rsidP="00971FCC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</w:tbl>
    <w:p w:rsidR="00190CC2" w:rsidRDefault="00340990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I</w:t>
      </w:r>
      <w:r w:rsidR="00852B87" w:rsidRPr="00E714AA">
        <w:rPr>
          <w:rFonts w:ascii="Arial" w:hAnsi="Arial" w:cs="Arial"/>
          <w:b/>
          <w:sz w:val="22"/>
          <w:szCs w:val="22"/>
        </w:rPr>
        <w:t>I</w:t>
      </w:r>
      <w:r w:rsidRPr="00E714AA">
        <w:rPr>
          <w:rFonts w:ascii="Arial" w:hAnsi="Arial" w:cs="Arial"/>
          <w:b/>
          <w:sz w:val="22"/>
          <w:szCs w:val="22"/>
        </w:rPr>
        <w:t>.</w:t>
      </w:r>
    </w:p>
    <w:p w:rsidR="00976A0F" w:rsidRDefault="00976A0F" w:rsidP="00E714AA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</w:p>
    <w:p w:rsidR="00153299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Dodatek nabývá platnosti dnem podpisu oběma smluvními stranami a účinnosti </w:t>
      </w:r>
      <w:r w:rsidR="00E714AA" w:rsidRPr="00E714AA">
        <w:rPr>
          <w:rFonts w:ascii="Arial" w:hAnsi="Arial" w:cs="Arial"/>
          <w:sz w:val="22"/>
          <w:szCs w:val="22"/>
        </w:rPr>
        <w:t>dne 1.</w:t>
      </w:r>
      <w:r w:rsidR="00500369">
        <w:rPr>
          <w:rFonts w:ascii="Arial" w:hAnsi="Arial" w:cs="Arial"/>
          <w:sz w:val="22"/>
          <w:szCs w:val="22"/>
        </w:rPr>
        <w:t> </w:t>
      </w:r>
      <w:r w:rsidR="00044230">
        <w:rPr>
          <w:rFonts w:ascii="Arial" w:hAnsi="Arial" w:cs="Arial"/>
          <w:sz w:val="22"/>
          <w:szCs w:val="22"/>
        </w:rPr>
        <w:t>8.</w:t>
      </w:r>
      <w:r w:rsidR="00500369">
        <w:rPr>
          <w:rFonts w:ascii="Arial" w:hAnsi="Arial" w:cs="Arial"/>
          <w:sz w:val="22"/>
          <w:szCs w:val="22"/>
        </w:rPr>
        <w:t> </w:t>
      </w:r>
      <w:r w:rsidR="00044230">
        <w:rPr>
          <w:rFonts w:ascii="Arial" w:hAnsi="Arial" w:cs="Arial"/>
          <w:sz w:val="22"/>
          <w:szCs w:val="22"/>
        </w:rPr>
        <w:t>2016</w:t>
      </w:r>
      <w:r w:rsidR="00E714AA" w:rsidRPr="00E714AA">
        <w:rPr>
          <w:rFonts w:ascii="Arial" w:hAnsi="Arial" w:cs="Arial"/>
          <w:sz w:val="22"/>
          <w:szCs w:val="22"/>
        </w:rPr>
        <w:t>.</w:t>
      </w:r>
      <w:r w:rsidR="00AD171F" w:rsidRPr="00E714AA">
        <w:rPr>
          <w:rFonts w:ascii="Arial" w:hAnsi="Arial" w:cs="Arial"/>
          <w:sz w:val="22"/>
          <w:szCs w:val="22"/>
        </w:rPr>
        <w:t xml:space="preserve"> </w:t>
      </w:r>
    </w:p>
    <w:p w:rsidR="00340990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Ostatní ustanovení smlouvy zůstávají beze změn.</w:t>
      </w:r>
    </w:p>
    <w:p w:rsidR="00340990" w:rsidRPr="00E714AA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Dodatek je vyhotoven ve čtyřech stejnopisech, přičemž každá smluvní strana obdrží po dvou výtiscích.</w:t>
      </w:r>
    </w:p>
    <w:p w:rsidR="00982E61" w:rsidRDefault="00340990" w:rsidP="00095D5D">
      <w:pPr>
        <w:pStyle w:val="Normln1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Smluvní strany prohlašují, že si 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:rsidR="00095D5D" w:rsidRPr="00E714AA" w:rsidRDefault="00095D5D" w:rsidP="00095D5D">
      <w:pPr>
        <w:pStyle w:val="Normln1"/>
        <w:ind w:left="720"/>
        <w:jc w:val="both"/>
        <w:rPr>
          <w:rFonts w:ascii="Arial" w:hAnsi="Arial" w:cs="Arial"/>
          <w:sz w:val="22"/>
          <w:szCs w:val="22"/>
        </w:rPr>
      </w:pPr>
    </w:p>
    <w:p w:rsidR="00647192" w:rsidRPr="00E714AA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Default="00E8058F" w:rsidP="00044230">
      <w:pPr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Příloha: </w:t>
      </w:r>
      <w:r w:rsidRPr="00E714AA">
        <w:rPr>
          <w:rFonts w:ascii="Arial" w:hAnsi="Arial" w:cs="Arial"/>
          <w:sz w:val="22"/>
          <w:szCs w:val="22"/>
        </w:rPr>
        <w:tab/>
      </w:r>
      <w:r w:rsidR="00044230">
        <w:rPr>
          <w:rFonts w:ascii="Arial" w:hAnsi="Arial" w:cs="Arial"/>
          <w:sz w:val="22"/>
          <w:szCs w:val="22"/>
        </w:rPr>
        <w:t xml:space="preserve">příloha </w:t>
      </w:r>
      <w:r w:rsidRPr="00E714AA">
        <w:rPr>
          <w:rFonts w:ascii="Arial" w:hAnsi="Arial" w:cs="Arial"/>
          <w:sz w:val="22"/>
          <w:szCs w:val="22"/>
        </w:rPr>
        <w:t>č. 2</w:t>
      </w:r>
      <w:r w:rsidR="00044230">
        <w:rPr>
          <w:rFonts w:ascii="Arial" w:hAnsi="Arial" w:cs="Arial"/>
          <w:sz w:val="22"/>
          <w:szCs w:val="22"/>
        </w:rPr>
        <w:t>H</w:t>
      </w:r>
      <w:r w:rsidR="00500369">
        <w:rPr>
          <w:rFonts w:ascii="Arial" w:hAnsi="Arial" w:cs="Arial"/>
          <w:sz w:val="22"/>
          <w:szCs w:val="22"/>
        </w:rPr>
        <w:t xml:space="preserve"> –</w:t>
      </w:r>
      <w:r w:rsidR="00205D1D" w:rsidRPr="00E714AA">
        <w:rPr>
          <w:rFonts w:ascii="Arial" w:hAnsi="Arial" w:cs="Arial"/>
          <w:sz w:val="22"/>
          <w:szCs w:val="22"/>
        </w:rPr>
        <w:t xml:space="preserve"> rozpis nájemného a služeb </w:t>
      </w:r>
      <w:r w:rsidR="00976A0F">
        <w:rPr>
          <w:rFonts w:ascii="Arial" w:hAnsi="Arial" w:cs="Arial"/>
          <w:sz w:val="22"/>
          <w:szCs w:val="22"/>
        </w:rPr>
        <w:t>pro dětskou skupinu</w:t>
      </w:r>
    </w:p>
    <w:p w:rsidR="00415B22" w:rsidRDefault="00415B22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976A0F" w:rsidRDefault="00976A0F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976A0F" w:rsidRDefault="00976A0F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976A0F" w:rsidRDefault="00976A0F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0C4E61" w:rsidRPr="00E714AA" w:rsidRDefault="00500369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25. 7. 2016</w:t>
      </w:r>
    </w:p>
    <w:p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095D5D" w:rsidRDefault="00095D5D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196182" w:rsidRPr="00E714AA" w:rsidRDefault="0019618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8058F" w:rsidRPr="00E714AA" w:rsidRDefault="00E8058F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</w:t>
      </w:r>
      <w:r w:rsidR="00500369">
        <w:rPr>
          <w:rFonts w:ascii="Arial" w:hAnsi="Arial" w:cs="Arial"/>
          <w:sz w:val="22"/>
          <w:szCs w:val="22"/>
        </w:rPr>
        <w:t xml:space="preserve">                     </w:t>
      </w:r>
      <w:r w:rsidRPr="00E714AA">
        <w:rPr>
          <w:rFonts w:ascii="Arial" w:hAnsi="Arial" w:cs="Arial"/>
          <w:sz w:val="22"/>
          <w:szCs w:val="22"/>
        </w:rPr>
        <w:t xml:space="preserve">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:rsidR="00D26E21" w:rsidRDefault="00D26E21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      </w:t>
      </w:r>
      <w:r w:rsidR="00500369">
        <w:rPr>
          <w:rFonts w:ascii="Arial" w:hAnsi="Arial" w:cs="Arial"/>
          <w:sz w:val="22"/>
          <w:szCs w:val="22"/>
        </w:rPr>
        <w:t xml:space="preserve">         </w:t>
      </w:r>
      <w:r w:rsidRPr="00E714AA">
        <w:rPr>
          <w:rFonts w:ascii="Arial" w:hAnsi="Arial" w:cs="Arial"/>
          <w:sz w:val="22"/>
          <w:szCs w:val="22"/>
        </w:rPr>
        <w:t xml:space="preserve">  pronajímatel                                      </w:t>
      </w:r>
      <w:r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</w:t>
      </w:r>
      <w:r w:rsidR="00500369">
        <w:rPr>
          <w:rFonts w:ascii="Arial" w:hAnsi="Arial" w:cs="Arial"/>
          <w:sz w:val="22"/>
          <w:szCs w:val="22"/>
        </w:rPr>
        <w:t xml:space="preserve">                         </w:t>
      </w:r>
      <w:r w:rsidRPr="00E714AA">
        <w:rPr>
          <w:rFonts w:ascii="Arial" w:hAnsi="Arial" w:cs="Arial"/>
          <w:sz w:val="22"/>
          <w:szCs w:val="22"/>
        </w:rPr>
        <w:t>nájemce</w:t>
      </w:r>
    </w:p>
    <w:p w:rsidR="00196182" w:rsidRDefault="00196182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p w:rsidR="00196182" w:rsidRDefault="00196182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tbl>
      <w:tblPr>
        <w:tblW w:w="89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922"/>
        <w:gridCol w:w="1305"/>
        <w:gridCol w:w="1394"/>
        <w:gridCol w:w="1321"/>
      </w:tblGrid>
      <w:tr w:rsidR="00196182" w:rsidRPr="00196182" w:rsidTr="00196182">
        <w:trPr>
          <w:trHeight w:val="351"/>
        </w:trPr>
        <w:tc>
          <w:tcPr>
            <w:tcW w:w="8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  <w:p w:rsid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  <w:p w:rsid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  <w:p w:rsid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  <w:p w:rsidR="00196182" w:rsidRP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szCs w:val="22"/>
              </w:rPr>
              <w:t>Příloha 2H - rozpis nájemného a služeb pro dětskou skupinu</w:t>
            </w:r>
          </w:p>
        </w:tc>
      </w:tr>
      <w:tr w:rsidR="00196182" w:rsidRPr="00196182" w:rsidTr="00196182">
        <w:trPr>
          <w:trHeight w:val="369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22"/>
                <w:szCs w:val="22"/>
              </w:rPr>
            </w:pPr>
          </w:p>
        </w:tc>
      </w:tr>
      <w:tr w:rsidR="00196182" w:rsidRPr="00196182" w:rsidTr="00196182">
        <w:trPr>
          <w:trHeight w:val="983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sz w:val="36"/>
                <w:szCs w:val="36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36"/>
                <w:szCs w:val="36"/>
              </w:rPr>
              <w:t>dětská skupina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182" w:rsidRPr="00196182" w:rsidRDefault="00196182" w:rsidP="00196182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m</w:t>
            </w: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182" w:rsidRPr="00196182" w:rsidRDefault="00196182" w:rsidP="00196182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Kč/m</w:t>
            </w: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  <w:vertAlign w:val="superscript"/>
              </w:rPr>
              <w:t>2</w:t>
            </w: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 xml:space="preserve">/měs </w:t>
            </w: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br/>
              <w:t>bez DPH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182" w:rsidRPr="00196182" w:rsidRDefault="00196182" w:rsidP="00196182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 xml:space="preserve">cena </w:t>
            </w: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br/>
              <w:t>bez DPH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bottom"/>
            <w:hideMark/>
          </w:tcPr>
          <w:p w:rsidR="00196182" w:rsidRPr="00196182" w:rsidRDefault="00196182" w:rsidP="00196182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 xml:space="preserve">cena </w:t>
            </w: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br/>
              <w:t>s DPH</w:t>
            </w:r>
          </w:p>
        </w:tc>
      </w:tr>
      <w:tr w:rsidR="00196182" w:rsidRPr="00196182" w:rsidTr="00196182">
        <w:trPr>
          <w:trHeight w:val="281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místnosti č.12A,12B,13,42A,42B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91,0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250,00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22 750,00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22 750,00</w:t>
            </w:r>
          </w:p>
        </w:tc>
      </w:tr>
      <w:tr w:rsidR="00196182" w:rsidRPr="00196182" w:rsidTr="00196182">
        <w:trPr>
          <w:trHeight w:val="298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ost. plochy (chodba, WC) č.42,39C,39D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15,7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119,00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1 868,30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1 868,30</w:t>
            </w:r>
          </w:p>
        </w:tc>
      </w:tr>
      <w:tr w:rsidR="00196182" w:rsidRPr="00196182" w:rsidTr="00196182">
        <w:trPr>
          <w:trHeight w:val="298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nájemné celkem</w:t>
            </w:r>
            <w:bookmarkStart w:id="0" w:name="_GoBack"/>
            <w:bookmarkEnd w:id="0"/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106,7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24 618,30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24 618,30</w:t>
            </w:r>
          </w:p>
        </w:tc>
      </w:tr>
      <w:tr w:rsidR="00196182" w:rsidRPr="00196182" w:rsidTr="00196182">
        <w:trPr>
          <w:trHeight w:val="298"/>
        </w:trPr>
        <w:tc>
          <w:tcPr>
            <w:tcW w:w="89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center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 </w:t>
            </w:r>
          </w:p>
        </w:tc>
      </w:tr>
      <w:tr w:rsidR="00196182" w:rsidRPr="00196182" w:rsidTr="00196182">
        <w:trPr>
          <w:trHeight w:val="281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 xml:space="preserve">standartní služby se zákl. sazbou  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91,0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93,60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8 517,60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10 306,30</w:t>
            </w:r>
          </w:p>
        </w:tc>
      </w:tr>
      <w:tr w:rsidR="00196182" w:rsidRPr="00196182" w:rsidTr="00196182">
        <w:trPr>
          <w:trHeight w:val="298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 xml:space="preserve">standartní služby se sníž. sazbou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91,0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8,22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748,02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sz w:val="18"/>
                <w:szCs w:val="18"/>
              </w:rPr>
              <w:t>860,22</w:t>
            </w:r>
          </w:p>
        </w:tc>
      </w:tr>
      <w:tr w:rsidR="00196182" w:rsidRPr="00196182" w:rsidTr="00196182">
        <w:trPr>
          <w:trHeight w:val="298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služby celkem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9 265,62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11 166,52</w:t>
            </w:r>
          </w:p>
        </w:tc>
      </w:tr>
      <w:tr w:rsidR="00196182" w:rsidRPr="00196182" w:rsidTr="00196182">
        <w:trPr>
          <w:trHeight w:val="298"/>
        </w:trPr>
        <w:tc>
          <w:tcPr>
            <w:tcW w:w="89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</w:tr>
      <w:tr w:rsidR="00196182" w:rsidRPr="00196182" w:rsidTr="00196182">
        <w:trPr>
          <w:trHeight w:val="281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úklid dětské skupiny - měsíční paušál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7 560,00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7 560,00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9 147,60</w:t>
            </w:r>
          </w:p>
        </w:tc>
      </w:tr>
      <w:tr w:rsidR="00196182" w:rsidRPr="00196182" w:rsidTr="00196182">
        <w:trPr>
          <w:trHeight w:val="549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strukturovaná kabeláž,</w:t>
            </w: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 xml:space="preserve"> přípojná místa, technická zařízení pronajímatele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665,50</w:t>
            </w:r>
          </w:p>
        </w:tc>
      </w:tr>
      <w:tr w:rsidR="00196182" w:rsidRPr="00196182" w:rsidTr="00196182">
        <w:trPr>
          <w:trHeight w:val="281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 xml:space="preserve">denní správa a údržba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363,00</w:t>
            </w:r>
          </w:p>
        </w:tc>
      </w:tr>
      <w:tr w:rsidR="00196182" w:rsidRPr="00196182" w:rsidTr="00196182">
        <w:trPr>
          <w:trHeight w:val="298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hygienický materiál - měsíční paušál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4 095,00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4 095,00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4 954,95</w:t>
            </w:r>
          </w:p>
        </w:tc>
      </w:tr>
      <w:tr w:rsidR="00196182" w:rsidRPr="00196182" w:rsidTr="00196182">
        <w:trPr>
          <w:trHeight w:val="298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smluvní služby celkem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12 505,00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15 131,05</w:t>
            </w:r>
          </w:p>
        </w:tc>
      </w:tr>
      <w:tr w:rsidR="00196182" w:rsidRPr="00196182" w:rsidTr="00196182">
        <w:trPr>
          <w:trHeight w:val="298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hal.</w:t>
            </w:r>
            <w: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 xml:space="preserve"> </w:t>
            </w: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vyrovnání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0,13</w:t>
            </w:r>
          </w:p>
        </w:tc>
      </w:tr>
      <w:tr w:rsidR="00196182" w:rsidRPr="00196182" w:rsidTr="00196182">
        <w:trPr>
          <w:trHeight w:val="298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cena celkem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96182" w:rsidRPr="00196182" w:rsidRDefault="00196182" w:rsidP="00196182">
            <w:pPr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46 388,92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196182" w:rsidRPr="00196182" w:rsidRDefault="00196182" w:rsidP="00196182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1961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50 916,00</w:t>
            </w:r>
          </w:p>
        </w:tc>
      </w:tr>
    </w:tbl>
    <w:p w:rsidR="00196182" w:rsidRPr="00E714AA" w:rsidRDefault="00196182" w:rsidP="00E714AA">
      <w:pPr>
        <w:pStyle w:val="Normln1"/>
        <w:ind w:right="283"/>
        <w:jc w:val="both"/>
        <w:rPr>
          <w:rFonts w:ascii="Arial" w:hAnsi="Arial" w:cs="Arial"/>
          <w:sz w:val="22"/>
          <w:szCs w:val="22"/>
        </w:rPr>
      </w:pPr>
    </w:p>
    <w:sectPr w:rsidR="00196182" w:rsidRPr="00E714AA" w:rsidSect="002F3454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4C" w:rsidRDefault="00A03B4C">
      <w:r>
        <w:separator/>
      </w:r>
    </w:p>
  </w:endnote>
  <w:endnote w:type="continuationSeparator" w:id="0">
    <w:p w:rsidR="00A03B4C" w:rsidRDefault="00A0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196182">
      <w:rPr>
        <w:rStyle w:val="slostrnky"/>
        <w:sz w:val="16"/>
        <w:szCs w:val="16"/>
      </w:rPr>
      <w:t>2</w:t>
    </w:r>
    <w:r w:rsidR="00777CF2" w:rsidRPr="000E03BB">
      <w:rPr>
        <w:rStyle w:val="slostrnky"/>
        <w:sz w:val="16"/>
        <w:szCs w:val="16"/>
      </w:rPr>
      <w:fldChar w:fldCharType="end"/>
    </w:r>
    <w:r w:rsidR="00CA1487">
      <w:rPr>
        <w:rStyle w:val="slostrnky"/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4C" w:rsidRDefault="00A03B4C">
      <w:r>
        <w:separator/>
      </w:r>
    </w:p>
  </w:footnote>
  <w:footnote w:type="continuationSeparator" w:id="0">
    <w:p w:rsidR="00A03B4C" w:rsidRDefault="00A0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2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8"/>
  </w:num>
  <w:num w:numId="6">
    <w:abstractNumId w:val="5"/>
  </w:num>
  <w:num w:numId="7">
    <w:abstractNumId w:val="3"/>
  </w:num>
  <w:num w:numId="8">
    <w:abstractNumId w:val="13"/>
  </w:num>
  <w:num w:numId="9">
    <w:abstractNumId w:val="0"/>
  </w:num>
  <w:num w:numId="10">
    <w:abstractNumId w:val="17"/>
  </w:num>
  <w:num w:numId="11">
    <w:abstractNumId w:val="7"/>
  </w:num>
  <w:num w:numId="12">
    <w:abstractNumId w:val="9"/>
  </w:num>
  <w:num w:numId="13">
    <w:abstractNumId w:val="1"/>
  </w:num>
  <w:num w:numId="14">
    <w:abstractNumId w:val="19"/>
  </w:num>
  <w:num w:numId="15">
    <w:abstractNumId w:val="11"/>
  </w:num>
  <w:num w:numId="16">
    <w:abstractNumId w:val="23"/>
  </w:num>
  <w:num w:numId="17">
    <w:abstractNumId w:val="22"/>
  </w:num>
  <w:num w:numId="18">
    <w:abstractNumId w:val="14"/>
  </w:num>
  <w:num w:numId="19">
    <w:abstractNumId w:val="2"/>
  </w:num>
  <w:num w:numId="20">
    <w:abstractNumId w:val="16"/>
  </w:num>
  <w:num w:numId="21">
    <w:abstractNumId w:val="6"/>
  </w:num>
  <w:num w:numId="22">
    <w:abstractNumId w:val="21"/>
  </w:num>
  <w:num w:numId="23">
    <w:abstractNumId w:val="20"/>
  </w:num>
  <w:num w:numId="24">
    <w:abstractNumId w:val="31"/>
  </w:num>
  <w:num w:numId="25">
    <w:abstractNumId w:val="25"/>
  </w:num>
  <w:num w:numId="26">
    <w:abstractNumId w:val="26"/>
  </w:num>
  <w:num w:numId="27">
    <w:abstractNumId w:val="24"/>
  </w:num>
  <w:num w:numId="28">
    <w:abstractNumId w:val="30"/>
  </w:num>
  <w:num w:numId="29">
    <w:abstractNumId w:val="27"/>
  </w:num>
  <w:num w:numId="30">
    <w:abstractNumId w:val="10"/>
  </w:num>
  <w:num w:numId="31">
    <w:abstractNumId w:val="15"/>
  </w:num>
  <w:num w:numId="3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BB"/>
    <w:rsid w:val="00003791"/>
    <w:rsid w:val="00003F03"/>
    <w:rsid w:val="00023D36"/>
    <w:rsid w:val="0003459E"/>
    <w:rsid w:val="00044230"/>
    <w:rsid w:val="00050E71"/>
    <w:rsid w:val="00051A1E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12F89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96182"/>
    <w:rsid w:val="001A1E04"/>
    <w:rsid w:val="001B3E0B"/>
    <w:rsid w:val="001C5CE5"/>
    <w:rsid w:val="001C7972"/>
    <w:rsid w:val="001D2964"/>
    <w:rsid w:val="001D2F87"/>
    <w:rsid w:val="001E3B83"/>
    <w:rsid w:val="001E63BC"/>
    <w:rsid w:val="00205D1D"/>
    <w:rsid w:val="00213E67"/>
    <w:rsid w:val="00216D9D"/>
    <w:rsid w:val="00236A9B"/>
    <w:rsid w:val="002505FC"/>
    <w:rsid w:val="00257D2C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D3FAC"/>
    <w:rsid w:val="002D4AAE"/>
    <w:rsid w:val="002F3454"/>
    <w:rsid w:val="002F485D"/>
    <w:rsid w:val="003323E2"/>
    <w:rsid w:val="00340990"/>
    <w:rsid w:val="0035790F"/>
    <w:rsid w:val="003619A7"/>
    <w:rsid w:val="00364F20"/>
    <w:rsid w:val="00385F59"/>
    <w:rsid w:val="003A5B8A"/>
    <w:rsid w:val="003B7B5F"/>
    <w:rsid w:val="003D67CF"/>
    <w:rsid w:val="003D75DF"/>
    <w:rsid w:val="003F1C27"/>
    <w:rsid w:val="0040572F"/>
    <w:rsid w:val="00415B22"/>
    <w:rsid w:val="00442794"/>
    <w:rsid w:val="00445FA0"/>
    <w:rsid w:val="0044716F"/>
    <w:rsid w:val="0045276C"/>
    <w:rsid w:val="00457E81"/>
    <w:rsid w:val="004773D5"/>
    <w:rsid w:val="004A35A3"/>
    <w:rsid w:val="004A390C"/>
    <w:rsid w:val="004A72A5"/>
    <w:rsid w:val="004B5CFC"/>
    <w:rsid w:val="004B7D1C"/>
    <w:rsid w:val="004C45F3"/>
    <w:rsid w:val="004D03AB"/>
    <w:rsid w:val="004D2414"/>
    <w:rsid w:val="004D4A2F"/>
    <w:rsid w:val="004E23BC"/>
    <w:rsid w:val="004F611D"/>
    <w:rsid w:val="004F65A1"/>
    <w:rsid w:val="00500369"/>
    <w:rsid w:val="00517AC5"/>
    <w:rsid w:val="005260A0"/>
    <w:rsid w:val="00527F36"/>
    <w:rsid w:val="00546BD1"/>
    <w:rsid w:val="005569ED"/>
    <w:rsid w:val="005576A1"/>
    <w:rsid w:val="00573B59"/>
    <w:rsid w:val="00592457"/>
    <w:rsid w:val="00595063"/>
    <w:rsid w:val="005E0970"/>
    <w:rsid w:val="005E2F51"/>
    <w:rsid w:val="005E504D"/>
    <w:rsid w:val="005E5218"/>
    <w:rsid w:val="005E56FB"/>
    <w:rsid w:val="005F5C75"/>
    <w:rsid w:val="006015AF"/>
    <w:rsid w:val="006021DE"/>
    <w:rsid w:val="00621017"/>
    <w:rsid w:val="00622BFF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714B1B"/>
    <w:rsid w:val="00727CBB"/>
    <w:rsid w:val="00751932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570B2"/>
    <w:rsid w:val="0096125E"/>
    <w:rsid w:val="00971FCC"/>
    <w:rsid w:val="009720AB"/>
    <w:rsid w:val="00976A0F"/>
    <w:rsid w:val="00982E61"/>
    <w:rsid w:val="009C1F4E"/>
    <w:rsid w:val="009E4F9F"/>
    <w:rsid w:val="009E5DC0"/>
    <w:rsid w:val="009F4EE3"/>
    <w:rsid w:val="00A03A4D"/>
    <w:rsid w:val="00A03B4C"/>
    <w:rsid w:val="00A10AA7"/>
    <w:rsid w:val="00A268D2"/>
    <w:rsid w:val="00A33A07"/>
    <w:rsid w:val="00A35FE5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F5CF5"/>
    <w:rsid w:val="00AF61A2"/>
    <w:rsid w:val="00AF6F89"/>
    <w:rsid w:val="00AF744D"/>
    <w:rsid w:val="00B00653"/>
    <w:rsid w:val="00B00A97"/>
    <w:rsid w:val="00B03847"/>
    <w:rsid w:val="00B04B39"/>
    <w:rsid w:val="00B10F55"/>
    <w:rsid w:val="00B16C0F"/>
    <w:rsid w:val="00B2303D"/>
    <w:rsid w:val="00B2409F"/>
    <w:rsid w:val="00B43C30"/>
    <w:rsid w:val="00B47E77"/>
    <w:rsid w:val="00B54BB1"/>
    <w:rsid w:val="00B65A6B"/>
    <w:rsid w:val="00B67065"/>
    <w:rsid w:val="00B90ED4"/>
    <w:rsid w:val="00BB00BC"/>
    <w:rsid w:val="00BC4D82"/>
    <w:rsid w:val="00BD6A6B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61DBC"/>
    <w:rsid w:val="00C62ED3"/>
    <w:rsid w:val="00C65B23"/>
    <w:rsid w:val="00C87802"/>
    <w:rsid w:val="00C97586"/>
    <w:rsid w:val="00CA1487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53FD"/>
    <w:rsid w:val="00D55400"/>
    <w:rsid w:val="00D56FD2"/>
    <w:rsid w:val="00D669C1"/>
    <w:rsid w:val="00D715BB"/>
    <w:rsid w:val="00D77AE1"/>
    <w:rsid w:val="00D83020"/>
    <w:rsid w:val="00D844E5"/>
    <w:rsid w:val="00D967F3"/>
    <w:rsid w:val="00DA0679"/>
    <w:rsid w:val="00DA084D"/>
    <w:rsid w:val="00DA2BC6"/>
    <w:rsid w:val="00DD39EF"/>
    <w:rsid w:val="00DE2F1B"/>
    <w:rsid w:val="00DF10AC"/>
    <w:rsid w:val="00DF2214"/>
    <w:rsid w:val="00E023F7"/>
    <w:rsid w:val="00E03078"/>
    <w:rsid w:val="00E34BF7"/>
    <w:rsid w:val="00E645E0"/>
    <w:rsid w:val="00E6793D"/>
    <w:rsid w:val="00E714AA"/>
    <w:rsid w:val="00E7155D"/>
    <w:rsid w:val="00E8058F"/>
    <w:rsid w:val="00E86440"/>
    <w:rsid w:val="00EA2E49"/>
    <w:rsid w:val="00EB07D8"/>
    <w:rsid w:val="00EB4547"/>
    <w:rsid w:val="00ED0B10"/>
    <w:rsid w:val="00ED21A7"/>
    <w:rsid w:val="00ED2661"/>
    <w:rsid w:val="00EF3981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3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9A382-5552-40E5-99AD-E60AD1694481}"/>
</file>

<file path=customXml/itemProps2.xml><?xml version="1.0" encoding="utf-8"?>
<ds:datastoreItem xmlns:ds="http://schemas.openxmlformats.org/officeDocument/2006/customXml" ds:itemID="{A8F39CA7-3067-4673-B72B-F4CC7B331885}"/>
</file>

<file path=customXml/itemProps3.xml><?xml version="1.0" encoding="utf-8"?>
<ds:datastoreItem xmlns:ds="http://schemas.openxmlformats.org/officeDocument/2006/customXml" ds:itemID="{B2602FF4-5B6F-44B4-90D7-8451AFC94D63}"/>
</file>

<file path=customXml/itemProps4.xml><?xml version="1.0" encoding="utf-8"?>
<ds:datastoreItem xmlns:ds="http://schemas.openxmlformats.org/officeDocument/2006/customXml" ds:itemID="{1B2E5929-3F03-4786-850E-B7D8FC8EF5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creator>Bainhofner</dc:creator>
  <cp:lastModifiedBy>Šimánek Ladislav (MPSV)</cp:lastModifiedBy>
  <cp:revision>2</cp:revision>
  <cp:lastPrinted>2016-07-21T08:02:00Z</cp:lastPrinted>
  <dcterms:created xsi:type="dcterms:W3CDTF">2016-07-21T12:35:00Z</dcterms:created>
  <dcterms:modified xsi:type="dcterms:W3CDTF">2016-07-21T12:35:00Z</dcterms:modified>
</cp:coreProperties>
</file>