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D8C" w:rsidRDefault="00AE2D8C">
      <w:pPr>
        <w:pStyle w:val="Nadpis10"/>
        <w:keepNext/>
        <w:keepLines/>
      </w:pPr>
      <w:bookmarkStart w:id="0" w:name="_GoBack"/>
      <w:bookmarkEnd w:id="0"/>
    </w:p>
    <w:p w:rsidR="00AE2D8C" w:rsidRDefault="005842A0">
      <w:pPr>
        <w:pStyle w:val="Zkladntext20"/>
        <w:spacing w:after="100"/>
        <w:ind w:left="0" w:right="460"/>
        <w:jc w:val="right"/>
      </w:pPr>
      <w:r>
        <w:rPr>
          <w:rStyle w:val="Zkladntext2"/>
        </w:rPr>
        <w:t>2025007432</w:t>
      </w:r>
    </w:p>
    <w:p w:rsidR="00AE2D8C" w:rsidRDefault="005842A0">
      <w:pPr>
        <w:pStyle w:val="Nadpis20"/>
        <w:keepNext/>
        <w:keepLines/>
        <w:pBdr>
          <w:bottom w:val="single" w:sz="4" w:space="0" w:color="auto"/>
        </w:pBdr>
      </w:pPr>
      <w:bookmarkStart w:id="1" w:name="bookmark2"/>
      <w:r>
        <w:rPr>
          <w:rStyle w:val="Nadpis2"/>
          <w:b/>
          <w:bCs/>
        </w:rPr>
        <w:t>SMLOUVA O DÍLO</w:t>
      </w:r>
      <w:bookmarkEnd w:id="1"/>
    </w:p>
    <w:p w:rsidR="00AE2D8C" w:rsidRDefault="005842A0">
      <w:pPr>
        <w:pStyle w:val="Zkladntext1"/>
        <w:spacing w:after="460"/>
        <w:jc w:val="center"/>
      </w:pPr>
      <w:r>
        <w:rPr>
          <w:rStyle w:val="Zkladntext"/>
        </w:rPr>
        <w:t>podle ustanovení § 2586 a násl. zákona č. 89/2012 Sb. občanského zákoníku (dále jen „smlouva“),</w:t>
      </w:r>
      <w:r>
        <w:rPr>
          <w:rStyle w:val="Zkladntext"/>
        </w:rPr>
        <w:br/>
        <w:t>uzavřená mezi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4"/>
        <w:gridCol w:w="6048"/>
      </w:tblGrid>
      <w:tr w:rsidR="00AE2D8C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664" w:type="dxa"/>
            <w:shd w:val="clear" w:color="auto" w:fill="auto"/>
          </w:tcPr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Jméno:</w:t>
            </w:r>
          </w:p>
        </w:tc>
        <w:tc>
          <w:tcPr>
            <w:tcW w:w="6048" w:type="dxa"/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 w:line="290" w:lineRule="auto"/>
            </w:pPr>
            <w:r>
              <w:rPr>
                <w:rStyle w:val="Jin"/>
                <w:b/>
                <w:bCs/>
              </w:rPr>
              <w:t>Zdravotnická záchranná služba Jihomoravského kraje, příspěvková organizace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664" w:type="dxa"/>
            <w:shd w:val="clear" w:color="auto" w:fill="auto"/>
          </w:tcPr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6048" w:type="dxa"/>
            <w:shd w:val="clear" w:color="auto" w:fill="auto"/>
          </w:tcPr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 xml:space="preserve">Kamenice </w:t>
            </w:r>
            <w:r>
              <w:rPr>
                <w:rStyle w:val="Jin"/>
              </w:rPr>
              <w:t>798/1 d, 625 00 Brno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64" w:type="dxa"/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Jednající:</w:t>
            </w:r>
          </w:p>
        </w:tc>
        <w:tc>
          <w:tcPr>
            <w:tcW w:w="6048" w:type="dxa"/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MUDr. Hana Albrechtová, ředitelka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664" w:type="dxa"/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Kontaktní osoba:</w:t>
            </w:r>
          </w:p>
        </w:tc>
        <w:tc>
          <w:tcPr>
            <w:tcW w:w="6048" w:type="dxa"/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</w:pPr>
            <w:r>
              <w:rPr>
                <w:rStyle w:val="Jin"/>
                <w:shd w:val="clear" w:color="auto" w:fill="000000"/>
              </w:rPr>
              <w:t>.......​</w:t>
            </w:r>
            <w:r>
              <w:rPr>
                <w:rStyle w:val="Jin"/>
                <w:spacing w:val="3"/>
                <w:shd w:val="clear" w:color="auto" w:fill="000000"/>
              </w:rPr>
              <w:t>......</w:t>
            </w:r>
            <w:r>
              <w:rPr>
                <w:rStyle w:val="Jin"/>
                <w:spacing w:val="4"/>
                <w:shd w:val="clear" w:color="auto" w:fill="000000"/>
              </w:rPr>
              <w:t>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.......</w:t>
            </w:r>
            <w:r>
              <w:rPr>
                <w:rStyle w:val="Jin"/>
                <w:spacing w:val="4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4"/>
                <w:shd w:val="clear" w:color="auto" w:fill="000000"/>
              </w:rPr>
              <w:t>....</w:t>
            </w:r>
            <w:r>
              <w:rPr>
                <w:rStyle w:val="Jin"/>
                <w:spacing w:val="5"/>
                <w:shd w:val="clear" w:color="auto" w:fill="000000"/>
              </w:rPr>
              <w:t>.....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hd w:val="clear" w:color="auto" w:fill="000000"/>
              </w:rPr>
              <w:t>......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u w:val="single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............................</w:t>
            </w:r>
            <w:r>
              <w:rPr>
                <w:rStyle w:val="Jin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hd w:val="clear" w:color="auto" w:fill="000000"/>
              </w:rPr>
              <w:t>...</w:t>
            </w:r>
            <w:r>
              <w:rPr>
                <w:rStyle w:val="Jin"/>
                <w:spacing w:val="9"/>
                <w:shd w:val="clear" w:color="auto" w:fill="000000"/>
              </w:rPr>
              <w:t>..</w:t>
            </w:r>
            <w:r>
              <w:rPr>
                <w:rStyle w:val="Jin"/>
                <w:shd w:val="clear" w:color="auto" w:fill="000000"/>
              </w:rPr>
              <w:t>​</w:t>
            </w:r>
            <w:r>
              <w:rPr>
                <w:rStyle w:val="Jin"/>
                <w:shd w:val="clear" w:color="auto" w:fill="000000"/>
              </w:rPr>
              <w:t>.......​.......​......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171"/>
          <w:jc w:val="center"/>
        </w:trPr>
        <w:tc>
          <w:tcPr>
            <w:tcW w:w="2664" w:type="dxa"/>
            <w:shd w:val="clear" w:color="auto" w:fill="auto"/>
          </w:tcPr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IČO:</w:t>
            </w:r>
          </w:p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  <w:p w:rsidR="00AE2D8C" w:rsidRDefault="005842A0">
            <w:pPr>
              <w:pStyle w:val="Jin0"/>
              <w:spacing w:after="0"/>
              <w:jc w:val="both"/>
            </w:pPr>
            <w:r>
              <w:rPr>
                <w:rStyle w:val="Jin"/>
              </w:rPr>
              <w:t>Zápis v OR:</w:t>
            </w:r>
          </w:p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048" w:type="dxa"/>
            <w:tcBorders>
              <w:top w:val="single" w:sz="4" w:space="0" w:color="auto"/>
            </w:tcBorders>
            <w:shd w:val="clear" w:color="auto" w:fill="auto"/>
          </w:tcPr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00346292</w:t>
            </w:r>
          </w:p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CZ00346292</w:t>
            </w:r>
          </w:p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Krajský soud v Brně sp. zn. Pr 1245</w:t>
            </w:r>
          </w:p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MONETA Money Bank, a.s., č. ú. 117203514/0600</w:t>
            </w:r>
          </w:p>
        </w:tc>
      </w:tr>
    </w:tbl>
    <w:p w:rsidR="00AE2D8C" w:rsidRDefault="005842A0">
      <w:pPr>
        <w:pStyle w:val="Titulektabulky0"/>
        <w:ind w:left="10"/>
      </w:pPr>
      <w:r>
        <w:rPr>
          <w:rStyle w:val="Titulektabulky"/>
        </w:rPr>
        <w:t xml:space="preserve">(dále jen </w:t>
      </w:r>
      <w:r>
        <w:rPr>
          <w:rStyle w:val="Titulektabulky"/>
          <w:b/>
          <w:bCs/>
          <w:i/>
          <w:iCs/>
        </w:rPr>
        <w:t>objednatel</w:t>
      </w:r>
    </w:p>
    <w:p w:rsidR="00AE2D8C" w:rsidRDefault="00AE2D8C">
      <w:pPr>
        <w:spacing w:after="279" w:line="1" w:lineRule="exact"/>
      </w:pPr>
    </w:p>
    <w:p w:rsidR="00AE2D8C" w:rsidRDefault="00AE2D8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4"/>
        <w:gridCol w:w="6043"/>
      </w:tblGrid>
      <w:tr w:rsidR="00AE2D8C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664" w:type="dxa"/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Jméno:</w:t>
            </w:r>
          </w:p>
        </w:tc>
        <w:tc>
          <w:tcPr>
            <w:tcW w:w="6043" w:type="dxa"/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>EBM TZB, s.r.o.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664" w:type="dxa"/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Sídlo:</w:t>
            </w:r>
          </w:p>
        </w:tc>
        <w:tc>
          <w:tcPr>
            <w:tcW w:w="6043" w:type="dxa"/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Haškova 17, 638 00 Brno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664" w:type="dxa"/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Jednající:</w:t>
            </w:r>
          </w:p>
        </w:tc>
        <w:tc>
          <w:tcPr>
            <w:tcW w:w="6043" w:type="dxa"/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ing.Ivana Vévodové, jednatelka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664" w:type="dxa"/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IČO:</w:t>
            </w:r>
          </w:p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DIČ:</w:t>
            </w:r>
          </w:p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Zápis v OR:</w:t>
            </w:r>
          </w:p>
        </w:tc>
        <w:tc>
          <w:tcPr>
            <w:tcW w:w="6043" w:type="dxa"/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 xml:space="preserve">292 13 </w:t>
            </w:r>
            <w:r>
              <w:rPr>
                <w:rStyle w:val="Jin"/>
              </w:rPr>
              <w:t>631</w:t>
            </w:r>
          </w:p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CZ29213631</w:t>
            </w:r>
          </w:p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Krajský soud v Brně, oddíl C, vložka 66202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664" w:type="dxa"/>
            <w:shd w:val="clear" w:color="auto" w:fill="auto"/>
          </w:tcPr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Bankovní spojení (číslo účtu):</w:t>
            </w:r>
          </w:p>
        </w:tc>
        <w:tc>
          <w:tcPr>
            <w:tcW w:w="6043" w:type="dxa"/>
            <w:shd w:val="clear" w:color="auto" w:fill="auto"/>
          </w:tcPr>
          <w:p w:rsidR="00AE2D8C" w:rsidRDefault="005842A0">
            <w:pPr>
              <w:pStyle w:val="Jin0"/>
              <w:spacing w:after="0"/>
            </w:pPr>
            <w:r>
              <w:rPr>
                <w:rStyle w:val="Jin"/>
              </w:rPr>
              <w:t>ČSOB a.s., č.ú. 274844294/0300</w:t>
            </w:r>
          </w:p>
        </w:tc>
      </w:tr>
    </w:tbl>
    <w:p w:rsidR="00AE2D8C" w:rsidRDefault="005842A0">
      <w:pPr>
        <w:pStyle w:val="Titulektabulky0"/>
        <w:ind w:left="14"/>
      </w:pPr>
      <w:r>
        <w:rPr>
          <w:rStyle w:val="Titulektabulky"/>
        </w:rPr>
        <w:t xml:space="preserve">(dále jen </w:t>
      </w:r>
      <w:r>
        <w:rPr>
          <w:rStyle w:val="Titulektabulky"/>
          <w:b/>
          <w:bCs/>
          <w:i/>
          <w:iCs/>
        </w:rPr>
        <w:t>„zhotovitel“</w:t>
      </w:r>
    </w:p>
    <w:p w:rsidR="00AE2D8C" w:rsidRDefault="00AE2D8C">
      <w:pPr>
        <w:spacing w:after="979" w:line="1" w:lineRule="exact"/>
      </w:pPr>
    </w:p>
    <w:p w:rsidR="00AE2D8C" w:rsidRDefault="005842A0">
      <w:pPr>
        <w:pStyle w:val="Zkladntext1"/>
        <w:numPr>
          <w:ilvl w:val="0"/>
          <w:numId w:val="1"/>
        </w:numPr>
        <w:tabs>
          <w:tab w:val="left" w:pos="403"/>
        </w:tabs>
        <w:ind w:left="420" w:hanging="420"/>
        <w:jc w:val="both"/>
      </w:pPr>
      <w:r>
        <w:rPr>
          <w:rStyle w:val="Zkladntext"/>
        </w:rPr>
        <w:t xml:space="preserve">Zhotovitel se zavazuje, že pro objednatele provede dílo, spočívající v řešení závad z revize elektroinstalace </w:t>
      </w:r>
      <w:r>
        <w:rPr>
          <w:rStyle w:val="Zkladntext"/>
        </w:rPr>
        <w:t>budovy výjezdové základny objednatele v Brně, Kamenice 798/1 d, Brno, 625 00 a to vše způsobem a v souladu s touto smlouvou. Součástí díla je přitom vše, čeho je třeba provést, zapracovat či jinak vynaložit k dosažení výsledné podoby díla, jak vyplývá z vý</w:t>
      </w:r>
      <w:r>
        <w:rPr>
          <w:rStyle w:val="Zkladntext"/>
        </w:rPr>
        <w:t>kazu výměr, který je jako příloha č. 2 nedílnou součástí této smlouvy a dle Specifikace, která je jako příloha č. 1 nedílnou součástí této smlouvy. Součástí díla je rovněž průběžný a závěrečný úklid odpadů a jeho ekologická likvidace.</w:t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03"/>
        </w:tabs>
        <w:ind w:left="420" w:hanging="420"/>
        <w:jc w:val="both"/>
      </w:pPr>
      <w:r>
        <w:rPr>
          <w:rStyle w:val="Zkladntext"/>
        </w:rPr>
        <w:t>Při provádění díla se</w:t>
      </w:r>
      <w:r>
        <w:rPr>
          <w:rStyle w:val="Zkladntext"/>
        </w:rPr>
        <w:t xml:space="preserve"> pak zhotovitel zavazuje postupovat tak, aby nebyl narušen provoz v místě plnění.</w:t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03"/>
        </w:tabs>
      </w:pPr>
      <w:r>
        <w:rPr>
          <w:rStyle w:val="Zkladntext"/>
        </w:rPr>
        <w:t xml:space="preserve">Zhotovitel se zavazuje provést dílo podle čl. 1 této smlouvy ve lhůtě nejpozději do </w:t>
      </w:r>
      <w:r>
        <w:rPr>
          <w:rStyle w:val="Zkladntext"/>
          <w:b/>
          <w:bCs/>
        </w:rPr>
        <w:t>31.10. 2025.</w:t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03"/>
        </w:tabs>
        <w:ind w:left="420" w:hanging="420"/>
        <w:jc w:val="both"/>
      </w:pPr>
      <w:r>
        <w:rPr>
          <w:rStyle w:val="Zkladntext"/>
        </w:rPr>
        <w:t>Závazek zhotovitele k provedení díla v dohodnutém rozsahu se považuje za spln</w:t>
      </w:r>
      <w:r>
        <w:rPr>
          <w:rStyle w:val="Zkladntext"/>
        </w:rPr>
        <w:t xml:space="preserve">ěný dokončením všech prací spojených se zhotovením díla, předáním a převzetím díla formou písemného předávacího protokolu, podepsaného oběma smluvními stranami. Současně s dílem je zhotovitel povinen objednateli předat dokumenty potřebné k řádnému užívání </w:t>
      </w:r>
      <w:r>
        <w:rPr>
          <w:rStyle w:val="Zkladntext"/>
        </w:rPr>
        <w:t>díla. Objednatel přitom není povinen potvrdit zhotoviteli předávací protokol, zjistí-li se na předávaném díle vada, která brání řádnému užívání díla nebo více než 3 jiné vady a nedodělky.</w:t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03"/>
        </w:tabs>
        <w:ind w:left="420" w:hanging="420"/>
        <w:jc w:val="both"/>
      </w:pPr>
      <w:r>
        <w:rPr>
          <w:rStyle w:val="Zkladntext"/>
        </w:rPr>
        <w:t>Pro případ prodlení se splněním svého závazku podle čl. 1 této smlou</w:t>
      </w:r>
      <w:r>
        <w:rPr>
          <w:rStyle w:val="Zkladntext"/>
        </w:rPr>
        <w:t>vy ve lhůtě podle čl. 3 této smlouvy se zhotovitel zavazuje zaplatit objednateli smluvní pokutu ve výši 0,1% z celkové ceny díla podle čl. 6 této smlouvy za každý započatý den tohoto prodlení. Zaplacením této smluvní pokuty není dotčen nárok objednatele na</w:t>
      </w:r>
      <w:r>
        <w:rPr>
          <w:rStyle w:val="Zkladntext"/>
        </w:rPr>
        <w:t xml:space="preserve"> případnou náhradu škody v plné výši.</w:t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 xml:space="preserve">Objednatel se zavazuje zaplatit zhotoviteli za dílo podle čl. 1 této smlouvy cenu díla ve výši: </w:t>
      </w:r>
      <w:r>
        <w:rPr>
          <w:rStyle w:val="Zkladntext"/>
          <w:b/>
          <w:bCs/>
        </w:rPr>
        <w:t xml:space="preserve">138 186,50 Kč </w:t>
      </w:r>
      <w:r>
        <w:rPr>
          <w:rStyle w:val="Zkladntext"/>
        </w:rPr>
        <w:t xml:space="preserve">bez DPH, tj. </w:t>
      </w:r>
      <w:r>
        <w:rPr>
          <w:rStyle w:val="Zkladntext"/>
          <w:b/>
          <w:bCs/>
        </w:rPr>
        <w:t xml:space="preserve">167 205,66 Kč včetně DPH. </w:t>
      </w:r>
      <w:r>
        <w:rPr>
          <w:rStyle w:val="Zkladntext"/>
        </w:rPr>
        <w:t>Součástí této ceny jsou veškeré náklady zhotovitele, spojené se splně</w:t>
      </w:r>
      <w:r>
        <w:rPr>
          <w:rStyle w:val="Zkladntext"/>
        </w:rPr>
        <w:t xml:space="preserve">ním závazku zhotovitele podle čl. 1 této smlouvy. Tato cena je stanovena podle </w:t>
      </w:r>
      <w:r>
        <w:rPr>
          <w:rStyle w:val="Zkladntext"/>
        </w:rPr>
        <w:lastRenderedPageBreak/>
        <w:t>rozpočtu (výkazu výměr) dle přílohy č. 1 k této smlouvě, u něhož se zaručuje úplnost. Změna ceny je možná pouze v případě zákonné změny sazby DPH.</w:t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V případě stavebních prací nad</w:t>
      </w:r>
      <w:r>
        <w:rPr>
          <w:rStyle w:val="Zkladntext"/>
        </w:rPr>
        <w:t xml:space="preserve"> rámec díla podle čl. 1 této smlouvy, které by byly mezi oběma stranami dohodnuty formou písemného dodatku k této smlouvě, se objednatel zavazuje zaplatit zhotoviteli za tyto práce cenu ve výši ceny obvyklé.</w:t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Cena díla podle čl. 6. této smlouvy je splatná p</w:t>
      </w:r>
      <w:r>
        <w:rPr>
          <w:rStyle w:val="Zkladntext"/>
        </w:rPr>
        <w:t xml:space="preserve">o splnění závazku k provedení díla způsobem podle čl. 4 této smlouvy ve lhůtě do 30-ti dnů od předložení jeho písemného vyhotovení (faktury/daňového dokladu). Faktura bude doručena elektronicky na email: 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...............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hd w:val="clear" w:color="auto" w:fill="000000"/>
        </w:rPr>
        <w:t>..</w:t>
      </w:r>
      <w:r>
        <w:rPr>
          <w:rStyle w:val="Zkladntext"/>
        </w:rPr>
        <w:t xml:space="preserve"> 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Zkladntext"/>
          <w:color w:val="7EB3E8"/>
          <w:lang w:val="en-US" w:eastAsia="en-US" w:bidi="en-US"/>
        </w:rPr>
        <w:t xml:space="preserve">. </w:t>
      </w:r>
      <w:r>
        <w:rPr>
          <w:rStyle w:val="Zkladntext"/>
        </w:rPr>
        <w:t xml:space="preserve">Na faktuře musí být mimo jiné uvedeno toto číslo </w:t>
      </w:r>
      <w:r>
        <w:rPr>
          <w:rStyle w:val="Zkladntext"/>
          <w:b/>
          <w:bCs/>
        </w:rPr>
        <w:t xml:space="preserve">veřejné zakázky, </w:t>
      </w:r>
      <w:r>
        <w:rPr>
          <w:rStyle w:val="Zkladntext"/>
        </w:rPr>
        <w:t xml:space="preserve">ke které </w:t>
      </w:r>
      <w:r>
        <w:rPr>
          <w:rStyle w:val="Zkladntext"/>
          <w:b/>
          <w:bCs/>
        </w:rPr>
        <w:t xml:space="preserve">se faktura </w:t>
      </w:r>
      <w:r>
        <w:rPr>
          <w:rStyle w:val="Zkladntext"/>
        </w:rPr>
        <w:t xml:space="preserve">vztahuje: </w:t>
      </w:r>
      <w:r>
        <w:rPr>
          <w:rStyle w:val="Zkladntext"/>
          <w:b/>
          <w:bCs/>
        </w:rPr>
        <w:t xml:space="preserve">P25V00003243. </w:t>
      </w:r>
      <w:r>
        <w:rPr>
          <w:rStyle w:val="Zkladntext"/>
        </w:rPr>
        <w:t>Přílohou faktury bude kopie oboustranně podepsaného předávacího protokolu dle čl. 4 této smlouvy. Nebude-li fa</w:t>
      </w:r>
      <w:r>
        <w:rPr>
          <w:rStyle w:val="Zkladntext"/>
        </w:rPr>
        <w:t>ktura splňovat veškeré náležitosti daňového dokladu podle zákona a další náležitosti podle této smlouvy, je objednatel oprávněn vrátit takovou fakturu zhotoviteli k opravě, přičemž doba její splatnosti začne znovu celá běžet ode dne doručení opravené faktu</w:t>
      </w:r>
      <w:r>
        <w:rPr>
          <w:rStyle w:val="Zkladntext"/>
        </w:rPr>
        <w:t>ry objednateli.</w:t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Pro případ prodlení s úhradou ceny díla ve lhůtě podle čl. 8 této smlouvy se objednatel zavazuje zaplatit zhotoviteli úrok z prodlení ve výši dle zákona.</w:t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Zhotovitel odpovídá objednateli za to, že dílo podle čl. 1 této smlouvy bude odpovídat</w:t>
      </w:r>
      <w:r>
        <w:rPr>
          <w:rStyle w:val="Zkladntext"/>
        </w:rPr>
        <w:t xml:space="preserve"> tuzemským právním předpisům (zejména NV č. 190/2022 Sb., ČSN 33 1500 a ČSN 33 200-6 ed.2), technickým, hygienickým a jiným normám, a že bude mít ty vlastnosti, které jsou u děl tohoto druhu obvyklé. V tomto smyslu se zhotovitel zavazuje bezplatně odstraňo</w:t>
      </w:r>
      <w:r>
        <w:rPr>
          <w:rStyle w:val="Zkladntext"/>
        </w:rPr>
        <w:t>vat vady, které se na dílo podle čl. 1 této smlouvy vyskytnou v záruční době 24 měsíců ode dne splnění závazku zhotovitele k provedení díla způsobem podle čl. 4 této smlouvy.</w:t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Zhotovitel se zavazuje rozhodovat o písemných reklamacích objednatele v období po</w:t>
      </w:r>
      <w:r>
        <w:rPr>
          <w:rStyle w:val="Zkladntext"/>
        </w:rPr>
        <w:t xml:space="preserve"> dokončení díla písemně ve lhůtě do 7-mi dnů od jejich doručení, a ve stejné lhůtě provést odstranění vad z oprávněných reklamací, nebude-li mezi oběma stranami v jednotlivém případě dohodnuto jinak.</w:t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 xml:space="preserve">Pro případ sporu o oprávněnost reklamace se objednateli </w:t>
      </w:r>
      <w:r>
        <w:rPr>
          <w:rStyle w:val="Zkladntext"/>
        </w:rPr>
        <w:t>vyhrazuje právo nechat vyhotovit k prověření jakosti díla soudně znalecký posudek, jehož výroku se obě strany zavazují podřizovat s tím, že náklady na vyhotovení tohoto posudku se zavazuje nést ten účastník sporu, kterému tento posudek nedal zapravdu.</w:t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Nepřikročí-li zhotovitel k odstranění vady ve lhůtě podle čl. 11 této smlouvy nebo v něm z důvodů na své straně nepokračuje, a to ani po písemné výzvě objednatele, je objednatel oprávněn nechat provést toto odstranění třetí osobou na náklad zhotovitele.</w:t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Pr</w:t>
      </w:r>
      <w:r>
        <w:rPr>
          <w:rStyle w:val="Zkladntext"/>
        </w:rPr>
        <w:t>o případ prodlení zhotovitele se splněním jeho povinností podle čl. 10 této smlouvy ve lhůtě podle čl. 11 této smlouvy se zhotovitel zavazuje zaplatit objednateli smluvní pokutu ve výši 500,- Kč za každý započatý den tohoto prodlení.</w:t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Objednatel je oprávněn</w:t>
      </w:r>
      <w:r>
        <w:rPr>
          <w:rStyle w:val="Zkladntext"/>
        </w:rPr>
        <w:t xml:space="preserve"> odstoupit od této smlouvy o dílo, bude-li zhotovitel v prodlení se splněním svého závazku podle čl. 1 této smlouvy ve lhůtě podle čl. 3 této smlouvy o více než 2 týdny.</w:t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Zaplacením smluvní pokuty podle této smlouvy není dotčeno právo objednatele na náhradu</w:t>
      </w:r>
      <w:r>
        <w:rPr>
          <w:rStyle w:val="Zkladntext"/>
        </w:rPr>
        <w:t xml:space="preserve"> případné škody v plné výši.</w:t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Není-li touto smlouvou ujednáno jinak, řídí se vzájemný právní vztah mezi zhotovitelem a objednatelem ust. § 2586 a násl. občanského zákoníku.</w:t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03"/>
        </w:tabs>
        <w:ind w:left="400" w:hanging="400"/>
        <w:jc w:val="both"/>
      </w:pPr>
      <w:r>
        <w:rPr>
          <w:rStyle w:val="Zkladntext"/>
        </w:rPr>
        <w:t>Tato smlouva se uzavírá na základě návrhu na její uzavření ze strany objednatele. Př</w:t>
      </w:r>
      <w:r>
        <w:rPr>
          <w:rStyle w:val="Zkladntext"/>
        </w:rPr>
        <w:t>edpokladem uzavření této smlouvy je její písemná forma a dohoda o jejích podstatných náležitostech, čímž se rozumí celý obsah této smlouvy, jak je uveden v čl. 1 až 23 této smlouvy. Objednatel přitom předem vylučuje přijetí tohoto návrhu s dodatkem nebo od</w:t>
      </w:r>
      <w:r>
        <w:rPr>
          <w:rStyle w:val="Zkladntext"/>
        </w:rPr>
        <w:t>chylkou ve smyslu ust. § 1740 odst. 3 občanského zákoníku.</w:t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03"/>
        </w:tabs>
        <w:jc w:val="both"/>
      </w:pPr>
      <w:r>
        <w:rPr>
          <w:rStyle w:val="Zkladntext"/>
        </w:rPr>
        <w:t>Tuto smlouvu lze změnit nebo zrušit pouze jinou písemnou dohodu obou smluvních stran.</w:t>
      </w:r>
      <w:r>
        <w:br w:type="page"/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48"/>
        </w:tabs>
        <w:spacing w:after="160"/>
        <w:ind w:left="400" w:hanging="400"/>
      </w:pPr>
      <w:r>
        <w:rPr>
          <w:rStyle w:val="Zkladntext"/>
        </w:rPr>
        <w:lastRenderedPageBreak/>
        <w:t>Zhotovitel uděluje objednateli z opatrnosti- svůj výslovný souhlas se zveřejněním podmínek této smlouvy v rozs</w:t>
      </w:r>
      <w:r>
        <w:rPr>
          <w:rStyle w:val="Zkladntext"/>
        </w:rPr>
        <w:t xml:space="preserve">ahu a za podmínek vyplývajících z příslušných právních předpisů (zejména zák. č. 106/1999 Sb., o </w:t>
      </w:r>
      <w:r>
        <w:rPr>
          <w:rStyle w:val="Zkladntext"/>
          <w:i/>
          <w:iCs/>
        </w:rPr>
        <w:t>svobodném přístupu k informacím,</w:t>
      </w:r>
      <w:r>
        <w:rPr>
          <w:rStyle w:val="Zkladntext"/>
        </w:rPr>
        <w:t xml:space="preserve"> v platném znění).</w:t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48"/>
        </w:tabs>
        <w:spacing w:after="160"/>
        <w:ind w:left="400" w:hanging="400"/>
      </w:pPr>
      <w:r>
        <w:rPr>
          <w:rStyle w:val="Zkladntext"/>
        </w:rPr>
        <w:t>Tato smlouva nabývá platnosti dnem jejího uzavření a účinnosti dnem jejího uveřejnění v registru smluv dle p</w:t>
      </w:r>
      <w:r>
        <w:rPr>
          <w:rStyle w:val="Zkladntext"/>
        </w:rPr>
        <w:t xml:space="preserve">říslušných ustanovení zákona č. 340/2015 Sb. </w:t>
      </w:r>
      <w:r>
        <w:rPr>
          <w:rStyle w:val="Zkladntext"/>
          <w:i/>
          <w:iCs/>
        </w:rPr>
        <w:t>o registru smluv,</w:t>
      </w:r>
      <w:r>
        <w:rPr>
          <w:rStyle w:val="Zkladntext"/>
        </w:rPr>
        <w:t xml:space="preserve"> v platném znění. Uveřejnění smlouvy zajistí objednatel.</w:t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48"/>
        </w:tabs>
        <w:spacing w:after="160"/>
        <w:ind w:left="400" w:hanging="400"/>
      </w:pPr>
      <w:r>
        <w:rPr>
          <w:rStyle w:val="Zkladntext"/>
        </w:rPr>
        <w:t>Tato smlouva se vyhotovuje ve dvou stejnopisech s platností originálu, z nichž každá ze smluvních stran obdrží jedno vyhotovení. V případ</w:t>
      </w:r>
      <w:r>
        <w:rPr>
          <w:rStyle w:val="Zkladntext"/>
        </w:rPr>
        <w:t>ě, že je tato smlouva uzavřena elektronickými prostředky, obdrží každá smluvní strana jeden identický elektronický soubor.</w:t>
      </w:r>
    </w:p>
    <w:p w:rsidR="00AE2D8C" w:rsidRDefault="005842A0">
      <w:pPr>
        <w:pStyle w:val="Zkladntext1"/>
        <w:numPr>
          <w:ilvl w:val="0"/>
          <w:numId w:val="1"/>
        </w:numPr>
        <w:tabs>
          <w:tab w:val="left" w:pos="448"/>
        </w:tabs>
        <w:spacing w:after="0"/>
      </w:pPr>
      <w:r>
        <w:rPr>
          <w:rStyle w:val="Zkladntext"/>
        </w:rPr>
        <w:t>Nedílnou součástí této smlouvy jsou následující přílohy:</w:t>
      </w:r>
    </w:p>
    <w:p w:rsidR="00AE2D8C" w:rsidRDefault="005842A0">
      <w:pPr>
        <w:pStyle w:val="Zkladntext1"/>
        <w:tabs>
          <w:tab w:val="left" w:pos="1984"/>
        </w:tabs>
        <w:spacing w:after="0"/>
        <w:ind w:firstLine="400"/>
      </w:pPr>
      <w:r>
        <w:rPr>
          <w:rStyle w:val="Zkladntext"/>
        </w:rPr>
        <w:t>Příloha č. 1</w:t>
      </w:r>
      <w:r>
        <w:rPr>
          <w:rStyle w:val="Zkladntext"/>
        </w:rPr>
        <w:tab/>
        <w:t>Specifikace</w:t>
      </w:r>
    </w:p>
    <w:p w:rsidR="00AE2D8C" w:rsidRDefault="005842A0">
      <w:pPr>
        <w:pStyle w:val="Zkladntext1"/>
        <w:tabs>
          <w:tab w:val="left" w:pos="1984"/>
        </w:tabs>
        <w:spacing w:after="660"/>
        <w:ind w:firstLine="400"/>
      </w:pPr>
      <w:r>
        <w:rPr>
          <w:rStyle w:val="Zkladntext"/>
        </w:rPr>
        <w:t>Příloha č. 2</w:t>
      </w:r>
      <w:r>
        <w:rPr>
          <w:rStyle w:val="Zkladntext"/>
        </w:rPr>
        <w:tab/>
        <w:t>Výkaz výměr</w:t>
      </w:r>
    </w:p>
    <w:p w:rsidR="00AE2D8C" w:rsidRDefault="005842A0">
      <w:pPr>
        <w:pStyle w:val="Zkladntext1"/>
        <w:spacing w:after="400"/>
        <w:ind w:left="2160"/>
      </w:pPr>
      <w:r>
        <w:rPr>
          <w:noProof/>
          <w:lang w:bidi="ar-SA"/>
        </w:rPr>
        <mc:AlternateContent>
          <mc:Choice Requires="wps">
            <w:drawing>
              <wp:anchor distT="0" distB="1487805" distL="117475" distR="720725" simplePos="0" relativeHeight="125829378" behindDoc="0" locked="0" layoutInCell="1" allowOverlap="1">
                <wp:simplePos x="0" y="0"/>
                <wp:positionH relativeFrom="page">
                  <wp:posOffset>923925</wp:posOffset>
                </wp:positionH>
                <wp:positionV relativeFrom="margin">
                  <wp:posOffset>3014345</wp:posOffset>
                </wp:positionV>
                <wp:extent cx="1109345" cy="1492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2D8C" w:rsidRDefault="005842A0">
                            <w:pPr>
                              <w:pStyle w:val="Zkladntext1"/>
                              <w:tabs>
                                <w:tab w:val="left" w:leader="dot" w:pos="1704"/>
                              </w:tabs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2.75pt;margin-top:237.34999999999999pt;width:87.350000000000009pt;height:11.75pt;z-index:-125829375;mso-wrap-distance-left:9.25pt;mso-wrap-distance-right:56.75pt;mso-wrap-distance-bottom:117.15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70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Brně dne</w:t>
                        <w:tab/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1330" distB="635" distL="114300" distR="114300" simplePos="0" relativeHeight="125829380" behindDoc="0" locked="0" layoutInCell="1" allowOverlap="1">
                <wp:simplePos x="0" y="0"/>
                <wp:positionH relativeFrom="page">
                  <wp:posOffset>920750</wp:posOffset>
                </wp:positionH>
                <wp:positionV relativeFrom="margin">
                  <wp:posOffset>3495675</wp:posOffset>
                </wp:positionV>
                <wp:extent cx="1718945" cy="115506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1155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2D8C" w:rsidRDefault="005842A0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 xml:space="preserve">MUDr. </w:t>
                            </w:r>
                            <w:r>
                              <w:rPr>
                                <w:rStyle w:val="Zkladntext3"/>
                              </w:rPr>
                              <w:t>Han^«^ Albrechtova SS</w:t>
                            </w:r>
                            <w:r>
                              <w:rPr>
                                <w:rStyle w:val="Zkladntext3"/>
                                <w:vertAlign w:val="superscript"/>
                              </w:rPr>
                              <w:t xml:space="preserve">29 </w:t>
                            </w:r>
                            <w:r>
                              <w:rPr>
                                <w:rStyle w:val="Zkladntext3"/>
                              </w:rPr>
                              <w:t>&lt;/</w:t>
                            </w:r>
                          </w:p>
                          <w:p w:rsidR="00AE2D8C" w:rsidRDefault="005842A0">
                            <w:pPr>
                              <w:pStyle w:val="Zkladntext1"/>
                              <w:spacing w:after="0" w:line="286" w:lineRule="auto"/>
                            </w:pPr>
                            <w:r>
                              <w:rPr>
                                <w:rStyle w:val="Zkladntext"/>
                              </w:rPr>
                              <w:t>MUDr. Hana Albrechtová ředitelka</w:t>
                            </w:r>
                          </w:p>
                          <w:p w:rsidR="00AE2D8C" w:rsidRDefault="005842A0">
                            <w:pPr>
                              <w:pStyle w:val="Zkladntext1"/>
                              <w:spacing w:after="0" w:line="286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za objednatele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2.5pt;margin-top:275.25pt;width:135.34999999999999pt;height:90.950000000000003pt;z-index:-125829373;mso-wrap-distance-left:9.pt;mso-wrap-distance-top:37.899999999999999pt;mso-wrap-distance-right:9.pt;mso-wrap-distance-bottom:5.0000000000000003e-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MUDr. Han^«^ Albrechtova SS</w:t>
                      </w:r>
                      <w:r>
                        <w:rPr>
                          <w:rStyle w:val="CharStyle5"/>
                          <w:vertAlign w:val="superscript"/>
                        </w:rPr>
                        <w:t xml:space="preserve">29 </w:t>
                      </w:r>
                      <w:r>
                        <w:rPr>
                          <w:rStyle w:val="CharStyle5"/>
                        </w:rPr>
                        <w:t>&lt;/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MUDr. Hana Albrechtová ředitelka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za objednatele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Zkladntext"/>
        </w:rPr>
        <w:t>V Brně dne 25.9.2025</w:t>
      </w:r>
    </w:p>
    <w:p w:rsidR="00AE2D8C" w:rsidRDefault="005842A0">
      <w:pPr>
        <w:pStyle w:val="Zkladntext20"/>
        <w:spacing w:after="0"/>
        <w:ind w:right="0"/>
      </w:pPr>
      <w:r>
        <w:rPr>
          <w:rStyle w:val="Zkladntext2"/>
          <w:b/>
          <w:bCs/>
        </w:rPr>
        <w:t xml:space="preserve">Inn n a </w:t>
      </w:r>
      <w:r>
        <w:rPr>
          <w:rStyle w:val="Zkladntext2"/>
        </w:rPr>
        <w:t xml:space="preserve">í </w:t>
      </w:r>
      <w:r>
        <w:rPr>
          <w:rStyle w:val="Zkladntext2"/>
          <w:vertAlign w:val="superscript"/>
        </w:rPr>
        <w:t>Di</w:t>
      </w:r>
      <w:r>
        <w:rPr>
          <w:rStyle w:val="Zkladntext2"/>
        </w:rPr>
        <w:t>9'</w:t>
      </w:r>
      <w:r>
        <w:rPr>
          <w:rStyle w:val="Zkladntext2"/>
          <w:vertAlign w:val="superscript"/>
        </w:rPr>
        <w:t>tá,ně</w:t>
      </w:r>
      <w:r>
        <w:rPr>
          <w:rStyle w:val="Zkladntext2"/>
        </w:rPr>
        <w:t xml:space="preserve"> podepsal Ing.</w:t>
      </w:r>
    </w:p>
    <w:p w:rsidR="00AE2D8C" w:rsidRDefault="005842A0">
      <w:pPr>
        <w:pStyle w:val="Zkladntext20"/>
        <w:spacing w:after="80" w:line="199" w:lineRule="auto"/>
        <w:ind w:right="0"/>
      </w:pPr>
      <w:r>
        <w:rPr>
          <w:rStyle w:val="Zkladntext2"/>
          <w:b/>
          <w:bCs/>
        </w:rPr>
        <w:t xml:space="preserve">II iy. IVdl Id </w:t>
      </w:r>
      <w:r>
        <w:rPr>
          <w:rStyle w:val="Zkladntext2"/>
        </w:rPr>
        <w:t>^ivanaVévodova</w:t>
      </w:r>
    </w:p>
    <w:p w:rsidR="00AE2D8C" w:rsidRDefault="005842A0">
      <w:pPr>
        <w:pStyle w:val="Zkladntext20"/>
        <w:spacing w:after="0"/>
        <w:ind w:left="0" w:right="540"/>
        <w:jc w:val="right"/>
      </w:pPr>
      <w:r>
        <w:rPr>
          <w:rStyle w:val="Zkladntext2"/>
          <w:i/>
          <w:iCs/>
        </w:rPr>
        <w:t>f</w:t>
      </w:r>
      <w:r>
        <w:rPr>
          <w:rStyle w:val="Zkladntext2"/>
        </w:rPr>
        <w:t xml:space="preserve"> J2atum: 2025.09.25</w:t>
      </w:r>
    </w:p>
    <w:p w:rsidR="00AE2D8C" w:rsidRDefault="005842A0">
      <w:pPr>
        <w:pStyle w:val="Zkladntext20"/>
        <w:spacing w:after="360"/>
        <w:ind w:right="0"/>
      </w:pPr>
      <w:r>
        <w:rPr>
          <w:rStyle w:val="Zkladntext2"/>
          <w:b/>
          <w:bCs/>
        </w:rPr>
        <w:t xml:space="preserve">VeVOdOVáy </w:t>
      </w:r>
      <w:r>
        <w:rPr>
          <w:rStyle w:val="Zkladntext2"/>
        </w:rPr>
        <w:t>09:38:03+02'00'</w:t>
      </w:r>
    </w:p>
    <w:p w:rsidR="00AE2D8C" w:rsidRDefault="005842A0">
      <w:pPr>
        <w:pStyle w:val="Zkladntext1"/>
        <w:spacing w:after="160" w:line="276" w:lineRule="auto"/>
        <w:ind w:left="2160" w:firstLine="60"/>
        <w:sectPr w:rsidR="00AE2D8C">
          <w:footerReference w:type="even" r:id="rId7"/>
          <w:footerReference w:type="default" r:id="rId8"/>
          <w:pgSz w:w="11900" w:h="16840"/>
          <w:pgMar w:top="531" w:right="1570" w:bottom="1795" w:left="1454" w:header="103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Ing. Ivana Vévodové jednatelka </w:t>
      </w:r>
      <w:r>
        <w:rPr>
          <w:rStyle w:val="Zkladntext"/>
          <w:b/>
          <w:bCs/>
        </w:rPr>
        <w:t xml:space="preserve">za </w:t>
      </w:r>
      <w:r>
        <w:rPr>
          <w:rStyle w:val="Zkladntext"/>
          <w:b/>
          <w:bCs/>
        </w:rPr>
        <w:t>zhotovitele</w:t>
      </w:r>
    </w:p>
    <w:p w:rsidR="00AE2D8C" w:rsidRDefault="005842A0">
      <w:pPr>
        <w:pStyle w:val="Zkladntext1"/>
        <w:pBdr>
          <w:bottom w:val="single" w:sz="4" w:space="0" w:color="auto"/>
        </w:pBdr>
        <w:spacing w:after="0" w:line="480" w:lineRule="auto"/>
        <w:ind w:left="520" w:firstLine="20"/>
      </w:pPr>
      <w:r>
        <w:rPr>
          <w:rStyle w:val="Zkladntext"/>
          <w:b/>
          <w:bCs/>
        </w:rPr>
        <w:lastRenderedPageBreak/>
        <w:t xml:space="preserve">Příloha č. 1 Specifikace </w:t>
      </w:r>
      <w:r>
        <w:rPr>
          <w:rStyle w:val="Zkladntext"/>
          <w:b/>
          <w:bCs/>
          <w:u w:val="single"/>
        </w:rPr>
        <w:t>Číslo závady/popis závady</w:t>
      </w:r>
    </w:p>
    <w:p w:rsidR="00AE2D8C" w:rsidRDefault="005842A0">
      <w:pPr>
        <w:pStyle w:val="Zkladntext1"/>
        <w:numPr>
          <w:ilvl w:val="0"/>
          <w:numId w:val="2"/>
        </w:numPr>
        <w:tabs>
          <w:tab w:val="left" w:pos="1203"/>
        </w:tabs>
        <w:spacing w:after="0"/>
        <w:ind w:firstLine="520"/>
      </w:pPr>
      <w:r>
        <w:rPr>
          <w:rStyle w:val="Zkladntext"/>
          <w:b/>
          <w:bCs/>
          <w:color w:val="7EB3E8"/>
        </w:rPr>
        <w:t>Systém vypínání CENTRAL STOP - nesplňuje požadavky PBŘ</w:t>
      </w:r>
    </w:p>
    <w:p w:rsidR="00AE2D8C" w:rsidRDefault="005842A0">
      <w:pPr>
        <w:pStyle w:val="Zkladntext1"/>
        <w:numPr>
          <w:ilvl w:val="0"/>
          <w:numId w:val="2"/>
        </w:numPr>
        <w:tabs>
          <w:tab w:val="left" w:pos="1203"/>
        </w:tabs>
        <w:spacing w:after="0"/>
        <w:ind w:firstLine="520"/>
      </w:pPr>
      <w:r>
        <w:rPr>
          <w:rStyle w:val="Zkladntext"/>
          <w:b/>
          <w:bCs/>
          <w:color w:val="7EB3E8"/>
        </w:rPr>
        <w:t>Systém vypínání TOTAL STOP - Nesplňuje požadavky PBŘ</w:t>
      </w:r>
    </w:p>
    <w:p w:rsidR="00AE2D8C" w:rsidRDefault="005842A0">
      <w:pPr>
        <w:pStyle w:val="Zkladntext1"/>
        <w:numPr>
          <w:ilvl w:val="0"/>
          <w:numId w:val="2"/>
        </w:numPr>
        <w:tabs>
          <w:tab w:val="left" w:pos="1203"/>
        </w:tabs>
        <w:spacing w:after="0"/>
        <w:ind w:firstLine="520"/>
      </w:pPr>
      <w:r>
        <w:rPr>
          <w:rStyle w:val="Zkladntext"/>
          <w:b/>
          <w:bCs/>
          <w:color w:val="7EB3E8"/>
        </w:rPr>
        <w:t>Není vypracován postup pro vypnuti elektrické energie</w:t>
      </w:r>
    </w:p>
    <w:p w:rsidR="00AE2D8C" w:rsidRDefault="005842A0">
      <w:pPr>
        <w:pStyle w:val="Zkladntext1"/>
        <w:numPr>
          <w:ilvl w:val="0"/>
          <w:numId w:val="2"/>
        </w:numPr>
        <w:tabs>
          <w:tab w:val="left" w:pos="1203"/>
        </w:tabs>
        <w:spacing w:after="220"/>
        <w:ind w:firstLine="520"/>
      </w:pPr>
      <w:r>
        <w:rPr>
          <w:rStyle w:val="Zkladntext"/>
          <w:b/>
          <w:bCs/>
          <w:color w:val="7EB3E8"/>
        </w:rPr>
        <w:t xml:space="preserve">Rozvodnice protipožárního </w:t>
      </w:r>
      <w:r>
        <w:rPr>
          <w:rStyle w:val="Zkladntext"/>
          <w:b/>
          <w:bCs/>
          <w:color w:val="7EB3E8"/>
        </w:rPr>
        <w:t>zabezpečení - viz požadavky PBŘ</w:t>
      </w:r>
    </w:p>
    <w:p w:rsidR="00AE2D8C" w:rsidRDefault="005842A0">
      <w:pPr>
        <w:pStyle w:val="Zkladntext1"/>
        <w:spacing w:after="0"/>
        <w:ind w:firstLine="520"/>
      </w:pPr>
      <w:r>
        <w:rPr>
          <w:rStyle w:val="Zkladntext"/>
        </w:rPr>
        <w:t>Podkladem pro jeho zpracování jsou:</w:t>
      </w:r>
    </w:p>
    <w:p w:rsidR="00AE2D8C" w:rsidRDefault="005842A0">
      <w:pPr>
        <w:pStyle w:val="Zkladntext1"/>
        <w:numPr>
          <w:ilvl w:val="0"/>
          <w:numId w:val="3"/>
        </w:numPr>
        <w:tabs>
          <w:tab w:val="left" w:pos="1203"/>
        </w:tabs>
        <w:spacing w:after="0"/>
        <w:ind w:firstLine="520"/>
      </w:pPr>
      <w:r>
        <w:rPr>
          <w:rStyle w:val="Zkladntext"/>
        </w:rPr>
        <w:t>Výsledky kontroly provozuschopnosti tl. CS a TS (23.1.2025).</w:t>
      </w:r>
    </w:p>
    <w:p w:rsidR="00AE2D8C" w:rsidRDefault="005842A0">
      <w:pPr>
        <w:pStyle w:val="Zkladntext1"/>
        <w:numPr>
          <w:ilvl w:val="0"/>
          <w:numId w:val="3"/>
        </w:numPr>
        <w:tabs>
          <w:tab w:val="left" w:pos="1203"/>
        </w:tabs>
        <w:spacing w:after="0"/>
        <w:ind w:firstLine="520"/>
      </w:pPr>
      <w:r>
        <w:rPr>
          <w:rStyle w:val="Zkladntext"/>
        </w:rPr>
        <w:t>Vyjádření ing, Čejky, zpracovatele PBŘ (17.4.2025).</w:t>
      </w:r>
    </w:p>
    <w:p w:rsidR="00AE2D8C" w:rsidRDefault="005842A0">
      <w:pPr>
        <w:pStyle w:val="Zkladntext1"/>
        <w:numPr>
          <w:ilvl w:val="0"/>
          <w:numId w:val="3"/>
        </w:numPr>
        <w:tabs>
          <w:tab w:val="left" w:pos="1203"/>
        </w:tabs>
        <w:spacing w:after="0"/>
        <w:ind w:firstLine="520"/>
      </w:pPr>
      <w:r>
        <w:rPr>
          <w:rStyle w:val="Zkladntext"/>
        </w:rPr>
        <w:t>Výsledky kontroly funkce havarijního tlačítka na dveřích rozváděče RH1/SO10</w:t>
      </w:r>
      <w:r>
        <w:rPr>
          <w:rStyle w:val="Zkladntext"/>
        </w:rPr>
        <w:t>3 (7.5.2025).</w:t>
      </w:r>
    </w:p>
    <w:p w:rsidR="00AE2D8C" w:rsidRDefault="005842A0">
      <w:pPr>
        <w:pStyle w:val="Zkladntext1"/>
        <w:numPr>
          <w:ilvl w:val="0"/>
          <w:numId w:val="3"/>
        </w:numPr>
        <w:tabs>
          <w:tab w:val="left" w:pos="1203"/>
        </w:tabs>
        <w:spacing w:after="220"/>
        <w:ind w:firstLine="520"/>
      </w:pPr>
      <w:r>
        <w:rPr>
          <w:rStyle w:val="Zkladntext"/>
        </w:rPr>
        <w:t>Závěry z jednání se zástupci majitele/provozovatele (14.5.2025).</w:t>
      </w:r>
    </w:p>
    <w:p w:rsidR="00AE2D8C" w:rsidRDefault="005842A0">
      <w:pPr>
        <w:pStyle w:val="Zkladntext1"/>
        <w:spacing w:after="220"/>
        <w:ind w:firstLine="520"/>
      </w:pPr>
      <w:r>
        <w:rPr>
          <w:rStyle w:val="Zkladntext"/>
          <w:b/>
          <w:bCs/>
          <w:u w:val="single"/>
        </w:rPr>
        <w:t>Bude provedeno:</w:t>
      </w:r>
    </w:p>
    <w:p w:rsidR="00AE2D8C" w:rsidRDefault="005842A0">
      <w:pPr>
        <w:pStyle w:val="Zkladntext1"/>
        <w:numPr>
          <w:ilvl w:val="0"/>
          <w:numId w:val="4"/>
        </w:numPr>
        <w:tabs>
          <w:tab w:val="left" w:pos="1203"/>
        </w:tabs>
        <w:spacing w:after="0"/>
        <w:ind w:firstLine="520"/>
      </w:pPr>
      <w:r>
        <w:rPr>
          <w:rStyle w:val="Zkladntext"/>
          <w:b/>
          <w:bCs/>
        </w:rPr>
        <w:t>Instalování rozváděče RPO</w:t>
      </w:r>
    </w:p>
    <w:p w:rsidR="00AE2D8C" w:rsidRDefault="005842A0">
      <w:pPr>
        <w:pStyle w:val="Zkladntext1"/>
        <w:spacing w:after="0"/>
        <w:ind w:left="520" w:firstLine="20"/>
      </w:pPr>
      <w:r>
        <w:rPr>
          <w:rStyle w:val="Zkladntext"/>
        </w:rPr>
        <w:t xml:space="preserve">Vedle rozváděče R01.H (SO101) instalovat rozváděč RPO a do něj vymístit z 2. pole rozváděče R01.H obvody sloužící k protipožárnímu </w:t>
      </w:r>
      <w:r>
        <w:rPr>
          <w:rStyle w:val="Zkladntext"/>
        </w:rPr>
        <w:t>zabezpečení objektu. Tyto obvody jsou v současnosti označeny VDO.</w:t>
      </w:r>
    </w:p>
    <w:p w:rsidR="00AE2D8C" w:rsidRDefault="005842A0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139055" cy="143256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13905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D8C" w:rsidRDefault="00AE2D8C">
      <w:pPr>
        <w:spacing w:after="219" w:line="1" w:lineRule="exact"/>
      </w:pPr>
    </w:p>
    <w:p w:rsidR="00AE2D8C" w:rsidRDefault="005842A0">
      <w:pPr>
        <w:pStyle w:val="Zkladntext1"/>
        <w:spacing w:after="0"/>
        <w:ind w:firstLine="520"/>
      </w:pPr>
      <w:r>
        <w:rPr>
          <w:rStyle w:val="Zkladntext"/>
        </w:rPr>
        <w:t>Dále:</w:t>
      </w:r>
    </w:p>
    <w:p w:rsidR="00AE2D8C" w:rsidRDefault="005842A0">
      <w:pPr>
        <w:pStyle w:val="Zkladntext1"/>
        <w:spacing w:after="0"/>
        <w:ind w:firstLine="520"/>
      </w:pPr>
      <w:r>
        <w:rPr>
          <w:rStyle w:val="Zkladntext"/>
        </w:rPr>
        <w:t>-z rozváděče RPO nově napojit stabilní hasicí zařízení SHZ instalované v datovém centru.</w:t>
      </w:r>
    </w:p>
    <w:p w:rsidR="00AE2D8C" w:rsidRDefault="005842A0">
      <w:pPr>
        <w:pStyle w:val="Zkladntext1"/>
        <w:spacing w:after="220"/>
        <w:ind w:firstLine="520"/>
      </w:pPr>
      <w:r>
        <w:rPr>
          <w:rStyle w:val="Zkladntext"/>
        </w:rPr>
        <w:t>-zajistit vypnutí RNO (CBS/NO) signálem z tl. TS.</w:t>
      </w:r>
    </w:p>
    <w:p w:rsidR="00AE2D8C" w:rsidRDefault="005842A0">
      <w:pPr>
        <w:pStyle w:val="Zkladntext1"/>
        <w:numPr>
          <w:ilvl w:val="0"/>
          <w:numId w:val="4"/>
        </w:numPr>
        <w:tabs>
          <w:tab w:val="left" w:pos="1203"/>
        </w:tabs>
        <w:spacing w:after="0"/>
        <w:ind w:firstLine="520"/>
      </w:pPr>
      <w:r>
        <w:rPr>
          <w:rStyle w:val="Zkladntext"/>
          <w:b/>
          <w:bCs/>
        </w:rPr>
        <w:t>Zajistit havarijní vypnutí UPS instalovaný</w:t>
      </w:r>
      <w:r>
        <w:rPr>
          <w:rStyle w:val="Zkladntext"/>
          <w:b/>
          <w:bCs/>
        </w:rPr>
        <w:t>ch v Datovém centru</w:t>
      </w:r>
    </w:p>
    <w:p w:rsidR="00AE2D8C" w:rsidRDefault="005842A0">
      <w:pPr>
        <w:pStyle w:val="Zkladntext1"/>
        <w:spacing w:after="680"/>
        <w:ind w:left="520" w:firstLine="20"/>
      </w:pPr>
      <w:r>
        <w:rPr>
          <w:noProof/>
          <w:lang w:bidi="ar-SA"/>
        </w:rP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4558665</wp:posOffset>
            </wp:positionH>
            <wp:positionV relativeFrom="paragraph">
              <wp:posOffset>317500</wp:posOffset>
            </wp:positionV>
            <wp:extent cx="1761490" cy="2255520"/>
            <wp:effectExtent l="0" t="0" r="0" b="0"/>
            <wp:wrapSquare wrapText="left"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76149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>V energocentru (SO103), naproti rozváděči RH1, instalovat požární tlačítko (v dvojitém krytu), které zajistí havarijní vypnutí obou UPS.</w:t>
      </w:r>
    </w:p>
    <w:p w:rsidR="00AE2D8C" w:rsidRDefault="005842A0">
      <w:pPr>
        <w:pStyle w:val="Zkladntext1"/>
        <w:numPr>
          <w:ilvl w:val="0"/>
          <w:numId w:val="4"/>
        </w:numPr>
        <w:tabs>
          <w:tab w:val="left" w:pos="1206"/>
        </w:tabs>
        <w:spacing w:after="0"/>
        <w:ind w:left="520" w:firstLine="20"/>
      </w:pPr>
      <w:r>
        <w:rPr>
          <w:rStyle w:val="Zkladntext"/>
          <w:b/>
          <w:bCs/>
        </w:rPr>
        <w:t xml:space="preserve">Doplnění popisů na rozváděči RH1 (SO103) </w:t>
      </w:r>
      <w:r>
        <w:rPr>
          <w:rStyle w:val="Zkladntext"/>
        </w:rPr>
        <w:t>Doplnit značení ovládacích prvků 1. pole rozváděče RH1</w:t>
      </w:r>
    </w:p>
    <w:p w:rsidR="00AE2D8C" w:rsidRDefault="005842A0">
      <w:pPr>
        <w:pStyle w:val="Zkladntext1"/>
        <w:spacing w:after="0"/>
        <w:ind w:firstLine="520"/>
      </w:pPr>
      <w:r>
        <w:rPr>
          <w:rStyle w:val="Zkladntext"/>
        </w:rPr>
        <w:t>-h</w:t>
      </w:r>
      <w:r>
        <w:rPr>
          <w:rStyle w:val="Zkladntext"/>
        </w:rPr>
        <w:t xml:space="preserve">avarijní tlačítko označit </w:t>
      </w:r>
      <w:r>
        <w:rPr>
          <w:rStyle w:val="Zkladntext"/>
          <w:b/>
          <w:bCs/>
        </w:rPr>
        <w:t>TOTAL STOP</w:t>
      </w:r>
    </w:p>
    <w:p w:rsidR="00AE2D8C" w:rsidRDefault="005842A0">
      <w:pPr>
        <w:pStyle w:val="Zkladntext1"/>
        <w:spacing w:after="0"/>
        <w:ind w:firstLine="520"/>
      </w:pPr>
      <w:r>
        <w:rPr>
          <w:rStyle w:val="Zkladntext"/>
        </w:rPr>
        <w:t xml:space="preserve">-přepínač AUTOMATIKA VYP.-ZAP. označit </w:t>
      </w:r>
      <w:r>
        <w:rPr>
          <w:rStyle w:val="Zkladntext"/>
          <w:b/>
          <w:bCs/>
        </w:rPr>
        <w:t>SA1</w:t>
      </w:r>
    </w:p>
    <w:p w:rsidR="00AE2D8C" w:rsidRDefault="005842A0">
      <w:pPr>
        <w:pStyle w:val="Zkladntext1"/>
        <w:spacing w:after="1340"/>
        <w:ind w:firstLine="520"/>
      </w:pPr>
      <w:r>
        <w:rPr>
          <w:rStyle w:val="Zkladntext"/>
        </w:rPr>
        <w:t>Na rozváděč doplnit postup pro opětovné zapnutí deonů</w:t>
      </w:r>
    </w:p>
    <w:p w:rsidR="00AE2D8C" w:rsidRDefault="005842A0">
      <w:pPr>
        <w:pStyle w:val="Zkladntext1"/>
        <w:numPr>
          <w:ilvl w:val="0"/>
          <w:numId w:val="4"/>
        </w:numPr>
        <w:tabs>
          <w:tab w:val="left" w:pos="1203"/>
        </w:tabs>
        <w:spacing w:after="0"/>
        <w:ind w:firstLine="520"/>
      </w:pPr>
      <w:r>
        <w:rPr>
          <w:rStyle w:val="Zkladntext"/>
          <w:b/>
          <w:bCs/>
        </w:rPr>
        <w:t>Postup pro vypnutí el.energie</w:t>
      </w:r>
    </w:p>
    <w:p w:rsidR="00AE2D8C" w:rsidRDefault="005842A0">
      <w:pPr>
        <w:pStyle w:val="Zkladntext1"/>
        <w:spacing w:after="0"/>
        <w:ind w:left="520" w:firstLine="20"/>
      </w:pPr>
      <w:r>
        <w:rPr>
          <w:rStyle w:val="Zkladntext"/>
        </w:rPr>
        <w:t>Zpracovat postup pro vypnutí el.energie (ve formátu A4) a ten umístit do prostoru tl.CS/TS.</w:t>
      </w:r>
      <w:r>
        <w:br w:type="page"/>
      </w:r>
    </w:p>
    <w:p w:rsidR="00AE2D8C" w:rsidRDefault="005842A0">
      <w:pPr>
        <w:pStyle w:val="Titulektabulky0"/>
        <w:ind w:left="38"/>
        <w:rPr>
          <w:sz w:val="13"/>
          <w:szCs w:val="13"/>
        </w:rPr>
      </w:pPr>
      <w:r>
        <w:rPr>
          <w:rStyle w:val="Titulektabulky"/>
          <w:b/>
          <w:bCs/>
          <w:sz w:val="13"/>
          <w:szCs w:val="13"/>
        </w:rPr>
        <w:lastRenderedPageBreak/>
        <w:t xml:space="preserve">Příloha </w:t>
      </w:r>
      <w:r>
        <w:rPr>
          <w:rStyle w:val="Titulektabulky"/>
          <w:b/>
          <w:bCs/>
          <w:i/>
          <w:iCs/>
          <w:sz w:val="13"/>
          <w:szCs w:val="13"/>
        </w:rPr>
        <w:t>t.</w:t>
      </w:r>
      <w:r>
        <w:rPr>
          <w:rStyle w:val="Titulektabulky"/>
          <w:b/>
          <w:bCs/>
          <w:sz w:val="13"/>
          <w:szCs w:val="13"/>
        </w:rPr>
        <w:t xml:space="preserve"> 2 Výkaz výměr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5218"/>
        <w:gridCol w:w="470"/>
        <w:gridCol w:w="437"/>
        <w:gridCol w:w="1027"/>
        <w:gridCol w:w="936"/>
        <w:gridCol w:w="1142"/>
      </w:tblGrid>
      <w:tr w:rsidR="00AE2D8C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P.č.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left="216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Název položky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MJ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-možst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20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Jedn. Mat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right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Jedn. Mont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celkem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both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a)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Úprava rozváděče R01.H (SO101)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3 317,86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Úpravy stávajícího rozvaděče R01.H, vč. opravy značení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hod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600,00 Kč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2 400,00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Paticové relé (relé + patice +</w:t>
            </w:r>
            <w:r>
              <w:rPr>
                <w:rStyle w:val="Jin"/>
                <w:sz w:val="13"/>
                <w:szCs w:val="13"/>
              </w:rPr>
              <w:t xml:space="preserve"> spona))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8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ks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8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217,86 Kč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46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217,86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Pomocný materiál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kpl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8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700,00 Kč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46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700,00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b)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Dodávka a instalace nového rozváděče RPO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98 840,30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Dodávka nového rozváděče RPO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8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ks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right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67 694,00 Kč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67 694,00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Instalace nového rozváděče RPO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hod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600,00 Kč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1 800,00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Kabel 1-CHKE-V-J 5x16 P60-R silový kabel ohniodolný bezhalogenový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8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8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352,19 Kč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3 521,90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4.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Kabelový žebřík š 100mm, se zachováním funkčnosti při požáru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8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8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760,88 Kč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2 282,64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5.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Přepojení stávajících vývodů pro </w:t>
            </w:r>
            <w:r>
              <w:rPr>
                <w:rStyle w:val="Jin"/>
                <w:sz w:val="13"/>
                <w:szCs w:val="13"/>
              </w:rPr>
              <w:t>požární zařízení do rozvaděče RPO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hod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600,00 Kč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4 800,00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6.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Požární krabice KSK 100_PO s keramickou svorkovnicí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8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ks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8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556,25 Kč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3 337,50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7.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Kabel 1-CHKE-V-J 3x2,5 P60-R silový kabel ohniodolný bezhalogenový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8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right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right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42,13 Kč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4 213,00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8.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Kabelová příchytka jednoduchá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8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ks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55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right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8,70 Kč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46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478,50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9.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Přepojení SHZ datového centra na nový přívod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hod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600,00 Kč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4 800,00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10.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Kabel CXKH-R-0 3x1,5 silový kabel bezhalogenový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8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right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26,25 Kč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46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315,00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Zapojení signálu vypnutí RNO (CBS) od </w:t>
            </w:r>
            <w:r>
              <w:rPr>
                <w:rStyle w:val="Jin"/>
                <w:sz w:val="13"/>
                <w:szCs w:val="13"/>
              </w:rPr>
              <w:t>tl.TS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hod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600,00 Kč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3 600,00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Vodič CYA 16 zž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8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46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49,86 Kč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46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797,76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Pomocný materiál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kpl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right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1 200,00 Kč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1 200,00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C)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Havarijní vypnutí UPS datového centra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20 328,34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5842A0">
            <w:pPr>
              <w:pStyle w:val="Jin0"/>
              <w:spacing w:after="0" w:line="271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Tlačítko se sklem - Total stop pro UPS v datovém </w:t>
            </w:r>
            <w:r>
              <w:rPr>
                <w:rStyle w:val="Jin"/>
                <w:sz w:val="13"/>
                <w:szCs w:val="13"/>
              </w:rPr>
              <w:t>centru, osazeno 2x přepínacím kontaktem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D8C" w:rsidRDefault="005842A0">
            <w:pPr>
              <w:pStyle w:val="Jin0"/>
              <w:spacing w:after="0"/>
              <w:ind w:firstLine="18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ks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D8C" w:rsidRDefault="005842A0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D8C" w:rsidRDefault="005842A0">
            <w:pPr>
              <w:pStyle w:val="Jin0"/>
              <w:spacing w:after="0"/>
              <w:ind w:firstLine="38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695,78 Kč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8C" w:rsidRDefault="005842A0">
            <w:pPr>
              <w:pStyle w:val="Jin0"/>
              <w:spacing w:after="0"/>
              <w:ind w:firstLine="46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695,78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Oceloplechová skříň 300x200x150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8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ks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right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1 898,26 Kč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1 898,26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Kabel CXKH-R-0 3x1,5 silový kabel bezhalogenový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8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m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400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46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26,25 Kč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10 500,00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4.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Kabelová příchytka dvojitá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8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ks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70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46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10,49 </w:t>
            </w:r>
            <w:r>
              <w:rPr>
                <w:rStyle w:val="Jin"/>
                <w:sz w:val="13"/>
                <w:szCs w:val="13"/>
              </w:rPr>
              <w:t>Kč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46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734,30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5.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Elektroinstalační práce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hod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600,00 Kč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4 800,00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6.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Zapojení kontaktů EPO na stávajících UPS (AutoCont)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hod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600.00 Kč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1 200,00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7.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Pomocný materiál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kpl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8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500.00 Kč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46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500,00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d)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Ostatní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8 300,00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Oprava </w:t>
            </w:r>
            <w:r>
              <w:rPr>
                <w:rStyle w:val="Jin"/>
                <w:sz w:val="13"/>
                <w:szCs w:val="13"/>
              </w:rPr>
              <w:t>požárních ucpávek v trasách nových kabelů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kpl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8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900,00 Kč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8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1 200.00 Kč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2 100,00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Funkční zkoušky, kontrola provozuschopnosti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hod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600,00 Kč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1 200,00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3.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Výchozí revize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kpl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18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5 000,00 Kč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5 000,00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e)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 xml:space="preserve">Doplněni popisů na dveřích </w:t>
            </w:r>
            <w:r>
              <w:rPr>
                <w:rStyle w:val="Jin"/>
                <w:b/>
                <w:bCs/>
                <w:sz w:val="13"/>
                <w:szCs w:val="13"/>
              </w:rPr>
              <w:t>rozváděče RH1 (SO103)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1 800,00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5842A0">
            <w:pPr>
              <w:pStyle w:val="Jin0"/>
              <w:spacing w:after="0" w:line="271" w:lineRule="auto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Doplněni popisů na dveřích rozváděče RH1, vč.doplnění postupu pro opětovné zapnutí deonů.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hod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D8C" w:rsidRDefault="005842A0">
            <w:pPr>
              <w:pStyle w:val="Jin0"/>
              <w:spacing w:after="0"/>
              <w:ind w:firstLine="16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2D8C" w:rsidRDefault="005842A0">
            <w:pPr>
              <w:pStyle w:val="Jin0"/>
              <w:spacing w:after="0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600,00 Kč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1 800,00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f)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Zpracování postupu pro vypnuti el. energie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sz w:val="13"/>
                <w:szCs w:val="13"/>
              </w:rPr>
              <w:t>5 600,00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1.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 xml:space="preserve">Zpracování postupu </w:t>
            </w:r>
            <w:r>
              <w:rPr>
                <w:rStyle w:val="Jin"/>
                <w:sz w:val="13"/>
                <w:szCs w:val="13"/>
              </w:rPr>
              <w:t>pro vypnutí el. energie a jeho instalace vedle tl.CS/TS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hod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jc w:val="center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800,00 Kč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D8C" w:rsidRDefault="005842A0">
            <w:pPr>
              <w:pStyle w:val="Jin0"/>
              <w:spacing w:after="0"/>
              <w:ind w:firstLine="340"/>
              <w:jc w:val="both"/>
              <w:rPr>
                <w:sz w:val="13"/>
                <w:szCs w:val="13"/>
              </w:rPr>
            </w:pPr>
            <w:r>
              <w:rPr>
                <w:rStyle w:val="Jin"/>
                <w:sz w:val="13"/>
                <w:szCs w:val="13"/>
              </w:rPr>
              <w:t>5 600,00 Kč</w:t>
            </w: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</w:tr>
      <w:tr w:rsidR="00AE2D8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2D8C" w:rsidRDefault="005842A0">
            <w:pPr>
              <w:pStyle w:val="Jin0"/>
              <w:spacing w:after="0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Celková cena (bez DPH):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2D8C" w:rsidRDefault="00AE2D8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D8C" w:rsidRDefault="005842A0">
            <w:pPr>
              <w:pStyle w:val="Jin0"/>
              <w:spacing w:after="0"/>
              <w:jc w:val="right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138 186,50 Kč</w:t>
            </w:r>
          </w:p>
        </w:tc>
      </w:tr>
    </w:tbl>
    <w:p w:rsidR="005842A0" w:rsidRDefault="005842A0"/>
    <w:sectPr w:rsidR="005842A0">
      <w:footerReference w:type="even" r:id="rId11"/>
      <w:footerReference w:type="default" r:id="rId12"/>
      <w:pgSz w:w="11900" w:h="16840"/>
      <w:pgMar w:top="1465" w:right="1303" w:bottom="2052" w:left="10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2A0" w:rsidRDefault="005842A0">
      <w:r>
        <w:separator/>
      </w:r>
    </w:p>
  </w:endnote>
  <w:endnote w:type="continuationSeparator" w:id="0">
    <w:p w:rsidR="005842A0" w:rsidRDefault="0058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8C" w:rsidRDefault="005842A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960120</wp:posOffset>
              </wp:positionH>
              <wp:positionV relativeFrom="page">
                <wp:posOffset>9972040</wp:posOffset>
              </wp:positionV>
              <wp:extent cx="4255135" cy="1339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513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2D8C" w:rsidRDefault="005842A0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\ZZ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32-24: Řešení závad z revize elektroinstalace budovy Bohunice - III. etapa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75.600000000000009pt;margin-top:785.20000000000005pt;width:335.05000000000001pt;height:10.5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0"/>
                        <w:rFonts w:ascii="Arial" w:eastAsia="Arial" w:hAnsi="Arial" w:cs="Arial"/>
                        <w:sz w:val="19"/>
                        <w:szCs w:val="19"/>
                      </w:rPr>
                      <w:t xml:space="preserve">\ZZ </w:t>
                    </w:r>
                    <w:r>
                      <w:rPr>
                        <w:rStyle w:val="CharStyle10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32-24: Řešení závad z revize elektroinstalace budovy Bohunice - III. etapa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8C" w:rsidRDefault="005842A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960120</wp:posOffset>
              </wp:positionH>
              <wp:positionV relativeFrom="page">
                <wp:posOffset>9972040</wp:posOffset>
              </wp:positionV>
              <wp:extent cx="4255135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513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2D8C" w:rsidRDefault="005842A0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\ZZ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32-24: Řešení závad z revize elektroinstalace budovy Bohunice - III. etapa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5.600000000000009pt;margin-top:785.20000000000005pt;width:335.05000000000001pt;height:10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0"/>
                        <w:rFonts w:ascii="Arial" w:eastAsia="Arial" w:hAnsi="Arial" w:cs="Arial"/>
                        <w:sz w:val="19"/>
                        <w:szCs w:val="19"/>
                      </w:rPr>
                      <w:t xml:space="preserve">\ZZ </w:t>
                    </w:r>
                    <w:r>
                      <w:rPr>
                        <w:rStyle w:val="CharStyle10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32-24: Řešení závad z revize elektroinstalace budovy Bohunice - III. etapa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8C" w:rsidRDefault="005842A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960120</wp:posOffset>
              </wp:positionH>
              <wp:positionV relativeFrom="page">
                <wp:posOffset>9972040</wp:posOffset>
              </wp:positionV>
              <wp:extent cx="4255135" cy="13398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513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E2D8C" w:rsidRDefault="005842A0">
                          <w:pPr>
                            <w:pStyle w:val="Zhlavnebozpat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\ZZ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32-24: Řešení závad z revize elektroinstalace budovy Bohunice - III. etapa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75.600000000000009pt;margin-top:785.20000000000005pt;width:335.05000000000001pt;height:10.5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0"/>
                        <w:rFonts w:ascii="Arial" w:eastAsia="Arial" w:hAnsi="Arial" w:cs="Arial"/>
                        <w:sz w:val="19"/>
                        <w:szCs w:val="19"/>
                      </w:rPr>
                      <w:t xml:space="preserve">\ZZ </w:t>
                    </w:r>
                    <w:r>
                      <w:rPr>
                        <w:rStyle w:val="CharStyle10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32-24: Řešení závad z revize elektroinstalace budovy Bohunice - III. etapa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D8C" w:rsidRDefault="00AE2D8C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2A0" w:rsidRDefault="005842A0"/>
  </w:footnote>
  <w:footnote w:type="continuationSeparator" w:id="0">
    <w:p w:rsidR="005842A0" w:rsidRDefault="005842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69B3"/>
    <w:multiLevelType w:val="multilevel"/>
    <w:tmpl w:val="8512675C"/>
    <w:lvl w:ilvl="0">
      <w:start w:val="9"/>
      <w:numFmt w:val="decimal"/>
      <w:lvlText w:val="[%1]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7EB3E8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A260DD"/>
    <w:multiLevelType w:val="multilevel"/>
    <w:tmpl w:val="A546180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FA035C"/>
    <w:multiLevelType w:val="multilevel"/>
    <w:tmpl w:val="216A22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123F69"/>
    <w:multiLevelType w:val="multilevel"/>
    <w:tmpl w:val="DA4EA27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8C"/>
    <w:rsid w:val="005842A0"/>
    <w:rsid w:val="007F4D3D"/>
    <w:rsid w:val="00AE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E7194-A9C5-4F01-9A01-57A4584F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1">
    <w:name w:val="Základní text1"/>
    <w:basedOn w:val="Normln"/>
    <w:link w:val="Zkladntext"/>
    <w:pPr>
      <w:spacing w:after="140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pacing w:after="160" w:line="211" w:lineRule="auto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pPr>
      <w:spacing w:after="100"/>
      <w:ind w:right="460"/>
      <w:jc w:val="right"/>
      <w:outlineLvl w:val="0"/>
    </w:pPr>
    <w:rPr>
      <w:rFonts w:ascii="Arial" w:eastAsia="Arial" w:hAnsi="Arial" w:cs="Arial"/>
      <w:sz w:val="64"/>
      <w:szCs w:val="6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after="90"/>
      <w:ind w:left="2160" w:right="230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pacing w:after="220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Jin0">
    <w:name w:val="Jiné"/>
    <w:basedOn w:val="Normln"/>
    <w:link w:val="Jin"/>
    <w:pPr>
      <w:spacing w:after="14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1737</Words>
  <Characters>10251</Characters>
  <Application>Microsoft Office Word</Application>
  <DocSecurity>0</DocSecurity>
  <Lines>85</Lines>
  <Paragraphs>23</Paragraphs>
  <ScaleCrop>false</ScaleCrop>
  <Company>HP Inc.</Company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2</cp:revision>
  <dcterms:created xsi:type="dcterms:W3CDTF">2025-09-30T06:34:00Z</dcterms:created>
  <dcterms:modified xsi:type="dcterms:W3CDTF">2025-09-30T06:34:00Z</dcterms:modified>
</cp:coreProperties>
</file>