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32"/>
          <w:sz w:val="32"/>
          <w:szCs w:val="32"/>
          <w:vertAlign w:val="baseline"/>
        </w:rPr>
        <w:t>Smlouva o zajištění pobytu, soustředění</w:t>
      </w:r>
    </w:p>
    <w:p>
      <w:pPr>
        <w:pStyle w:val="normal1"/>
        <w:spacing w:lineRule="auto" w:line="240" w:before="0" w:after="142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uzavřená v souladu s § 1746 odst. 2 zákona č. 89/2012 Sb., občanský zákoník</w:t>
      </w:r>
    </w:p>
    <w:p>
      <w:pPr>
        <w:pStyle w:val="normal1"/>
        <w:spacing w:lineRule="auto" w:line="240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I.</w:t>
      </w:r>
    </w:p>
    <w:p>
      <w:pPr>
        <w:pStyle w:val="normal1"/>
        <w:spacing w:lineRule="auto" w:line="240" w:before="0" w:after="142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Smluvní strany</w:t>
      </w:r>
    </w:p>
    <w:p>
      <w:pPr>
        <w:pStyle w:val="normal1"/>
        <w:tabs>
          <w:tab w:val="clear" w:pos="720"/>
          <w:tab w:val="left" w:pos="1704" w:leader="none"/>
        </w:tabs>
        <w:spacing w:lineRule="auto" w:line="240" w:before="0" w:after="142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Objednatel:</w:t>
      </w:r>
    </w:p>
    <w:p>
      <w:pPr>
        <w:pStyle w:val="normal1"/>
        <w:tabs>
          <w:tab w:val="clear" w:pos="720"/>
          <w:tab w:val="left" w:pos="1704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Název:</w:t>
        <w:tab/>
      </w:r>
      <w:r>
        <w:rPr>
          <w:b/>
          <w:position w:val="0"/>
          <w:sz w:val="24"/>
          <w:vertAlign w:val="baseline"/>
        </w:rPr>
        <w:t>Základní škola, Ostrava-Poruba, J. Valčíka 4411, příspěvková organizace</w:t>
      </w:r>
    </w:p>
    <w:p>
      <w:pPr>
        <w:pStyle w:val="normal1"/>
        <w:tabs>
          <w:tab w:val="clear" w:pos="720"/>
          <w:tab w:val="left" w:pos="1685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Adresa: </w:t>
        <w:tab/>
        <w:t>Josefa Valčíka 4411/2, Poruba, 708 00 Ostrava</w:t>
      </w:r>
    </w:p>
    <w:p>
      <w:pPr>
        <w:pStyle w:val="normal1"/>
        <w:tabs>
          <w:tab w:val="clear" w:pos="720"/>
          <w:tab w:val="left" w:pos="1685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Zastoupen:</w:t>
        <w:tab/>
        <w:t>Mgr. Miroslavem Bučánkem, ředitelem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IČ: </w:t>
        <w:tab/>
        <w:t>64627918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DIČ:</w:t>
        <w:tab/>
        <w:t>CZ64627918 (neplátce DPH)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Zápis v OR:</w:t>
        <w:tab/>
        <w:t>Krajský soud v Ostravě, oddíl Pr, vložka 636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Číslo účtu:</w:t>
        <w:tab/>
        <w:t>59045/5500, Raiffeisen a.s.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Telefon:</w:t>
        <w:tab/>
        <w:t>596 919 770, 720 833 095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E-mail:</w:t>
        <w:tab/>
        <w:t>bucanekmiroslav@zsvalcika.cz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b/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ab/>
        <w:t>(dále jen objednatel)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 w:before="0" w:after="142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Dodavatel: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Název:</w:t>
        <w:tab/>
      </w:r>
      <w:r>
        <w:rPr>
          <w:b/>
          <w:position w:val="0"/>
          <w:sz w:val="24"/>
          <w:vertAlign w:val="baseline"/>
        </w:rPr>
        <w:t>JT TROPP s.r.o.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Adresa:</w:t>
        <w:tab/>
        <w:t>Pustá Polom 90, 747 69 Pustá Polom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Zastoupen:</w:t>
        <w:tab/>
        <w:t>Jiřím Troppem, jednatelem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IČ:</w:t>
        <w:tab/>
        <w:t>29459729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DIČ:</w:t>
        <w:tab/>
        <w:t xml:space="preserve">CZ29459729 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Zápis v OR:</w:t>
        <w:tab/>
        <w:t>Krajský soud v Ostravě, oddíl C, vložka 55219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Číslo účtu:</w:t>
        <w:tab/>
        <w:t xml:space="preserve">3205294309/0800 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Telefon:</w:t>
        <w:tab/>
        <w:t xml:space="preserve">553 673 240 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E-mail:</w:t>
        <w:tab/>
        <w:t>setina@tropp.cz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ab/>
        <w:t>(dále jen dodavatel)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widowControl/>
        <w:spacing w:lineRule="auto" w:line="240" w:before="0" w:after="142"/>
        <w:jc w:val="center"/>
        <w:rPr>
          <w:b/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se dohodli na uzavření této smlouvy:</w:t>
      </w:r>
    </w:p>
    <w:p>
      <w:pPr>
        <w:pStyle w:val="normal1"/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II.</w:t>
      </w:r>
    </w:p>
    <w:p>
      <w:pPr>
        <w:pStyle w:val="normal1"/>
        <w:spacing w:lineRule="auto" w:line="240" w:before="0" w:after="0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Předmět smlouvy</w:t>
      </w:r>
    </w:p>
    <w:p>
      <w:pPr>
        <w:pStyle w:val="normal1"/>
        <w:numPr>
          <w:ilvl w:val="0"/>
          <w:numId w:val="3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>Dodavatel se zavazuje zajistit pro odběratele pobyt, soustředění dětského pěveckého sboru Bambule a Rolnička v objektu Penzion Setina, 747 69 Pustá Polom 90.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1440" w:leader="none"/>
        </w:tabs>
        <w:spacing w:lineRule="auto" w:line="240"/>
        <w:ind w:hanging="360" w:left="720"/>
        <w:jc w:val="both"/>
        <w:rPr/>
      </w:pPr>
      <w:r>
        <w:rPr>
          <w:b/>
          <w:position w:val="0"/>
          <w:sz w:val="24"/>
          <w:vertAlign w:val="baseline"/>
        </w:rPr>
        <w:t>Termíny pobytu: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/>
        <w:ind w:hanging="0" w:left="1080"/>
        <w:jc w:val="both"/>
        <w:rPr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  <w:t>1. termín: 13. - 17. 10. 2025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/>
        <w:ind w:hanging="0" w:left="1080"/>
        <w:jc w:val="both"/>
        <w:rPr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  <w:t>2. termín: 3. - 7. 11. 2025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/>
        <w:ind w:hanging="0" w:left="720" w:right="0"/>
        <w:jc w:val="both"/>
        <w:rPr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III.</w:t>
      </w:r>
    </w:p>
    <w:p>
      <w:pPr>
        <w:pStyle w:val="normal1"/>
        <w:spacing w:lineRule="auto" w:line="240" w:before="0" w:after="0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Rozsah poskytovaných služeb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>Ubytování včetně lůžkovin ve 2, 3 a více lůžkových pokojích, v případě početnější skupiny také omezeně na přistýlkách ve zděné budově.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>Pokoje s vlastním sociálním zařízením, s teplou vodou.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>Stravování formou plné penze (snídaně, dopolední svačina, oběd, odpolední svačina, večeře). Prvním jídlem v den zahájení pobytu je oběd, posledním jídlem v den ukončení pobytu je snídaně. Věk dětí: 1. stupeň základní školy.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 xml:space="preserve">Balíček na cestu v případě předem hlášeného celodenního výletu/v den odjezdu místo obědu. 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>Celodenní pitný režim (voda, čaj).</w:t>
      </w:r>
    </w:p>
    <w:p>
      <w:pPr>
        <w:pStyle w:val="normal1"/>
        <w:numPr>
          <w:ilvl w:val="0"/>
          <w:numId w:val="2"/>
        </w:numPr>
        <w:spacing w:lineRule="auto" w:line="240" w:before="0" w:after="28"/>
        <w:ind w:hanging="360" w:left="720"/>
        <w:jc w:val="both"/>
        <w:rPr/>
      </w:pPr>
      <w:r>
        <w:rPr>
          <w:position w:val="0"/>
          <w:sz w:val="24"/>
          <w:vertAlign w:val="baseline"/>
        </w:rPr>
        <w:t xml:space="preserve">Prostory pro výuku, volnočasové aktivity, sportovní cvičení (herna, venkovní bazén, dětské hřiště, volejbalové hřiště, sál, tělocvična). </w:t>
      </w:r>
    </w:p>
    <w:p>
      <w:pPr>
        <w:pStyle w:val="normal1"/>
        <w:spacing w:lineRule="auto" w:line="240" w:before="0" w:after="0"/>
        <w:ind w:hanging="0" w:left="1080" w:right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IV.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28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Cena služeb, platební podmínky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28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Cena služeb za žáka/den: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720,00 Kč.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Předpokládaný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počet žáků: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/>
        <w:ind w:hanging="0" w:left="720" w:right="0"/>
        <w:jc w:val="both"/>
        <w:rPr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  <w:t>1. termín: 13. - 17. 10. 2025</w:t>
        <w:tab/>
        <w:tab/>
        <w:t>34 žáků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/>
        <w:ind w:hanging="0" w:left="720" w:right="0"/>
        <w:jc w:val="both"/>
        <w:rPr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  <w:t>2. termín: 3. - 7. 11. 2025</w:t>
        <w:tab/>
        <w:tab/>
        <w:t>40 žáků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 w:before="0" w:after="0"/>
        <w:ind w:hanging="0" w:left="720" w:right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Přesný počet bude upřesněn v den příjezdu.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40" w:before="0" w:after="0"/>
        <w:ind w:hanging="360" w:left="72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Cena služeb za pedagogický doprovod osobu/den: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720,00 Kč.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Předpokládaný počet pedagogického doprovodu v oba termíny: 4. Náklady za všechny členy pedagogického doprovodu (balíček služeb) hradí objednatel. 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Náklady na ubytování a stravování budou účtovány podle skutečného počtu žáků nahlášeného po příjezdu. Pokud se žák z vážných důvodů (nemoc) nemůže zúčastnit celého pobytu, bude mu vrácena částka za služby, které nevyčerpal (ubytování, stravování).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Dodavatel objednateli neúčtuje zálohu na služby. Úhrada služeb bude provedena až po ukončení pobytu bankovním převodem na základě vystavené faktury s rozpisem poskytnutých služeb tak, aby z faktury bylo zřejmé, jaká částka byla uhrazena (počet dnů x cena na den x počet osob) za: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1713" w:leader="none"/>
        </w:tabs>
        <w:spacing w:lineRule="auto" w:line="240" w:before="0" w:after="0"/>
        <w:ind w:hanging="360" w:left="1080"/>
        <w:jc w:val="both"/>
        <w:rPr/>
      </w:pPr>
      <w:r>
        <w:rPr>
          <w:position w:val="0"/>
          <w:sz w:val="24"/>
          <w:vertAlign w:val="baseline"/>
        </w:rPr>
        <w:t>žáky, kteří se zúčastnili celého pobytu,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1713" w:leader="none"/>
        </w:tabs>
        <w:spacing w:lineRule="auto" w:line="240" w:before="0" w:after="0"/>
        <w:ind w:hanging="360" w:left="1080"/>
        <w:jc w:val="both"/>
        <w:rPr/>
      </w:pPr>
      <w:r>
        <w:rPr>
          <w:position w:val="0"/>
          <w:sz w:val="24"/>
          <w:vertAlign w:val="baseline"/>
        </w:rPr>
        <w:t>žáky, kteří z vážného důvodu museli ukončit pobyt dříve,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1713" w:leader="none"/>
        </w:tabs>
        <w:spacing w:lineRule="auto" w:line="240" w:before="0" w:after="0"/>
        <w:ind w:hanging="360" w:left="1080"/>
        <w:jc w:val="both"/>
        <w:rPr/>
      </w:pPr>
      <w:r>
        <w:rPr>
          <w:position w:val="0"/>
          <w:sz w:val="24"/>
          <w:vertAlign w:val="baseline"/>
        </w:rPr>
        <w:t xml:space="preserve">pedagogický dozor. 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Doba splatnosti faktury činí 14 dní.</w:t>
      </w:r>
    </w:p>
    <w:p>
      <w:pPr>
        <w:pStyle w:val="normal1"/>
        <w:spacing w:lineRule="auto" w:line="240" w:before="0" w:after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IV.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Další ujednání 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Přímým vyřizováním všech záležitostí spojených s touto smlouvou je pověřen/a:</w:t>
        <w:tab/>
      </w:r>
    </w:p>
    <w:p>
      <w:pPr>
        <w:pStyle w:val="normal1"/>
        <w:numPr>
          <w:ilvl w:val="1"/>
          <w:numId w:val="7"/>
        </w:numPr>
        <w:tabs>
          <w:tab w:val="clear" w:pos="720"/>
          <w:tab w:val="left" w:pos="1440" w:leader="none"/>
        </w:tabs>
        <w:spacing w:lineRule="auto" w:line="240" w:before="0" w:after="0"/>
        <w:ind w:hanging="360" w:left="1080"/>
        <w:jc w:val="both"/>
        <w:rPr/>
      </w:pPr>
      <w:r>
        <w:rPr>
          <w:position w:val="0"/>
          <w:sz w:val="24"/>
          <w:vertAlign w:val="baseline"/>
        </w:rPr>
        <w:t>za objednatele:</w:t>
      </w:r>
    </w:p>
    <w:p>
      <w:pPr>
        <w:pStyle w:val="normal1"/>
        <w:tabs>
          <w:tab w:val="clear" w:pos="720"/>
          <w:tab w:val="left" w:pos="1440" w:leader="none"/>
        </w:tabs>
        <w:spacing w:lineRule="auto" w:line="240" w:before="0" w:after="0"/>
        <w:ind w:hanging="0" w:left="1080" w:right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1. termín Martina Hanelová, 732 22 47 30, 2. termín Jitka Gřesíková 734 538 572</w:t>
      </w:r>
    </w:p>
    <w:p>
      <w:pPr>
        <w:pStyle w:val="normal1"/>
        <w:numPr>
          <w:ilvl w:val="1"/>
          <w:numId w:val="7"/>
        </w:numPr>
        <w:tabs>
          <w:tab w:val="clear" w:pos="720"/>
          <w:tab w:val="left" w:pos="1440" w:leader="none"/>
        </w:tabs>
        <w:spacing w:lineRule="auto" w:line="240" w:before="0" w:after="0"/>
        <w:ind w:hanging="360" w:left="1080"/>
        <w:jc w:val="both"/>
        <w:rPr/>
      </w:pPr>
      <w:r>
        <w:rPr>
          <w:position w:val="0"/>
          <w:sz w:val="24"/>
          <w:vertAlign w:val="baseline"/>
        </w:rPr>
        <w:t>za dodavatele: Jiří Tropp, telefon: 553 673 240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Objednatel předá při nástupu jeden jmenný seznam účastníků (jméno, příjmení).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Všechny prostory k ubytování i k výuce lze v případě chladného počasí vytápět.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Stravování účastníků školy v přírodě zajistí dodavatel v souladu s hygienickými a zvláštními předpisy v platném znění (vyhláška č. 107/2005 Sb., o školním stravování, zákon č. 106/2001 Sb., o hygienických požadavcích na zotavovací akce pro děti, vyhláška 137/2004 Sb., o hygienických požadavcích na stravovací služby, zákona č. 258/2000 Sb., o ochraně veřejného zdraví).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 xml:space="preserve">Dodavatel prohlašuje, že uvedený objekt splňuje hygienické podmínky ubytovacího </w:t>
        <w:br/>
        <w:t>a stravovacího zařízení a podmínky pro zabezpečení výchovy a výuky.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Objednatel se zavazuje dodržovat platný ubytovací a provozní řád, požární a poplachové směrnice.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Objednatel bude řádně využívat prostory jemu vyhrazené. Po skončení pobytu předá dodavateli všechny užívané prostory a věci, které užíval ve stavu, v jakém je převzal s přihlédnutím k obvyklému opotřebení věcí.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/>
      </w:pPr>
      <w:r>
        <w:rPr>
          <w:position w:val="0"/>
          <w:sz w:val="24"/>
          <w:vertAlign w:val="baseline"/>
        </w:rPr>
        <w:t>Objednatel nahradí případnou prokazatelně vzniklou škodu na majetku provozovatele zařízení způsobenou žáky.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hanging="360" w:left="720"/>
        <w:jc w:val="both"/>
        <w:rPr>
          <w:color w:val="23222E"/>
        </w:rPr>
      </w:pPr>
      <w:r>
        <w:rPr>
          <w:position w:val="0"/>
          <w:sz w:val="24"/>
          <w:vertAlign w:val="baseline"/>
        </w:rPr>
        <w:t>Objednatel si z důvodu nepředvídatelného vývoje situace s Covid 19 vyhrazuje možnost zrušení akce den předem bez storno podmínek. Objednavatel se zavazuje uskutečnit akci v náhradním termínu po dohodě s dodavatelem.</w:t>
      </w:r>
    </w:p>
    <w:p>
      <w:pPr>
        <w:pStyle w:val="normal1"/>
        <w:tabs>
          <w:tab w:val="clear" w:pos="720"/>
          <w:tab w:val="left" w:pos="1713" w:leader="none"/>
        </w:tabs>
        <w:spacing w:lineRule="auto" w:line="240" w:before="0" w:after="142"/>
        <w:ind w:hanging="0" w:left="720" w:right="0"/>
        <w:jc w:val="both"/>
        <w:rPr>
          <w:rFonts w:ascii="Calibri" w:hAnsi="Calibri" w:eastAsia="Calibri" w:cs="Calibri"/>
          <w:color w:val="23222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color w:val="23222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b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VIII.</w:t>
      </w:r>
    </w:p>
    <w:p>
      <w:pPr>
        <w:pStyle w:val="normal1"/>
        <w:spacing w:lineRule="auto" w:line="240" w:before="0" w:after="0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Ustanovení přechodná a závěrečná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Tuto smlouvu lze upravit, doplnit nebo změnit pouze písemnými dodatky schválenými oprávněnými zástupci obou smluvních stran.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případech výslovně neupravených v této smlouvě se použije odpovídající ustanovení občanského zákoníku.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Smluvní strany mohou tuto smlouvu vypovědět písemnou výpovědí doručenou smluvní straně.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2160" w:leader="none"/>
        </w:tabs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Smluvní strany shodně prohlašují, že si tuto smlouvu před jejím podepsáním přečetly, že byla uzavřena po vzájemném projednání podle jejich pravé a svobodné vůle určitě, vážně a srozumitelně, a že se dohodly o celém jejím obsahu, což stvrzují svými podpisy.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Smlouva nabývá platnosti dnem podpisu obou smluvních stran.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Smlouva, na niž se vztahuje povinnost uveřejnění prostřednictvím registru smluv, nabývá účinnosti (je možné poskytovat plnění) nejdříve dnem uveřejnění. Smluvní strany souhlasí se zveřejněním smlouvy v plném rozsahu.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42"/>
        <w:ind w:hanging="360" w:left="720" w:right="0"/>
        <w:jc w:val="both"/>
        <w:rPr>
          <w:strike w:val="false"/>
          <w:dstrike w:val="false"/>
          <w:color w:val="000000"/>
          <w:u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Smlouva je vyhotovena ve dvou stejnopisech, z nichž každá ze smluvních stran obdrží jedno vyhotovení.</w:t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 xml:space="preserve">V Ostravě-Porubě dne </w:t>
        <w:tab/>
        <w:t>V ……………………. dne ……………</w:t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both"/>
        <w:rPr>
          <w:position w:val="0"/>
          <w:sz w:val="24"/>
          <w:vertAlign w:val="baseline"/>
        </w:rPr>
      </w:pPr>
      <w:bookmarkStart w:id="0" w:name="_mzp8aviixqvi"/>
      <w:bookmarkEnd w:id="0"/>
      <w:r>
        <w:rPr>
          <w:position w:val="0"/>
          <w:sz w:val="24"/>
          <w:vertAlign w:val="baseline"/>
        </w:rPr>
        <w:tab/>
        <w:t>….......................................</w:t>
        <w:tab/>
        <w:t>….......................................</w:t>
      </w:r>
    </w:p>
    <w:p>
      <w:pPr>
        <w:pStyle w:val="normal1"/>
        <w:tabs>
          <w:tab w:val="clear" w:pos="720"/>
          <w:tab w:val="center" w:pos="1430" w:leader="none"/>
          <w:tab w:val="center" w:pos="7910" w:leader="none"/>
        </w:tabs>
        <w:spacing w:lineRule="auto" w:line="240" w:before="0" w:after="142"/>
        <w:jc w:val="both"/>
        <w:rPr>
          <w:color w:val="000000"/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ab/>
        <w:t xml:space="preserve">objednatel </w:t>
        <w:tab/>
        <w:t xml:space="preserve">dodavatel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34" w:right="1134" w:gutter="0" w:header="0" w:top="851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auto"/>
    <w:pitch w:val="variable"/>
  </w:font>
  <w:font w:name="Times New Roman">
    <w:charset w:val="ee"/>
    <w:family w:val="auto"/>
    <w:pitch w:val="variable"/>
  </w:font>
  <w:font w:name="Calibri">
    <w:charset w:val="ee"/>
    <w:family w:val="auto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vertAlign w:val="baseline"/>
        <w:position w:val="0"/>
        <w:sz w:val="24"/>
        <w:sz w:val="24"/>
        <w:i w:val="false"/>
        <w:b w:val="false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i w:val="false"/>
        <w:szCs w:val="24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 w:val="false"/>
        <w:szCs w:val="22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 w:val="false"/>
        <w:szCs w:val="22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szCs w:val="22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3</Pages>
  <Words>842</Words>
  <Characters>4902</Characters>
  <CharactersWithSpaces>5654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2025-09-29T08:40:12Z</dcterms:modified>
  <cp:revision>1</cp:revision>
  <dc:subject/>
  <dc:title/>
</cp:coreProperties>
</file>