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14D0" w14:textId="77777777" w:rsidR="00130D4D" w:rsidRDefault="00130D4D" w:rsidP="00C56250">
      <w:pPr>
        <w:rPr>
          <w:rStyle w:val="Siln"/>
          <w:rFonts w:asciiTheme="minorHAnsi" w:hAnsiTheme="minorHAnsi" w:cstheme="minorHAnsi"/>
          <w:color w:val="000000" w:themeColor="text1"/>
          <w:sz w:val="22"/>
          <w:szCs w:val="22"/>
        </w:rPr>
      </w:pPr>
    </w:p>
    <w:p w14:paraId="128E8E33" w14:textId="1FA43742" w:rsidR="00E54719" w:rsidRPr="008A5EEE" w:rsidRDefault="00E54719" w:rsidP="00E54719">
      <w:pPr>
        <w:rPr>
          <w:rStyle w:val="Siln"/>
          <w:rFonts w:asciiTheme="minorHAnsi" w:hAnsiTheme="minorHAnsi" w:cstheme="minorHAnsi"/>
          <w:b w:val="0"/>
          <w:bCs w:val="0"/>
          <w:color w:val="000000" w:themeColor="text1"/>
          <w:sz w:val="22"/>
          <w:szCs w:val="22"/>
        </w:rPr>
      </w:pPr>
      <w:r w:rsidRPr="008A5EEE">
        <w:rPr>
          <w:rStyle w:val="Siln"/>
          <w:rFonts w:asciiTheme="minorHAnsi" w:hAnsiTheme="minorHAnsi" w:cstheme="minorHAnsi"/>
          <w:b w:val="0"/>
          <w:bCs w:val="0"/>
          <w:color w:val="000000" w:themeColor="text1"/>
          <w:sz w:val="22"/>
          <w:szCs w:val="22"/>
        </w:rPr>
        <w:t>Smlouva č. NPU-</w:t>
      </w:r>
      <w:r w:rsidR="004B3F2B" w:rsidRPr="008A5EEE">
        <w:rPr>
          <w:rStyle w:val="Siln"/>
          <w:rFonts w:asciiTheme="minorHAnsi" w:hAnsiTheme="minorHAnsi" w:cstheme="minorHAnsi"/>
          <w:b w:val="0"/>
          <w:bCs w:val="0"/>
          <w:color w:val="000000" w:themeColor="text1"/>
          <w:sz w:val="22"/>
          <w:szCs w:val="22"/>
        </w:rPr>
        <w:t>21</w:t>
      </w:r>
      <w:r w:rsidRPr="008A5EEE">
        <w:rPr>
          <w:rStyle w:val="Siln"/>
          <w:rFonts w:asciiTheme="minorHAnsi" w:hAnsiTheme="minorHAnsi" w:cstheme="minorHAnsi"/>
          <w:b w:val="0"/>
          <w:bCs w:val="0"/>
          <w:color w:val="000000" w:themeColor="text1"/>
          <w:sz w:val="22"/>
          <w:szCs w:val="22"/>
        </w:rPr>
        <w:t>/331/2025</w:t>
      </w:r>
    </w:p>
    <w:p w14:paraId="088010D0" w14:textId="74B5335F" w:rsidR="00130D4D" w:rsidRPr="00E54719" w:rsidRDefault="00E54719" w:rsidP="00E54719">
      <w:pPr>
        <w:rPr>
          <w:rStyle w:val="Siln"/>
          <w:rFonts w:asciiTheme="minorHAnsi" w:hAnsiTheme="minorHAnsi" w:cstheme="minorHAnsi"/>
          <w:b w:val="0"/>
          <w:bCs w:val="0"/>
          <w:color w:val="000000" w:themeColor="text1"/>
          <w:sz w:val="22"/>
          <w:szCs w:val="22"/>
        </w:rPr>
      </w:pPr>
      <w:r w:rsidRPr="008A5EEE">
        <w:rPr>
          <w:rStyle w:val="Siln"/>
          <w:rFonts w:asciiTheme="minorHAnsi" w:hAnsiTheme="minorHAnsi" w:cstheme="minorHAnsi"/>
          <w:b w:val="0"/>
          <w:bCs w:val="0"/>
          <w:color w:val="000000" w:themeColor="text1"/>
          <w:sz w:val="22"/>
          <w:szCs w:val="22"/>
        </w:rPr>
        <w:t>Č.j. NPU - 331/</w:t>
      </w:r>
      <w:r w:rsidR="008A5EEE" w:rsidRPr="008A5EEE">
        <w:rPr>
          <w:rStyle w:val="Siln"/>
          <w:rFonts w:asciiTheme="minorHAnsi" w:hAnsiTheme="minorHAnsi" w:cstheme="minorHAnsi"/>
          <w:b w:val="0"/>
          <w:bCs w:val="0"/>
          <w:color w:val="000000" w:themeColor="text1"/>
          <w:sz w:val="22"/>
          <w:szCs w:val="22"/>
        </w:rPr>
        <w:t>81489</w:t>
      </w:r>
      <w:r w:rsidRPr="008A5EEE">
        <w:rPr>
          <w:rStyle w:val="Siln"/>
          <w:rFonts w:asciiTheme="minorHAnsi" w:hAnsiTheme="minorHAnsi" w:cstheme="minorHAnsi"/>
          <w:b w:val="0"/>
          <w:bCs w:val="0"/>
          <w:color w:val="000000" w:themeColor="text1"/>
          <w:sz w:val="22"/>
          <w:szCs w:val="22"/>
        </w:rPr>
        <w:t>/2025</w:t>
      </w:r>
    </w:p>
    <w:p w14:paraId="1B2B7BBF" w14:textId="6E3714E4" w:rsidR="00E54719" w:rsidRDefault="00E54719" w:rsidP="00E54719">
      <w:pPr>
        <w:rPr>
          <w:rStyle w:val="Siln"/>
          <w:rFonts w:asciiTheme="minorHAnsi" w:hAnsiTheme="minorHAnsi" w:cstheme="minorHAnsi"/>
          <w:color w:val="000000" w:themeColor="text1"/>
          <w:sz w:val="22"/>
          <w:szCs w:val="22"/>
        </w:rPr>
      </w:pPr>
    </w:p>
    <w:p w14:paraId="52296C1C" w14:textId="77777777" w:rsidR="00E54719" w:rsidRDefault="00E54719" w:rsidP="00E54719">
      <w:pPr>
        <w:rPr>
          <w:rStyle w:val="Siln"/>
          <w:rFonts w:asciiTheme="minorHAnsi" w:hAnsiTheme="minorHAnsi" w:cstheme="minorHAnsi"/>
          <w:color w:val="000000" w:themeColor="text1"/>
          <w:sz w:val="22"/>
          <w:szCs w:val="22"/>
        </w:rPr>
      </w:pPr>
    </w:p>
    <w:p w14:paraId="4BA213F0" w14:textId="71EF6845" w:rsidR="00C56250" w:rsidRPr="00202AE1" w:rsidRDefault="00C56250" w:rsidP="00C56250">
      <w:pPr>
        <w:rPr>
          <w:rFonts w:asciiTheme="minorHAnsi" w:hAnsiTheme="minorHAnsi" w:cstheme="minorHAnsi"/>
          <w:color w:val="000000" w:themeColor="text1"/>
          <w:sz w:val="22"/>
          <w:szCs w:val="22"/>
        </w:rPr>
      </w:pPr>
      <w:r w:rsidRPr="00202AE1">
        <w:rPr>
          <w:rStyle w:val="Siln"/>
          <w:rFonts w:asciiTheme="minorHAnsi" w:hAnsiTheme="minorHAnsi" w:cstheme="minorHAnsi"/>
          <w:color w:val="000000" w:themeColor="text1"/>
          <w:sz w:val="22"/>
          <w:szCs w:val="22"/>
        </w:rPr>
        <w:t>Národní památkový ústav,</w:t>
      </w:r>
      <w:r w:rsidRPr="00202AE1">
        <w:rPr>
          <w:rFonts w:asciiTheme="minorHAnsi" w:hAnsiTheme="minorHAnsi" w:cstheme="minorHAnsi"/>
          <w:color w:val="000000" w:themeColor="text1"/>
          <w:sz w:val="22"/>
          <w:szCs w:val="22"/>
        </w:rPr>
        <w:t xml:space="preserve"> státní příspěvková organizace</w:t>
      </w:r>
    </w:p>
    <w:p w14:paraId="23E3C960"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IČO: 75032333, DIČ: CZ75032333,</w:t>
      </w:r>
    </w:p>
    <w:p w14:paraId="74B1284F"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se sídlem: Valdštejnské nám. 162/3, PSČ 118 01 Praha 1 – Malá Strana,</w:t>
      </w:r>
    </w:p>
    <w:p w14:paraId="4B6466FE" w14:textId="59D62127" w:rsidR="00C56250" w:rsidRPr="00B9106B" w:rsidRDefault="00C56250" w:rsidP="00C56250">
      <w:pPr>
        <w:rPr>
          <w:rFonts w:asciiTheme="minorHAnsi" w:hAnsiTheme="minorHAnsi" w:cstheme="minorHAnsi"/>
          <w:color w:val="000000" w:themeColor="text1"/>
          <w:sz w:val="22"/>
          <w:szCs w:val="22"/>
        </w:rPr>
      </w:pPr>
      <w:r w:rsidRPr="00B9106B">
        <w:rPr>
          <w:rFonts w:asciiTheme="minorHAnsi" w:hAnsiTheme="minorHAnsi" w:cstheme="minorHAnsi"/>
          <w:color w:val="000000" w:themeColor="text1"/>
          <w:sz w:val="22"/>
          <w:szCs w:val="22"/>
        </w:rPr>
        <w:t xml:space="preserve">zastoupen: Ing. </w:t>
      </w:r>
      <w:r w:rsidR="00B9106B" w:rsidRPr="00B9106B">
        <w:rPr>
          <w:rFonts w:asciiTheme="minorHAnsi" w:hAnsiTheme="minorHAnsi" w:cstheme="minorHAnsi"/>
          <w:color w:val="000000" w:themeColor="text1"/>
          <w:sz w:val="22"/>
          <w:szCs w:val="22"/>
        </w:rPr>
        <w:t xml:space="preserve">Danielem </w:t>
      </w:r>
      <w:proofErr w:type="spellStart"/>
      <w:r w:rsidR="00B9106B" w:rsidRPr="00B9106B">
        <w:rPr>
          <w:rFonts w:asciiTheme="minorHAnsi" w:hAnsiTheme="minorHAnsi" w:cstheme="minorHAnsi"/>
          <w:color w:val="000000" w:themeColor="text1"/>
          <w:sz w:val="22"/>
          <w:szCs w:val="22"/>
        </w:rPr>
        <w:t>Šnejdem</w:t>
      </w:r>
      <w:proofErr w:type="spellEnd"/>
      <w:r w:rsidR="00B9106B" w:rsidRPr="00B9106B">
        <w:rPr>
          <w:rFonts w:asciiTheme="minorHAnsi" w:hAnsiTheme="minorHAnsi" w:cstheme="minorHAnsi"/>
          <w:color w:val="000000" w:themeColor="text1"/>
          <w:sz w:val="22"/>
          <w:szCs w:val="22"/>
        </w:rPr>
        <w:t xml:space="preserve">, </w:t>
      </w:r>
      <w:proofErr w:type="spellStart"/>
      <w:r w:rsidR="00B9106B" w:rsidRPr="00B9106B">
        <w:rPr>
          <w:rFonts w:asciiTheme="minorHAnsi" w:hAnsiTheme="minorHAnsi" w:cstheme="minorHAnsi"/>
          <w:color w:val="000000" w:themeColor="text1"/>
          <w:sz w:val="22"/>
          <w:szCs w:val="22"/>
        </w:rPr>
        <w:t>DiS</w:t>
      </w:r>
      <w:proofErr w:type="spellEnd"/>
      <w:r w:rsidR="00B9106B" w:rsidRPr="00B9106B">
        <w:rPr>
          <w:rFonts w:asciiTheme="minorHAnsi" w:hAnsiTheme="minorHAnsi" w:cstheme="minorHAnsi"/>
          <w:color w:val="000000" w:themeColor="text1"/>
          <w:sz w:val="22"/>
          <w:szCs w:val="22"/>
        </w:rPr>
        <w:t>.</w:t>
      </w:r>
      <w:r w:rsidRPr="00B9106B">
        <w:rPr>
          <w:rFonts w:asciiTheme="minorHAnsi" w:hAnsiTheme="minorHAnsi" w:cstheme="minorHAnsi"/>
          <w:color w:val="000000" w:themeColor="text1"/>
          <w:sz w:val="22"/>
          <w:szCs w:val="22"/>
        </w:rPr>
        <w:t xml:space="preserve">, </w:t>
      </w:r>
      <w:r w:rsidR="00B9106B" w:rsidRPr="00B9106B">
        <w:rPr>
          <w:rFonts w:asciiTheme="minorHAnsi" w:hAnsiTheme="minorHAnsi" w:cstheme="minorHAnsi"/>
          <w:color w:val="000000" w:themeColor="text1"/>
          <w:sz w:val="22"/>
          <w:szCs w:val="22"/>
        </w:rPr>
        <w:t>ředitelem Územního odborného pracoviště v Českých Budějovicích</w:t>
      </w:r>
      <w:r w:rsidR="00C70900" w:rsidRPr="00B9106B">
        <w:rPr>
          <w:rFonts w:asciiTheme="minorHAnsi" w:hAnsiTheme="minorHAnsi" w:cstheme="minorHAnsi"/>
          <w:color w:val="000000" w:themeColor="text1"/>
          <w:sz w:val="22"/>
          <w:szCs w:val="22"/>
        </w:rPr>
        <w:fldChar w:fldCharType="begin"/>
      </w:r>
      <w:r w:rsidRPr="00B9106B">
        <w:rPr>
          <w:rFonts w:asciiTheme="minorHAnsi" w:hAnsiTheme="minorHAnsi" w:cstheme="minorHAnsi"/>
          <w:color w:val="000000" w:themeColor="text1"/>
          <w:sz w:val="22"/>
          <w:szCs w:val="22"/>
        </w:rPr>
        <w:instrText xml:space="preserve"> AUTOTEXTLIST  \s 1  \* MERGEFORMAT </w:instrText>
      </w:r>
      <w:r w:rsidR="00C70900" w:rsidRPr="00B9106B">
        <w:rPr>
          <w:rFonts w:asciiTheme="minorHAnsi" w:hAnsiTheme="minorHAnsi" w:cstheme="minorHAnsi"/>
          <w:color w:val="000000" w:themeColor="text1"/>
          <w:sz w:val="22"/>
          <w:szCs w:val="22"/>
        </w:rPr>
        <w:fldChar w:fldCharType="end"/>
      </w:r>
      <w:r w:rsidR="00C70900" w:rsidRPr="00B9106B">
        <w:rPr>
          <w:rFonts w:asciiTheme="minorHAnsi" w:hAnsiTheme="minorHAnsi" w:cstheme="minorHAnsi"/>
          <w:color w:val="000000" w:themeColor="text1"/>
          <w:sz w:val="22"/>
          <w:szCs w:val="22"/>
        </w:rPr>
        <w:fldChar w:fldCharType="begin"/>
      </w:r>
      <w:r w:rsidRPr="00B9106B">
        <w:rPr>
          <w:rFonts w:asciiTheme="minorHAnsi" w:hAnsiTheme="minorHAnsi" w:cstheme="minorHAnsi"/>
          <w:color w:val="000000" w:themeColor="text1"/>
          <w:sz w:val="22"/>
          <w:szCs w:val="22"/>
        </w:rPr>
        <w:instrText xml:space="preserve"> AUTOTEXTLIST   \* MERGEFORMAT </w:instrText>
      </w:r>
      <w:r w:rsidR="00C70900" w:rsidRPr="00B9106B">
        <w:rPr>
          <w:rFonts w:asciiTheme="minorHAnsi" w:hAnsiTheme="minorHAnsi" w:cstheme="minorHAnsi"/>
          <w:color w:val="000000" w:themeColor="text1"/>
          <w:sz w:val="22"/>
          <w:szCs w:val="22"/>
        </w:rPr>
        <w:fldChar w:fldCharType="end"/>
      </w:r>
      <w:r w:rsidRPr="00B9106B">
        <w:rPr>
          <w:rFonts w:asciiTheme="minorHAnsi" w:hAnsiTheme="minorHAnsi" w:cstheme="minorHAnsi"/>
          <w:color w:val="000000" w:themeColor="text1"/>
          <w:sz w:val="22"/>
          <w:szCs w:val="22"/>
        </w:rPr>
        <w:t>,</w:t>
      </w:r>
    </w:p>
    <w:p w14:paraId="78C4274E" w14:textId="424DF04B" w:rsidR="00C56250" w:rsidRPr="00202AE1" w:rsidRDefault="00000D53" w:rsidP="00C56250">
      <w:pPr>
        <w:rPr>
          <w:rFonts w:asciiTheme="minorHAnsi" w:hAnsiTheme="minorHAnsi" w:cstheme="minorHAnsi"/>
          <w:color w:val="000000" w:themeColor="text1"/>
          <w:sz w:val="22"/>
          <w:szCs w:val="22"/>
        </w:rPr>
      </w:pPr>
      <w:r w:rsidRPr="00B9106B">
        <w:rPr>
          <w:rFonts w:asciiTheme="minorHAnsi" w:hAnsiTheme="minorHAnsi" w:cstheme="minorHAnsi"/>
          <w:color w:val="000000" w:themeColor="text1"/>
          <w:sz w:val="22"/>
          <w:szCs w:val="22"/>
        </w:rPr>
        <w:t>bankovní spojení: Česká národní banka, č. </w:t>
      </w:r>
      <w:proofErr w:type="spellStart"/>
      <w:r w:rsidRPr="00B9106B">
        <w:rPr>
          <w:rFonts w:asciiTheme="minorHAnsi" w:hAnsiTheme="minorHAnsi" w:cstheme="minorHAnsi"/>
          <w:color w:val="000000" w:themeColor="text1"/>
          <w:sz w:val="22"/>
          <w:szCs w:val="22"/>
        </w:rPr>
        <w:t>ú.</w:t>
      </w:r>
      <w:proofErr w:type="spellEnd"/>
      <w:r w:rsidRPr="00B9106B">
        <w:rPr>
          <w:rFonts w:asciiTheme="minorHAnsi" w:hAnsiTheme="minorHAnsi" w:cstheme="minorHAnsi"/>
          <w:color w:val="000000" w:themeColor="text1"/>
          <w:sz w:val="22"/>
          <w:szCs w:val="22"/>
        </w:rPr>
        <w:t xml:space="preserve">: </w:t>
      </w:r>
      <w:r w:rsidR="00B9106B" w:rsidRPr="00B9106B">
        <w:rPr>
          <w:rFonts w:asciiTheme="minorHAnsi" w:hAnsiTheme="minorHAnsi" w:cstheme="minorHAnsi"/>
          <w:color w:val="000000" w:themeColor="text1"/>
          <w:sz w:val="22"/>
          <w:szCs w:val="22"/>
        </w:rPr>
        <w:t>310009-60039011/0710</w:t>
      </w:r>
    </w:p>
    <w:p w14:paraId="1824CDE7"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b/>
          <w:bCs/>
          <w:color w:val="000000" w:themeColor="text1"/>
          <w:sz w:val="22"/>
          <w:szCs w:val="22"/>
        </w:rPr>
        <w:t>Doručovací adresa:</w:t>
      </w:r>
    </w:p>
    <w:p w14:paraId="56FBE66A" w14:textId="5DE2D0D8" w:rsidR="00C56250" w:rsidRPr="00B9106B" w:rsidRDefault="00C56250" w:rsidP="00C56250">
      <w:pPr>
        <w:rPr>
          <w:rFonts w:asciiTheme="minorHAnsi" w:hAnsiTheme="minorHAnsi" w:cstheme="minorHAnsi"/>
          <w:color w:val="000000" w:themeColor="text1"/>
          <w:sz w:val="22"/>
          <w:szCs w:val="22"/>
        </w:rPr>
      </w:pPr>
      <w:r w:rsidRPr="00B9106B">
        <w:rPr>
          <w:rFonts w:asciiTheme="minorHAnsi" w:hAnsiTheme="minorHAnsi" w:cstheme="minorHAnsi"/>
          <w:color w:val="000000" w:themeColor="text1"/>
          <w:sz w:val="22"/>
          <w:szCs w:val="22"/>
        </w:rPr>
        <w:t xml:space="preserve">Národní památkový ústav, </w:t>
      </w:r>
      <w:r w:rsidR="00B9106B" w:rsidRPr="00B9106B">
        <w:rPr>
          <w:rFonts w:asciiTheme="minorHAnsi" w:hAnsiTheme="minorHAnsi" w:cstheme="minorHAnsi"/>
          <w:color w:val="000000" w:themeColor="text1"/>
          <w:sz w:val="22"/>
          <w:szCs w:val="22"/>
        </w:rPr>
        <w:t>Územní odborné pracoviště v Českých Budějovicích</w:t>
      </w:r>
    </w:p>
    <w:p w14:paraId="18C36600" w14:textId="4027D300" w:rsidR="00C56250" w:rsidRPr="00B9106B" w:rsidRDefault="00C56250" w:rsidP="00C56250">
      <w:pPr>
        <w:rPr>
          <w:rFonts w:asciiTheme="minorHAnsi" w:hAnsiTheme="minorHAnsi" w:cstheme="minorHAnsi"/>
          <w:color w:val="000000" w:themeColor="text1"/>
          <w:sz w:val="22"/>
          <w:szCs w:val="22"/>
        </w:rPr>
      </w:pPr>
      <w:r w:rsidRPr="00B9106B">
        <w:rPr>
          <w:rFonts w:asciiTheme="minorHAnsi" w:hAnsiTheme="minorHAnsi" w:cstheme="minorHAnsi"/>
          <w:color w:val="000000" w:themeColor="text1"/>
          <w:sz w:val="22"/>
          <w:szCs w:val="22"/>
        </w:rPr>
        <w:t xml:space="preserve">adresa: </w:t>
      </w:r>
      <w:r w:rsidR="00B9106B" w:rsidRPr="00B9106B">
        <w:rPr>
          <w:rFonts w:asciiTheme="minorHAnsi" w:hAnsiTheme="minorHAnsi" w:cstheme="minorHAnsi"/>
          <w:color w:val="000000" w:themeColor="text1"/>
          <w:sz w:val="22"/>
          <w:szCs w:val="22"/>
        </w:rPr>
        <w:t xml:space="preserve">Senovážné nám. 230/6, 370 </w:t>
      </w:r>
      <w:proofErr w:type="gramStart"/>
      <w:r w:rsidR="00B9106B" w:rsidRPr="00B9106B">
        <w:rPr>
          <w:rFonts w:asciiTheme="minorHAnsi" w:hAnsiTheme="minorHAnsi" w:cstheme="minorHAnsi"/>
          <w:color w:val="000000" w:themeColor="text1"/>
          <w:sz w:val="22"/>
          <w:szCs w:val="22"/>
        </w:rPr>
        <w:t>21  České</w:t>
      </w:r>
      <w:proofErr w:type="gramEnd"/>
      <w:r w:rsidR="00B9106B" w:rsidRPr="00B9106B">
        <w:rPr>
          <w:rFonts w:asciiTheme="minorHAnsi" w:hAnsiTheme="minorHAnsi" w:cstheme="minorHAnsi"/>
          <w:color w:val="000000" w:themeColor="text1"/>
          <w:sz w:val="22"/>
          <w:szCs w:val="22"/>
        </w:rPr>
        <w:t xml:space="preserve"> Budějovice</w:t>
      </w:r>
    </w:p>
    <w:p w14:paraId="1B2CBA49" w14:textId="2FE36FFB" w:rsidR="00C56250" w:rsidRPr="00202AE1" w:rsidRDefault="00C56250" w:rsidP="00C56250">
      <w:pPr>
        <w:rPr>
          <w:rFonts w:asciiTheme="minorHAnsi" w:hAnsiTheme="minorHAnsi" w:cstheme="minorHAnsi"/>
          <w:color w:val="000000" w:themeColor="text1"/>
          <w:sz w:val="22"/>
          <w:szCs w:val="22"/>
        </w:rPr>
      </w:pPr>
      <w:r w:rsidRPr="00B9106B">
        <w:rPr>
          <w:rFonts w:asciiTheme="minorHAnsi" w:hAnsiTheme="minorHAnsi" w:cstheme="minorHAnsi"/>
          <w:color w:val="000000" w:themeColor="text1"/>
          <w:sz w:val="22"/>
          <w:szCs w:val="22"/>
        </w:rPr>
        <w:t xml:space="preserve">tel.: </w:t>
      </w:r>
      <w:r w:rsidR="00B9106B" w:rsidRPr="00B9106B">
        <w:rPr>
          <w:rFonts w:asciiTheme="minorHAnsi" w:hAnsiTheme="minorHAnsi" w:cstheme="minorHAnsi"/>
          <w:color w:val="000000" w:themeColor="text1"/>
          <w:sz w:val="22"/>
          <w:szCs w:val="22"/>
        </w:rPr>
        <w:t>+420 387 312 140</w:t>
      </w:r>
      <w:r w:rsidRPr="00B9106B">
        <w:rPr>
          <w:rFonts w:asciiTheme="minorHAnsi" w:hAnsiTheme="minorHAnsi" w:cstheme="minorHAnsi"/>
          <w:color w:val="000000" w:themeColor="text1"/>
          <w:sz w:val="22"/>
          <w:szCs w:val="22"/>
        </w:rPr>
        <w:t xml:space="preserve">, e-mail: </w:t>
      </w:r>
      <w:r w:rsidR="00B9106B" w:rsidRPr="00B9106B">
        <w:rPr>
          <w:rFonts w:asciiTheme="minorHAnsi" w:hAnsiTheme="minorHAnsi" w:cstheme="minorHAnsi"/>
          <w:color w:val="000000" w:themeColor="text1"/>
          <w:sz w:val="22"/>
          <w:szCs w:val="22"/>
        </w:rPr>
        <w:t>sekretariat.cb@npu.cz</w:t>
      </w:r>
    </w:p>
    <w:p w14:paraId="1DF34369" w14:textId="3B0CD2A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3D385C32" w14:textId="77777777" w:rsidR="00B9106B" w:rsidRDefault="00B9106B" w:rsidP="00C56250">
      <w:pPr>
        <w:rPr>
          <w:rFonts w:asciiTheme="minorHAnsi" w:hAnsiTheme="minorHAnsi" w:cstheme="minorHAnsi"/>
          <w:b/>
          <w:color w:val="000000" w:themeColor="text1"/>
          <w:sz w:val="22"/>
          <w:szCs w:val="22"/>
        </w:rPr>
      </w:pPr>
      <w:r w:rsidRPr="00B9106B">
        <w:rPr>
          <w:rFonts w:asciiTheme="minorHAnsi" w:hAnsiTheme="minorHAnsi" w:cstheme="minorHAnsi"/>
          <w:b/>
          <w:color w:val="000000" w:themeColor="text1"/>
          <w:sz w:val="22"/>
          <w:szCs w:val="22"/>
        </w:rPr>
        <w:t xml:space="preserve">Konica Minolta Business </w:t>
      </w:r>
      <w:proofErr w:type="spellStart"/>
      <w:r w:rsidRPr="00B9106B">
        <w:rPr>
          <w:rFonts w:asciiTheme="minorHAnsi" w:hAnsiTheme="minorHAnsi" w:cstheme="minorHAnsi"/>
          <w:b/>
          <w:color w:val="000000" w:themeColor="text1"/>
          <w:sz w:val="22"/>
          <w:szCs w:val="22"/>
        </w:rPr>
        <w:t>Solutions</w:t>
      </w:r>
      <w:proofErr w:type="spellEnd"/>
      <w:r w:rsidRPr="00B9106B">
        <w:rPr>
          <w:rFonts w:asciiTheme="minorHAnsi" w:hAnsiTheme="minorHAnsi" w:cstheme="minorHAnsi"/>
          <w:b/>
          <w:color w:val="000000" w:themeColor="text1"/>
          <w:sz w:val="22"/>
          <w:szCs w:val="22"/>
        </w:rPr>
        <w:t xml:space="preserve"> Czech, spol. s r. o.</w:t>
      </w:r>
    </w:p>
    <w:p w14:paraId="44FEFE55" w14:textId="29396515" w:rsidR="00C56250" w:rsidRPr="00515FED" w:rsidRDefault="00C56250" w:rsidP="00C56250">
      <w:pPr>
        <w:rPr>
          <w:rFonts w:asciiTheme="minorHAnsi" w:hAnsiTheme="minorHAnsi" w:cstheme="minorHAnsi"/>
          <w:b/>
          <w:color w:val="000000" w:themeColor="text1"/>
          <w:sz w:val="22"/>
          <w:szCs w:val="22"/>
        </w:rPr>
      </w:pPr>
      <w:r w:rsidRPr="00515FED">
        <w:rPr>
          <w:rFonts w:asciiTheme="minorHAnsi" w:hAnsiTheme="minorHAnsi" w:cstheme="minorHAnsi"/>
          <w:b/>
          <w:color w:val="000000" w:themeColor="text1"/>
          <w:sz w:val="22"/>
          <w:szCs w:val="22"/>
        </w:rPr>
        <w:t>zapsaný/á v obchodní rejstříku</w:t>
      </w:r>
      <w:r w:rsidR="00B9106B" w:rsidRPr="00515FED">
        <w:rPr>
          <w:rFonts w:asciiTheme="minorHAnsi" w:hAnsiTheme="minorHAnsi" w:cstheme="minorHAnsi"/>
          <w:b/>
          <w:color w:val="000000" w:themeColor="text1"/>
          <w:sz w:val="22"/>
          <w:szCs w:val="22"/>
        </w:rPr>
        <w:t>: u Krajského soudu v Brně, spis. Zn.:</w:t>
      </w:r>
      <w:r w:rsidR="00B9106B" w:rsidRPr="00515FED">
        <w:rPr>
          <w:rFonts w:asciiTheme="minorHAnsi" w:hAnsiTheme="minorHAnsi" w:cstheme="minorHAnsi"/>
          <w:b/>
          <w:color w:val="000000" w:themeColor="text1"/>
          <w:sz w:val="22"/>
          <w:szCs w:val="22"/>
        </w:rPr>
        <w:tab/>
        <w:t xml:space="preserve">C 21999 </w:t>
      </w:r>
    </w:p>
    <w:p w14:paraId="67AEA9BF" w14:textId="122645C2" w:rsidR="00D41D41" w:rsidRPr="00515FED" w:rsidRDefault="00D41D41" w:rsidP="00D41D41">
      <w:pPr>
        <w:rPr>
          <w:rFonts w:asciiTheme="minorHAnsi" w:hAnsiTheme="minorHAnsi" w:cstheme="minorHAnsi"/>
          <w:color w:val="000000" w:themeColor="text1"/>
          <w:sz w:val="22"/>
          <w:szCs w:val="22"/>
        </w:rPr>
      </w:pPr>
      <w:r w:rsidRPr="00515FED">
        <w:rPr>
          <w:rFonts w:asciiTheme="minorHAnsi" w:hAnsiTheme="minorHAnsi" w:cstheme="minorHAnsi"/>
          <w:color w:val="000000" w:themeColor="text1"/>
          <w:sz w:val="22"/>
          <w:szCs w:val="22"/>
        </w:rPr>
        <w:t xml:space="preserve">IČO: </w:t>
      </w:r>
      <w:r w:rsidR="00B9106B" w:rsidRPr="00515FED">
        <w:rPr>
          <w:rFonts w:asciiTheme="minorHAnsi" w:hAnsiTheme="minorHAnsi" w:cstheme="minorHAnsi"/>
          <w:color w:val="000000" w:themeColor="text1"/>
          <w:sz w:val="22"/>
          <w:szCs w:val="22"/>
        </w:rPr>
        <w:t>00176150</w:t>
      </w:r>
      <w:r w:rsidRPr="00515FED">
        <w:rPr>
          <w:rFonts w:asciiTheme="minorHAnsi" w:hAnsiTheme="minorHAnsi" w:cstheme="minorHAnsi"/>
          <w:color w:val="000000" w:themeColor="text1"/>
          <w:sz w:val="22"/>
          <w:szCs w:val="22"/>
        </w:rPr>
        <w:t>, DIČ:</w:t>
      </w:r>
      <w:r w:rsidR="00183274" w:rsidRPr="00515FED">
        <w:rPr>
          <w:rFonts w:asciiTheme="minorHAnsi" w:hAnsiTheme="minorHAnsi" w:cstheme="minorHAnsi"/>
          <w:color w:val="000000" w:themeColor="text1"/>
          <w:sz w:val="22"/>
          <w:szCs w:val="22"/>
        </w:rPr>
        <w:t xml:space="preserve"> CZ00176150</w:t>
      </w:r>
    </w:p>
    <w:p w14:paraId="056FD9CD" w14:textId="31AEE0ED" w:rsidR="00C56250" w:rsidRPr="00515FED" w:rsidRDefault="00C56250" w:rsidP="00C56250">
      <w:pPr>
        <w:rPr>
          <w:rFonts w:asciiTheme="minorHAnsi" w:hAnsiTheme="minorHAnsi" w:cstheme="minorHAnsi"/>
          <w:color w:val="000000" w:themeColor="text1"/>
          <w:sz w:val="22"/>
          <w:szCs w:val="22"/>
        </w:rPr>
      </w:pPr>
      <w:r w:rsidRPr="00515FED">
        <w:rPr>
          <w:rFonts w:asciiTheme="minorHAnsi" w:hAnsiTheme="minorHAnsi" w:cstheme="minorHAnsi"/>
          <w:color w:val="000000" w:themeColor="text1"/>
          <w:sz w:val="22"/>
          <w:szCs w:val="22"/>
        </w:rPr>
        <w:t xml:space="preserve">se sídlem: </w:t>
      </w:r>
      <w:r w:rsidR="00183274" w:rsidRPr="00515FED">
        <w:rPr>
          <w:rFonts w:asciiTheme="minorHAnsi" w:hAnsiTheme="minorHAnsi" w:cstheme="minorHAnsi"/>
          <w:color w:val="000000" w:themeColor="text1"/>
          <w:sz w:val="22"/>
          <w:szCs w:val="22"/>
        </w:rPr>
        <w:t>Žarošická 4395/13, Židenice, 62800 Brno</w:t>
      </w:r>
    </w:p>
    <w:p w14:paraId="292A8F9C" w14:textId="4AC21C84" w:rsidR="00C56250" w:rsidRPr="00202AE1" w:rsidRDefault="00C56250" w:rsidP="00C56250">
      <w:pPr>
        <w:rPr>
          <w:rFonts w:asciiTheme="minorHAnsi" w:hAnsiTheme="minorHAnsi" w:cstheme="minorHAnsi"/>
          <w:color w:val="000000" w:themeColor="text1"/>
          <w:sz w:val="22"/>
          <w:szCs w:val="22"/>
          <w:highlight w:val="lightGray"/>
        </w:rPr>
      </w:pPr>
      <w:r w:rsidRPr="00515FED">
        <w:rPr>
          <w:rFonts w:asciiTheme="minorHAnsi" w:hAnsiTheme="minorHAnsi" w:cstheme="minorHAnsi"/>
          <w:color w:val="000000" w:themeColor="text1"/>
          <w:sz w:val="22"/>
          <w:szCs w:val="22"/>
        </w:rPr>
        <w:t xml:space="preserve">zastoupen: </w:t>
      </w:r>
      <w:r w:rsidR="00183274" w:rsidRPr="00515FED">
        <w:rPr>
          <w:rFonts w:asciiTheme="minorHAnsi" w:hAnsiTheme="minorHAnsi" w:cstheme="minorHAnsi"/>
          <w:color w:val="000000" w:themeColor="text1"/>
          <w:sz w:val="22"/>
          <w:szCs w:val="22"/>
        </w:rPr>
        <w:t>Ing. Pavlem Čurdou</w:t>
      </w:r>
      <w:r w:rsidR="00183274" w:rsidRPr="00183274">
        <w:rPr>
          <w:rFonts w:asciiTheme="minorHAnsi" w:hAnsiTheme="minorHAnsi" w:cstheme="minorHAnsi"/>
          <w:color w:val="000000" w:themeColor="text1"/>
          <w:sz w:val="22"/>
          <w:szCs w:val="22"/>
        </w:rPr>
        <w:t>, generálním ředitelem</w:t>
      </w:r>
    </w:p>
    <w:p w14:paraId="60D41349" w14:textId="228A0C62" w:rsidR="00847E69" w:rsidRPr="00202AE1" w:rsidRDefault="00847E69" w:rsidP="00C56250">
      <w:pPr>
        <w:rPr>
          <w:rFonts w:asciiTheme="minorHAnsi" w:hAnsiTheme="minorHAnsi" w:cstheme="minorHAnsi"/>
          <w:color w:val="000000" w:themeColor="text1"/>
          <w:sz w:val="22"/>
          <w:szCs w:val="22"/>
        </w:rPr>
      </w:pPr>
      <w:r w:rsidRPr="00A30CB9">
        <w:rPr>
          <w:rFonts w:asciiTheme="minorHAnsi" w:hAnsiTheme="minorHAnsi" w:cstheme="minorHAnsi"/>
          <w:color w:val="000000" w:themeColor="text1"/>
          <w:sz w:val="22"/>
          <w:szCs w:val="22"/>
        </w:rPr>
        <w:t xml:space="preserve">bankovní spojení: </w:t>
      </w:r>
      <w:r w:rsidR="00A30CB9" w:rsidRPr="00A30CB9">
        <w:rPr>
          <w:rFonts w:asciiTheme="minorHAnsi" w:hAnsiTheme="minorHAnsi" w:cstheme="minorHAnsi"/>
          <w:color w:val="000000" w:themeColor="text1"/>
          <w:sz w:val="22"/>
          <w:szCs w:val="22"/>
        </w:rPr>
        <w:t xml:space="preserve">Citibank </w:t>
      </w:r>
      <w:proofErr w:type="spellStart"/>
      <w:r w:rsidR="00A30CB9" w:rsidRPr="00A30CB9">
        <w:rPr>
          <w:rFonts w:asciiTheme="minorHAnsi" w:hAnsiTheme="minorHAnsi" w:cstheme="minorHAnsi"/>
          <w:color w:val="000000" w:themeColor="text1"/>
          <w:sz w:val="22"/>
          <w:szCs w:val="22"/>
        </w:rPr>
        <w:t>Europe</w:t>
      </w:r>
      <w:proofErr w:type="spellEnd"/>
      <w:r w:rsidRPr="00A30CB9">
        <w:rPr>
          <w:rFonts w:asciiTheme="minorHAnsi" w:hAnsiTheme="minorHAnsi" w:cstheme="minorHAnsi"/>
          <w:color w:val="000000" w:themeColor="text1"/>
          <w:sz w:val="22"/>
          <w:szCs w:val="22"/>
        </w:rPr>
        <w:t>, č. </w:t>
      </w:r>
      <w:proofErr w:type="spellStart"/>
      <w:r w:rsidRPr="00A30CB9">
        <w:rPr>
          <w:rFonts w:asciiTheme="minorHAnsi" w:hAnsiTheme="minorHAnsi" w:cstheme="minorHAnsi"/>
          <w:color w:val="000000" w:themeColor="text1"/>
          <w:sz w:val="22"/>
          <w:szCs w:val="22"/>
        </w:rPr>
        <w:t>ú.</w:t>
      </w:r>
      <w:proofErr w:type="spellEnd"/>
      <w:r w:rsidRPr="00A30CB9">
        <w:rPr>
          <w:rFonts w:asciiTheme="minorHAnsi" w:hAnsiTheme="minorHAnsi" w:cstheme="minorHAnsi"/>
          <w:color w:val="000000" w:themeColor="text1"/>
          <w:sz w:val="22"/>
          <w:szCs w:val="22"/>
        </w:rPr>
        <w:t xml:space="preserve">: </w:t>
      </w:r>
      <w:r w:rsidR="00A30CB9" w:rsidRPr="00A30CB9">
        <w:rPr>
          <w:rFonts w:asciiTheme="minorHAnsi" w:hAnsiTheme="minorHAnsi" w:cstheme="minorHAnsi"/>
          <w:color w:val="000000" w:themeColor="text1"/>
          <w:sz w:val="22"/>
          <w:szCs w:val="22"/>
        </w:rPr>
        <w:t>2550460107/2600</w:t>
      </w:r>
    </w:p>
    <w:p w14:paraId="42F4B987" w14:textId="1BB0A68B"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68404A2" w14:textId="77777777" w:rsidR="00FD66C6" w:rsidRPr="00202AE1"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07EA1CDC" w:rsidR="00202AE1" w:rsidRPr="00202AE1"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Předmětem plnění této smlouvy je dodávka </w:t>
      </w:r>
      <w:r w:rsidR="00515FED" w:rsidRPr="00515FED">
        <w:rPr>
          <w:rFonts w:asciiTheme="minorHAnsi" w:hAnsiTheme="minorHAnsi" w:cstheme="minorHAnsi"/>
          <w:sz w:val="22"/>
          <w:szCs w:val="22"/>
        </w:rPr>
        <w:t>1</w:t>
      </w:r>
      <w:r w:rsidR="009970D6" w:rsidRPr="00515FED">
        <w:rPr>
          <w:rFonts w:asciiTheme="minorHAnsi" w:hAnsiTheme="minorHAnsi" w:cstheme="minorHAnsi"/>
          <w:sz w:val="22"/>
          <w:szCs w:val="22"/>
        </w:rPr>
        <w:t xml:space="preserve"> kus</w:t>
      </w:r>
      <w:r w:rsidR="00515FED" w:rsidRPr="00515FED">
        <w:rPr>
          <w:rFonts w:asciiTheme="minorHAnsi" w:hAnsiTheme="minorHAnsi" w:cstheme="minorHAnsi"/>
          <w:sz w:val="22"/>
          <w:szCs w:val="22"/>
        </w:rPr>
        <w:t>u</w:t>
      </w:r>
      <w:r w:rsidR="00515FED">
        <w:rPr>
          <w:rFonts w:asciiTheme="minorHAnsi" w:hAnsiTheme="minorHAnsi" w:cstheme="minorHAnsi"/>
          <w:sz w:val="22"/>
          <w:szCs w:val="22"/>
        </w:rPr>
        <w:t xml:space="preserve"> tiskárny</w:t>
      </w:r>
      <w:r w:rsidRPr="00202AE1">
        <w:rPr>
          <w:rFonts w:asciiTheme="minorHAnsi" w:hAnsiTheme="minorHAnsi" w:cstheme="minorHAnsi"/>
          <w:sz w:val="22"/>
          <w:szCs w:val="22"/>
        </w:rPr>
        <w:t xml:space="preserve"> včetně </w:t>
      </w:r>
      <w:r w:rsidR="004961D6">
        <w:rPr>
          <w:rFonts w:asciiTheme="minorHAnsi" w:hAnsiTheme="minorHAnsi" w:cstheme="minorHAnsi"/>
          <w:color w:val="000000" w:themeColor="text1"/>
          <w:sz w:val="22"/>
          <w:szCs w:val="22"/>
        </w:rPr>
        <w:t>SW licencí a příslušenství,</w:t>
      </w:r>
      <w:r w:rsidR="004961D6" w:rsidRPr="00202AE1">
        <w:rPr>
          <w:rFonts w:asciiTheme="minorHAnsi" w:hAnsiTheme="minorHAnsi" w:cstheme="minorHAnsi"/>
          <w:sz w:val="22"/>
          <w:szCs w:val="22"/>
        </w:rPr>
        <w:t xml:space="preserve"> </w:t>
      </w:r>
      <w:r w:rsidRPr="00202AE1">
        <w:rPr>
          <w:rFonts w:asciiTheme="minorHAnsi" w:hAnsiTheme="minorHAnsi" w:cstheme="minorHAnsi"/>
          <w:sz w:val="22"/>
          <w:szCs w:val="22"/>
        </w:rPr>
        <w:t>dopravy do</w:t>
      </w:r>
      <w:r w:rsidR="00726FD9">
        <w:rPr>
          <w:rFonts w:asciiTheme="minorHAnsi" w:hAnsiTheme="minorHAnsi" w:cstheme="minorHAnsi"/>
          <w:sz w:val="22"/>
          <w:szCs w:val="22"/>
        </w:rPr>
        <w:t> </w:t>
      </w:r>
      <w:r w:rsidR="002A649B">
        <w:rPr>
          <w:rFonts w:asciiTheme="minorHAnsi" w:hAnsiTheme="minorHAnsi" w:cstheme="minorHAnsi"/>
          <w:sz w:val="22"/>
          <w:szCs w:val="22"/>
        </w:rPr>
        <w:t>M</w:t>
      </w:r>
      <w:r w:rsidRPr="00202AE1">
        <w:rPr>
          <w:rFonts w:asciiTheme="minorHAnsi" w:hAnsiTheme="minorHAnsi" w:cstheme="minorHAnsi"/>
          <w:sz w:val="22"/>
          <w:szCs w:val="22"/>
        </w:rPr>
        <w:t>ísta plnění</w:t>
      </w:r>
      <w:r w:rsidR="00291E69">
        <w:rPr>
          <w:rFonts w:asciiTheme="minorHAnsi" w:hAnsiTheme="minorHAnsi" w:cstheme="minorHAnsi"/>
          <w:sz w:val="22"/>
          <w:szCs w:val="22"/>
        </w:rPr>
        <w:t xml:space="preserve"> a instalace</w:t>
      </w:r>
      <w:r w:rsidRPr="00202AE1">
        <w:rPr>
          <w:rFonts w:asciiTheme="minorHAnsi" w:hAnsiTheme="minorHAnsi" w:cstheme="minorHAnsi"/>
          <w:sz w:val="22"/>
          <w:szCs w:val="22"/>
        </w:rPr>
        <w:t xml:space="preserve"> (dále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006F44A2" w:rsidRPr="006F44A2">
        <w:rPr>
          <w:rFonts w:asciiTheme="minorHAnsi" w:hAnsiTheme="minorHAnsi" w:cstheme="minorHAnsi"/>
          <w:sz w:val="22"/>
          <w:szCs w:val="22"/>
        </w:rPr>
        <w:t>specifikov</w:t>
      </w:r>
      <w:r w:rsidR="00062623">
        <w:rPr>
          <w:rFonts w:asciiTheme="minorHAnsi" w:hAnsiTheme="minorHAnsi" w:cstheme="minorHAnsi"/>
          <w:sz w:val="22"/>
          <w:szCs w:val="22"/>
        </w:rPr>
        <w:t>án</w:t>
      </w:r>
      <w:r w:rsidR="006F44A2" w:rsidRPr="006F44A2">
        <w:rPr>
          <w:rFonts w:asciiTheme="minorHAnsi" w:hAnsiTheme="minorHAnsi" w:cstheme="minorHAnsi"/>
          <w:sz w:val="22"/>
          <w:szCs w:val="22"/>
        </w:rPr>
        <w:t xml:space="preserve"> podrobněji v dalších částech této </w:t>
      </w:r>
      <w:r w:rsidR="00062623">
        <w:rPr>
          <w:rFonts w:asciiTheme="minorHAnsi" w:hAnsiTheme="minorHAnsi" w:cstheme="minorHAnsi"/>
          <w:sz w:val="22"/>
          <w:szCs w:val="22"/>
        </w:rPr>
        <w:t>s</w:t>
      </w:r>
      <w:r w:rsidR="006F44A2" w:rsidRPr="006F44A2">
        <w:rPr>
          <w:rFonts w:asciiTheme="minorHAnsi" w:hAnsiTheme="minorHAnsi" w:cstheme="minorHAnsi"/>
          <w:sz w:val="22"/>
          <w:szCs w:val="22"/>
        </w:rPr>
        <w:t xml:space="preserve">mlouvy, zejména v Příloze </w:t>
      </w:r>
      <w:r w:rsidR="00062623">
        <w:rPr>
          <w:rFonts w:asciiTheme="minorHAnsi" w:hAnsiTheme="minorHAnsi" w:cstheme="minorHAnsi"/>
          <w:sz w:val="22"/>
          <w:szCs w:val="22"/>
        </w:rPr>
        <w:t>1</w:t>
      </w:r>
      <w:r w:rsidR="0093164E">
        <w:rPr>
          <w:rFonts w:asciiTheme="minorHAnsi" w:hAnsiTheme="minorHAnsi" w:cstheme="minorHAnsi"/>
          <w:sz w:val="22"/>
          <w:szCs w:val="22"/>
        </w:rPr>
        <w:t>:</w:t>
      </w:r>
      <w:r w:rsidR="006F44A2" w:rsidRPr="006F44A2">
        <w:rPr>
          <w:rFonts w:asciiTheme="minorHAnsi" w:hAnsiTheme="minorHAnsi" w:cstheme="minorHAnsi"/>
          <w:sz w:val="22"/>
          <w:szCs w:val="22"/>
        </w:rPr>
        <w:t xml:space="preserve"> Technick</w:t>
      </w:r>
      <w:r w:rsidR="00062623">
        <w:rPr>
          <w:rFonts w:asciiTheme="minorHAnsi" w:hAnsiTheme="minorHAnsi" w:cstheme="minorHAnsi"/>
          <w:sz w:val="22"/>
          <w:szCs w:val="22"/>
        </w:rPr>
        <w:t>á</w:t>
      </w:r>
      <w:r w:rsidR="006F44A2" w:rsidRPr="006F44A2">
        <w:rPr>
          <w:rFonts w:asciiTheme="minorHAnsi" w:hAnsiTheme="minorHAnsi" w:cstheme="minorHAnsi"/>
          <w:sz w:val="22"/>
          <w:szCs w:val="22"/>
        </w:rPr>
        <w:t xml:space="preserve"> </w:t>
      </w:r>
      <w:r w:rsidR="00062623">
        <w:rPr>
          <w:rFonts w:asciiTheme="minorHAnsi" w:hAnsiTheme="minorHAnsi" w:cstheme="minorHAnsi"/>
          <w:sz w:val="22"/>
          <w:szCs w:val="22"/>
        </w:rPr>
        <w:t>specifikace</w:t>
      </w:r>
      <w:r w:rsidR="00385EC5">
        <w:rPr>
          <w:rFonts w:asciiTheme="minorHAnsi" w:hAnsiTheme="minorHAnsi" w:cstheme="minorHAnsi"/>
          <w:sz w:val="22"/>
          <w:szCs w:val="22"/>
        </w:rPr>
        <w:t xml:space="preserve"> </w:t>
      </w:r>
      <w:r w:rsidR="00385EC5" w:rsidRPr="00515FED">
        <w:rPr>
          <w:rFonts w:asciiTheme="minorHAnsi" w:hAnsiTheme="minorHAnsi" w:cstheme="minorHAnsi"/>
          <w:sz w:val="22"/>
          <w:szCs w:val="22"/>
        </w:rPr>
        <w:t>a v příloze č. 2: Položkový rozpočet</w:t>
      </w:r>
      <w:r w:rsidR="00062623">
        <w:rPr>
          <w:rFonts w:asciiTheme="minorHAnsi" w:hAnsiTheme="minorHAnsi" w:cstheme="minorHAnsi"/>
          <w:sz w:val="22"/>
          <w:szCs w:val="22"/>
        </w:rPr>
        <w:t xml:space="preserve">. </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 xml:space="preserve">v případě prodlení jedné Smluvní strany </w:t>
      </w:r>
      <w:r w:rsidRPr="000C30F8">
        <w:rPr>
          <w:rFonts w:asciiTheme="minorHAnsi" w:hAnsiTheme="minorHAnsi" w:cstheme="minorHAnsi"/>
          <w:sz w:val="22"/>
          <w:szCs w:val="22"/>
        </w:rPr>
        <w:lastRenderedPageBreak/>
        <w:t>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3E4EBB3D" w14:textId="77777777" w:rsidR="00515FED" w:rsidRDefault="00202AE1" w:rsidP="00A30CB9">
      <w:pPr>
        <w:widowControl w:val="0"/>
        <w:numPr>
          <w:ilvl w:val="0"/>
          <w:numId w:val="5"/>
        </w:numPr>
        <w:autoSpaceDE w:val="0"/>
        <w:autoSpaceDN w:val="0"/>
        <w:spacing w:after="120" w:line="240" w:lineRule="atLeast"/>
        <w:ind w:left="567" w:hanging="709"/>
        <w:jc w:val="both"/>
        <w:rPr>
          <w:rFonts w:asciiTheme="minorHAnsi" w:hAnsiTheme="minorHAnsi" w:cstheme="minorHAnsi"/>
          <w:sz w:val="22"/>
          <w:szCs w:val="22"/>
        </w:rPr>
      </w:pPr>
      <w:r w:rsidRPr="00515FED">
        <w:rPr>
          <w:rFonts w:asciiTheme="minorHAnsi" w:hAnsiTheme="minorHAnsi" w:cstheme="minorHAnsi"/>
          <w:sz w:val="22"/>
          <w:szCs w:val="22"/>
        </w:rPr>
        <w:t xml:space="preserve">Smluvní strany se dohodly, že cena Předmětu plnění </w:t>
      </w:r>
      <w:r w:rsidR="00736060" w:rsidRPr="00515FED">
        <w:rPr>
          <w:rFonts w:asciiTheme="minorHAnsi" w:hAnsiTheme="minorHAnsi" w:cstheme="minorHAnsi"/>
          <w:sz w:val="22"/>
          <w:szCs w:val="22"/>
        </w:rPr>
        <w:t xml:space="preserve">je stanovena Prodávajícím na základě </w:t>
      </w:r>
      <w:r w:rsidR="00515FED" w:rsidRPr="00515FED">
        <w:rPr>
          <w:rFonts w:asciiTheme="minorHAnsi" w:hAnsiTheme="minorHAnsi" w:cstheme="minorHAnsi"/>
          <w:sz w:val="22"/>
          <w:szCs w:val="22"/>
        </w:rPr>
        <w:t>cenové nabídky číslo QU2-</w:t>
      </w:r>
      <w:proofErr w:type="gramStart"/>
      <w:r w:rsidR="00515FED" w:rsidRPr="00515FED">
        <w:rPr>
          <w:rFonts w:asciiTheme="minorHAnsi" w:hAnsiTheme="minorHAnsi" w:cstheme="minorHAnsi"/>
          <w:sz w:val="22"/>
          <w:szCs w:val="22"/>
        </w:rPr>
        <w:t>793891-V7K2J0</w:t>
      </w:r>
      <w:proofErr w:type="gramEnd"/>
      <w:r w:rsidR="00515FED" w:rsidRPr="00515FED">
        <w:rPr>
          <w:rFonts w:asciiTheme="minorHAnsi" w:hAnsiTheme="minorHAnsi" w:cstheme="minorHAnsi"/>
          <w:sz w:val="22"/>
          <w:szCs w:val="22"/>
        </w:rPr>
        <w:t xml:space="preserve">|0 ze dne 8.9.2025 a </w:t>
      </w:r>
      <w:r w:rsidR="00515FED">
        <w:rPr>
          <w:rFonts w:asciiTheme="minorHAnsi" w:hAnsiTheme="minorHAnsi" w:cstheme="minorHAnsi"/>
          <w:sz w:val="22"/>
          <w:szCs w:val="22"/>
        </w:rPr>
        <w:t>činí:</w:t>
      </w:r>
    </w:p>
    <w:p w14:paraId="2D27B0A0" w14:textId="6D29CBD6" w:rsidR="009A5D55" w:rsidRDefault="009A5D55" w:rsidP="00515FED">
      <w:pPr>
        <w:widowControl w:val="0"/>
        <w:autoSpaceDE w:val="0"/>
        <w:autoSpaceDN w:val="0"/>
        <w:spacing w:after="120" w:line="240" w:lineRule="atLeast"/>
        <w:ind w:left="1145"/>
        <w:jc w:val="both"/>
        <w:rPr>
          <w:rFonts w:asciiTheme="minorHAnsi" w:hAnsiTheme="minorHAnsi" w:cstheme="minorHAnsi"/>
          <w:sz w:val="22"/>
          <w:szCs w:val="22"/>
        </w:rPr>
      </w:pPr>
      <w:r w:rsidRPr="00515FED">
        <w:rPr>
          <w:rFonts w:asciiTheme="minorHAnsi" w:hAnsiTheme="minorHAnsi" w:cstheme="minorHAnsi"/>
          <w:sz w:val="22"/>
          <w:szCs w:val="22"/>
        </w:rPr>
        <w:t xml:space="preserve">celková výše </w:t>
      </w:r>
      <w:r w:rsidR="00A30CB9">
        <w:rPr>
          <w:rFonts w:asciiTheme="minorHAnsi" w:hAnsiTheme="minorHAnsi" w:cstheme="minorHAnsi"/>
          <w:sz w:val="22"/>
          <w:szCs w:val="22"/>
        </w:rPr>
        <w:t>73.280,-</w:t>
      </w:r>
      <w:r w:rsidRPr="00515FED">
        <w:rPr>
          <w:rFonts w:asciiTheme="minorHAnsi" w:hAnsiTheme="minorHAnsi" w:cstheme="minorHAnsi"/>
          <w:sz w:val="22"/>
          <w:szCs w:val="22"/>
        </w:rPr>
        <w:t xml:space="preserve"> Kč </w:t>
      </w:r>
      <w:r w:rsidR="00291E69">
        <w:rPr>
          <w:rFonts w:asciiTheme="minorHAnsi" w:hAnsiTheme="minorHAnsi" w:cstheme="minorHAnsi"/>
          <w:sz w:val="22"/>
          <w:szCs w:val="22"/>
        </w:rPr>
        <w:t xml:space="preserve">bez DPH </w:t>
      </w:r>
    </w:p>
    <w:p w14:paraId="37F73DA5" w14:textId="77777777" w:rsidR="00291E69" w:rsidRDefault="00291E69" w:rsidP="00291E69">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DPH ve výši </w:t>
      </w:r>
      <w:r w:rsidRPr="00291E69">
        <w:rPr>
          <w:rFonts w:asciiTheme="minorHAnsi" w:hAnsiTheme="minorHAnsi" w:cstheme="minorHAnsi"/>
          <w:sz w:val="22"/>
          <w:szCs w:val="22"/>
        </w:rPr>
        <w:t>15 388,8</w:t>
      </w:r>
      <w:r>
        <w:rPr>
          <w:rFonts w:asciiTheme="minorHAnsi" w:hAnsiTheme="minorHAnsi" w:cstheme="minorHAnsi"/>
          <w:sz w:val="22"/>
          <w:szCs w:val="22"/>
        </w:rPr>
        <w:t>0 Kč</w:t>
      </w:r>
    </w:p>
    <w:p w14:paraId="2304AABA" w14:textId="1031C3E9" w:rsidR="00291E69" w:rsidRPr="00736060" w:rsidRDefault="00291E69" w:rsidP="00291E69">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celková cena ve výši </w:t>
      </w:r>
      <w:r w:rsidRPr="00291E69">
        <w:rPr>
          <w:rFonts w:asciiTheme="minorHAnsi" w:hAnsiTheme="minorHAnsi" w:cstheme="minorHAnsi"/>
          <w:sz w:val="22"/>
          <w:szCs w:val="22"/>
        </w:rPr>
        <w:t>88 668,8</w:t>
      </w:r>
      <w:r>
        <w:rPr>
          <w:rFonts w:asciiTheme="minorHAnsi" w:hAnsiTheme="minorHAnsi" w:cstheme="minorHAnsi"/>
          <w:sz w:val="22"/>
          <w:szCs w:val="22"/>
        </w:rPr>
        <w:t xml:space="preserve">0 Kč včetně DPH. </w:t>
      </w:r>
    </w:p>
    <w:p w14:paraId="531D4B83" w14:textId="15B7E52A"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 </w:t>
      </w:r>
      <w:r w:rsidR="00515FED">
        <w:rPr>
          <w:rFonts w:asciiTheme="minorHAnsi" w:eastAsia="Times New Roman" w:hAnsiTheme="minorHAnsi" w:cstheme="minorHAnsi"/>
          <w:sz w:val="22"/>
          <w:lang w:eastAsia="cs-CZ"/>
        </w:rPr>
        <w:t>je</w:t>
      </w:r>
      <w:r w:rsidRPr="005144A3">
        <w:rPr>
          <w:rFonts w:asciiTheme="minorHAnsi" w:eastAsia="Times New Roman" w:hAnsiTheme="minorHAnsi" w:cstheme="minorHAnsi"/>
          <w:sz w:val="22"/>
          <w:lang w:eastAsia="cs-CZ"/>
        </w:rPr>
        <w:t xml:space="preserve"> plátcem DPH. K</w:t>
      </w:r>
      <w:r>
        <w:rPr>
          <w:rFonts w:asciiTheme="minorHAnsi" w:eastAsia="Times New Roman" w:hAnsiTheme="minorHAnsi" w:cstheme="minorHAnsi"/>
          <w:sz w:val="22"/>
          <w:lang w:eastAsia="cs-CZ"/>
        </w:rPr>
        <w:t xml:space="preserve">e </w:t>
      </w:r>
      <w:r w:rsidR="00291E69">
        <w:rPr>
          <w:rFonts w:asciiTheme="minorHAnsi" w:eastAsia="Times New Roman" w:hAnsiTheme="minorHAnsi" w:cstheme="minorHAnsi"/>
          <w:sz w:val="22"/>
          <w:lang w:eastAsia="cs-CZ"/>
        </w:rPr>
        <w:t>k</w:t>
      </w:r>
      <w:r>
        <w:rPr>
          <w:rFonts w:asciiTheme="minorHAnsi" w:eastAsia="Times New Roman" w:hAnsiTheme="minorHAnsi" w:cstheme="minorHAnsi"/>
          <w:sz w:val="22"/>
          <w:lang w:eastAsia="cs-CZ"/>
        </w:rPr>
        <w:t>upní ceně</w:t>
      </w:r>
      <w:r w:rsidRPr="005144A3">
        <w:rPr>
          <w:rFonts w:asciiTheme="minorHAnsi" w:eastAsia="Times New Roman" w:hAnsiTheme="minorHAnsi" w:cstheme="minorHAnsi"/>
          <w:sz w:val="22"/>
          <w:lang w:eastAsia="cs-CZ"/>
        </w:rPr>
        <w:t xml:space="preserve"> </w:t>
      </w:r>
      <w:r w:rsidR="00515FED">
        <w:rPr>
          <w:rFonts w:asciiTheme="minorHAnsi" w:eastAsia="Times New Roman" w:hAnsiTheme="minorHAnsi" w:cstheme="minorHAnsi"/>
          <w:sz w:val="22"/>
          <w:lang w:eastAsia="cs-CZ"/>
        </w:rPr>
        <w:t>bude</w:t>
      </w:r>
      <w:r w:rsidRPr="005144A3">
        <w:rPr>
          <w:rFonts w:asciiTheme="minorHAnsi" w:eastAsia="Times New Roman" w:hAnsiTheme="minorHAnsi" w:cstheme="minorHAnsi"/>
          <w:sz w:val="22"/>
          <w:lang w:eastAsia="cs-CZ"/>
        </w:rPr>
        <w:t xml:space="preserve"> 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55B6FCFC"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sidR="003F27F9">
        <w:rPr>
          <w:rFonts w:asciiTheme="minorHAnsi" w:hAnsiTheme="minorHAnsi" w:cstheme="minorHAnsi"/>
          <w:color w:val="000000" w:themeColor="text1"/>
          <w:sz w:val="22"/>
        </w:rPr>
        <w:t>k</w:t>
      </w:r>
      <w:r>
        <w:rPr>
          <w:rFonts w:asciiTheme="minorHAnsi" w:hAnsiTheme="minorHAnsi" w:cstheme="minorHAnsi"/>
          <w:color w:val="000000" w:themeColor="text1"/>
          <w:sz w:val="22"/>
        </w:rPr>
        <w:t xml:space="preserve">upní </w:t>
      </w:r>
      <w:r w:rsidRPr="00202AE1">
        <w:rPr>
          <w:rFonts w:asciiTheme="minorHAnsi" w:hAnsiTheme="minorHAnsi" w:cstheme="minorHAnsi"/>
          <w:color w:val="000000" w:themeColor="text1"/>
          <w:sz w:val="22"/>
        </w:rPr>
        <w:t>ceny je možná pouze na základě písemného dodatku a v souladu s platnými právními předpisy.</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6A4AB833"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w:t>
      </w:r>
      <w:r w:rsidR="003F27F9">
        <w:rPr>
          <w:rFonts w:asciiTheme="minorHAnsi" w:hAnsiTheme="minorHAnsi" w:cstheme="minorHAnsi"/>
          <w:sz w:val="22"/>
        </w:rPr>
        <w:t>s</w:t>
      </w:r>
      <w:r w:rsidRPr="005144A3">
        <w:rPr>
          <w:rFonts w:asciiTheme="minorHAnsi" w:hAnsiTheme="minorHAnsi" w:cstheme="minorHAnsi"/>
          <w:sz w:val="22"/>
        </w:rPr>
        <w:t xml:space="preserve">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 xml:space="preserve">dodávky, </w:t>
      </w:r>
      <w:r w:rsidR="00861493">
        <w:rPr>
          <w:rFonts w:asciiTheme="minorHAnsi" w:hAnsiTheme="minorHAnsi" w:cstheme="minorHAnsi"/>
          <w:color w:val="000000" w:themeColor="text1"/>
          <w:sz w:val="22"/>
          <w:szCs w:val="22"/>
        </w:rPr>
        <w:t>včetně SW licencí a příslušenství</w:t>
      </w:r>
      <w:r w:rsidR="00861493">
        <w:rPr>
          <w:rFonts w:asciiTheme="minorHAnsi" w:hAnsiTheme="minorHAnsi" w:cstheme="minorHAnsi"/>
          <w:sz w:val="22"/>
        </w:rPr>
        <w:t xml:space="preserve">, zahrnuje </w:t>
      </w:r>
      <w:r>
        <w:rPr>
          <w:rFonts w:asciiTheme="minorHAnsi" w:hAnsiTheme="minorHAnsi" w:cstheme="minorHAnsi"/>
          <w:sz w:val="22"/>
        </w:rPr>
        <w:t>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w:t>
      </w:r>
      <w:r w:rsidR="00635FC4">
        <w:rPr>
          <w:rFonts w:asciiTheme="minorHAnsi" w:hAnsiTheme="minorHAnsi" w:cstheme="minorHAnsi"/>
          <w:sz w:val="22"/>
          <w:szCs w:val="22"/>
        </w:rPr>
        <w:t xml:space="preserve">náklady na instalaci, </w:t>
      </w:r>
      <w:r w:rsidR="003F27F9">
        <w:rPr>
          <w:rFonts w:asciiTheme="minorHAnsi" w:hAnsiTheme="minorHAnsi" w:cstheme="minorHAnsi"/>
          <w:sz w:val="22"/>
          <w:szCs w:val="22"/>
        </w:rPr>
        <w:t xml:space="preserve">autorské a </w:t>
      </w:r>
      <w:r w:rsidRPr="000B5599">
        <w:rPr>
          <w:rFonts w:asciiTheme="minorHAnsi" w:hAnsiTheme="minorHAnsi" w:cstheme="minorHAnsi"/>
          <w:sz w:val="22"/>
          <w:szCs w:val="22"/>
        </w:rPr>
        <w:t>recyklační poplatk</w:t>
      </w:r>
      <w:r w:rsidR="003F27F9">
        <w:rPr>
          <w:rFonts w:asciiTheme="minorHAnsi" w:hAnsiTheme="minorHAnsi" w:cstheme="minorHAnsi"/>
          <w:sz w:val="22"/>
          <w:szCs w:val="22"/>
        </w:rPr>
        <w:t>y</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7E6A7576"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sidR="00B068A9">
        <w:rPr>
          <w:rFonts w:asciiTheme="minorHAnsi" w:hAnsiTheme="minorHAnsi" w:cstheme="minorHAnsi"/>
          <w:sz w:val="22"/>
          <w:szCs w:val="22"/>
        </w:rPr>
        <w:t>k</w:t>
      </w:r>
      <w:r>
        <w:rPr>
          <w:rFonts w:asciiTheme="minorHAnsi" w:hAnsiTheme="minorHAnsi" w:cstheme="minorHAnsi"/>
          <w:sz w:val="22"/>
          <w:szCs w:val="22"/>
        </w:rPr>
        <w:t>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6B8936FF" w14:textId="34536DFA"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sidR="00ED2DB8">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sidR="00ED2DB8">
        <w:rPr>
          <w:rFonts w:asciiTheme="minorHAnsi" w:hAnsiTheme="minorHAnsi" w:cstheme="minorHAnsi"/>
          <w:sz w:val="22"/>
          <w:szCs w:val="22"/>
        </w:rPr>
        <w:t>)</w:t>
      </w:r>
      <w:r w:rsidRPr="000B5599">
        <w:rPr>
          <w:rFonts w:asciiTheme="minorHAnsi" w:hAnsiTheme="minorHAnsi" w:cstheme="minorHAnsi"/>
          <w:sz w:val="22"/>
          <w:szCs w:val="22"/>
        </w:rPr>
        <w:t xml:space="preserve"> bude splatná </w:t>
      </w:r>
      <w:r w:rsidRPr="00515FED">
        <w:rPr>
          <w:rFonts w:asciiTheme="minorHAnsi" w:hAnsiTheme="minorHAnsi" w:cstheme="minorHAnsi"/>
          <w:sz w:val="22"/>
          <w:szCs w:val="22"/>
        </w:rPr>
        <w:t>do 21 dnů</w:t>
      </w:r>
      <w:r w:rsidRPr="000B5599">
        <w:rPr>
          <w:rFonts w:asciiTheme="minorHAnsi" w:hAnsiTheme="minorHAnsi" w:cstheme="minorHAnsi"/>
          <w:sz w:val="22"/>
          <w:szCs w:val="22"/>
        </w:rPr>
        <w:t xml:space="preserve"> ode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5AE1D203" w14:textId="4BD8FD32" w:rsidR="00D8021C" w:rsidRPr="00D8021C"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doruč</w:t>
      </w:r>
      <w:r w:rsidR="00B44120">
        <w:rPr>
          <w:rFonts w:asciiTheme="minorHAnsi" w:hAnsiTheme="minorHAnsi" w:cstheme="minorHAnsi"/>
          <w:sz w:val="22"/>
          <w:szCs w:val="22"/>
        </w:rPr>
        <w:t>í</w:t>
      </w:r>
      <w:r w:rsidRPr="00D8021C">
        <w:rPr>
          <w:rFonts w:asciiTheme="minorHAnsi" w:hAnsiTheme="minorHAnsi" w:cstheme="minorHAnsi"/>
          <w:sz w:val="22"/>
          <w:szCs w:val="22"/>
        </w:rPr>
        <w:t xml:space="preserve"> faktur</w:t>
      </w:r>
      <w:r w:rsidR="00B44120">
        <w:rPr>
          <w:rFonts w:asciiTheme="minorHAnsi" w:hAnsiTheme="minorHAnsi" w:cstheme="minorHAnsi"/>
          <w:sz w:val="22"/>
          <w:szCs w:val="22"/>
        </w:rPr>
        <w:t>u</w:t>
      </w:r>
      <w:r w:rsidRPr="00D8021C">
        <w:rPr>
          <w:rFonts w:asciiTheme="minorHAnsi" w:hAnsiTheme="minorHAnsi" w:cstheme="minorHAnsi"/>
          <w:sz w:val="22"/>
          <w:szCs w:val="22"/>
        </w:rPr>
        <w:t xml:space="preserve"> </w:t>
      </w:r>
      <w:r w:rsidR="00F72559" w:rsidRPr="00515FED">
        <w:rPr>
          <w:rFonts w:asciiTheme="minorHAnsi" w:hAnsiTheme="minorHAnsi" w:cstheme="minorHAnsi"/>
          <w:color w:val="000000" w:themeColor="text1"/>
          <w:sz w:val="22"/>
          <w:szCs w:val="22"/>
        </w:rPr>
        <w:t>v elektronické podobě na e-mailovou adresu: epodatelna@npu.cz a v kopii na emailovou adresu</w:t>
      </w:r>
      <w:r w:rsidR="00E54719">
        <w:rPr>
          <w:rFonts w:asciiTheme="minorHAnsi" w:hAnsiTheme="minorHAnsi" w:cstheme="minorHAnsi"/>
          <w:color w:val="000000" w:themeColor="text1"/>
          <w:sz w:val="22"/>
          <w:szCs w:val="22"/>
        </w:rPr>
        <w:t>:</w:t>
      </w:r>
      <w:r w:rsidR="00515FED" w:rsidRPr="00515FED">
        <w:rPr>
          <w:rFonts w:asciiTheme="minorHAnsi" w:hAnsiTheme="minorHAnsi" w:cstheme="minorHAnsi"/>
          <w:color w:val="000000" w:themeColor="text1"/>
          <w:sz w:val="22"/>
          <w:szCs w:val="22"/>
        </w:rPr>
        <w:t xml:space="preserve"> dupkanicova.zdenka</w:t>
      </w:r>
      <w:r w:rsidR="00515FED" w:rsidRPr="00B9106B">
        <w:rPr>
          <w:rFonts w:asciiTheme="minorHAnsi" w:hAnsiTheme="minorHAnsi" w:cstheme="minorHAnsi"/>
          <w:color w:val="000000" w:themeColor="text1"/>
          <w:sz w:val="22"/>
          <w:szCs w:val="22"/>
        </w:rPr>
        <w:t>@</w:t>
      </w:r>
      <w:r w:rsidR="00515FED">
        <w:rPr>
          <w:rFonts w:asciiTheme="minorHAnsi" w:hAnsiTheme="minorHAnsi" w:cstheme="minorHAnsi"/>
          <w:color w:val="000000" w:themeColor="text1"/>
          <w:sz w:val="22"/>
          <w:szCs w:val="22"/>
        </w:rPr>
        <w:t>npu.cz</w:t>
      </w:r>
      <w:r w:rsidRPr="00F72559">
        <w:rPr>
          <w:rFonts w:asciiTheme="minorHAnsi" w:hAnsiTheme="minorHAnsi" w:cstheme="minorHAnsi"/>
          <w:sz w:val="22"/>
          <w:szCs w:val="22"/>
        </w:rPr>
        <w:t>.</w:t>
      </w:r>
      <w:r w:rsidRPr="00D8021C">
        <w:rPr>
          <w:rFonts w:asciiTheme="minorHAnsi" w:hAnsiTheme="minorHAnsi" w:cstheme="minorHAnsi"/>
          <w:sz w:val="22"/>
          <w:szCs w:val="22"/>
        </w:rPr>
        <w:t xml:space="preserve"> </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2DBF6499"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sidR="00B068A9">
        <w:rPr>
          <w:rFonts w:asciiTheme="minorHAnsi" w:hAnsiTheme="minorHAnsi" w:cstheme="minorHAnsi"/>
          <w:sz w:val="22"/>
          <w:szCs w:val="22"/>
        </w:rPr>
        <w:t>k</w:t>
      </w:r>
      <w:r>
        <w:rPr>
          <w:rFonts w:asciiTheme="minorHAnsi" w:hAnsiTheme="minorHAnsi" w:cstheme="minorHAnsi"/>
          <w:sz w:val="22"/>
          <w:szCs w:val="22"/>
        </w:rPr>
        <w:t>upní cenu</w:t>
      </w:r>
      <w:r w:rsidR="00202AE1" w:rsidRPr="00E9787F">
        <w:rPr>
          <w:rFonts w:asciiTheme="minorHAnsi" w:hAnsiTheme="minorHAnsi" w:cstheme="minorHAnsi"/>
          <w:sz w:val="22"/>
          <w:szCs w:val="22"/>
        </w:rPr>
        <w:t xml:space="preserve">. Okamžikem odstranění vady začne běžet nová lhůta splatnosti faktury </w:t>
      </w:r>
      <w:r w:rsidR="00202AE1" w:rsidRPr="00515FED">
        <w:rPr>
          <w:rFonts w:asciiTheme="minorHAnsi" w:hAnsiTheme="minorHAnsi" w:cstheme="minorHAnsi"/>
          <w:sz w:val="22"/>
          <w:szCs w:val="22"/>
        </w:rPr>
        <w:t xml:space="preserve">v délce </w:t>
      </w:r>
      <w:r w:rsidRPr="00515FED">
        <w:rPr>
          <w:rFonts w:asciiTheme="minorHAnsi" w:hAnsiTheme="minorHAnsi" w:cstheme="minorHAnsi"/>
          <w:sz w:val="22"/>
          <w:szCs w:val="22"/>
        </w:rPr>
        <w:t>21</w:t>
      </w:r>
      <w:r w:rsidR="00202AE1" w:rsidRPr="00515FED">
        <w:rPr>
          <w:rFonts w:asciiTheme="minorHAnsi" w:hAnsiTheme="minorHAnsi" w:cstheme="minorHAnsi"/>
          <w:sz w:val="22"/>
          <w:szCs w:val="22"/>
        </w:rPr>
        <w:t xml:space="preserve"> dnů</w:t>
      </w:r>
      <w:r w:rsidR="00202AE1" w:rsidRPr="00E9787F">
        <w:rPr>
          <w:rFonts w:asciiTheme="minorHAnsi" w:hAnsiTheme="minorHAnsi" w:cstheme="minorHAnsi"/>
          <w:sz w:val="22"/>
          <w:szCs w:val="22"/>
        </w:rPr>
        <w:t>.</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w:t>
      </w:r>
      <w:r w:rsidRPr="00ED60DA">
        <w:rPr>
          <w:rFonts w:asciiTheme="minorHAnsi" w:hAnsiTheme="minorHAnsi" w:cstheme="minorHAnsi"/>
          <w:sz w:val="22"/>
          <w:szCs w:val="22"/>
        </w:rPr>
        <w:lastRenderedPageBreak/>
        <w:t xml:space="preserve">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7389415B"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do </w:t>
      </w:r>
      <w:r w:rsidR="00A30CB9">
        <w:rPr>
          <w:rFonts w:asciiTheme="minorHAnsi" w:hAnsiTheme="minorHAnsi" w:cstheme="minorHAnsi"/>
          <w:sz w:val="22"/>
          <w:szCs w:val="22"/>
        </w:rPr>
        <w:t>21</w:t>
      </w:r>
      <w:r w:rsidRPr="00202AE1">
        <w:rPr>
          <w:rFonts w:asciiTheme="minorHAnsi" w:hAnsiTheme="minorHAnsi" w:cstheme="minorHAnsi"/>
          <w:sz w:val="22"/>
          <w:szCs w:val="22"/>
        </w:rPr>
        <w:t xml:space="preserve"> dnů ode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2A749545" w:rsidR="00202AE1" w:rsidRPr="00202AE1"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 </w:t>
      </w:r>
      <w:r w:rsidR="00A22028">
        <w:rPr>
          <w:rFonts w:asciiTheme="minorHAnsi" w:hAnsiTheme="minorHAnsi" w:cstheme="minorHAnsi"/>
          <w:sz w:val="22"/>
          <w:szCs w:val="22"/>
        </w:rPr>
        <w:t xml:space="preserve">Národní památkový ústav, územní odborné pracoviště v Českých Budějovicích, Senovážné nám. 230/6, 370 </w:t>
      </w:r>
      <w:proofErr w:type="gramStart"/>
      <w:r w:rsidR="00A22028">
        <w:rPr>
          <w:rFonts w:asciiTheme="minorHAnsi" w:hAnsiTheme="minorHAnsi" w:cstheme="minorHAnsi"/>
          <w:sz w:val="22"/>
          <w:szCs w:val="22"/>
        </w:rPr>
        <w:t>21  České</w:t>
      </w:r>
      <w:proofErr w:type="gramEnd"/>
      <w:r w:rsidR="00A22028">
        <w:rPr>
          <w:rFonts w:asciiTheme="minorHAnsi" w:hAnsiTheme="minorHAnsi" w:cstheme="minorHAnsi"/>
          <w:sz w:val="22"/>
          <w:szCs w:val="22"/>
        </w:rPr>
        <w:t xml:space="preserve"> Budějovice</w:t>
      </w:r>
      <w:r w:rsidR="00D876CE" w:rsidRPr="00A22028">
        <w:rPr>
          <w:rFonts w:asciiTheme="minorHAnsi" w:hAnsiTheme="minorHAnsi" w:cstheme="minorHAnsi"/>
          <w:sz w:val="22"/>
          <w:szCs w:val="22"/>
        </w:rPr>
        <w:t xml:space="preserve"> (dále</w:t>
      </w:r>
      <w:r w:rsidR="00D876CE">
        <w:rPr>
          <w:rFonts w:asciiTheme="minorHAnsi" w:hAnsiTheme="minorHAnsi" w:cstheme="minorHAnsi"/>
          <w:sz w:val="22"/>
          <w:szCs w:val="22"/>
        </w:rPr>
        <w:t xml:space="preserve"> jen „</w:t>
      </w:r>
      <w:r w:rsidR="009B3DA9" w:rsidRPr="00403A2B">
        <w:rPr>
          <w:rFonts w:asciiTheme="minorHAnsi" w:hAnsiTheme="minorHAnsi" w:cstheme="minorHAnsi"/>
          <w:b/>
          <w:i/>
          <w:sz w:val="22"/>
          <w:szCs w:val="22"/>
        </w:rPr>
        <w:t>M</w:t>
      </w:r>
      <w:r w:rsidR="00D876CE" w:rsidRPr="00403A2B">
        <w:rPr>
          <w:rFonts w:asciiTheme="minorHAnsi" w:hAnsiTheme="minorHAnsi" w:cstheme="minorHAnsi"/>
          <w:b/>
          <w:i/>
          <w:sz w:val="22"/>
          <w:szCs w:val="22"/>
        </w:rPr>
        <w:t>ísto plnění</w:t>
      </w:r>
      <w:r w:rsidR="00D876CE">
        <w:rPr>
          <w:rFonts w:asciiTheme="minorHAnsi" w:hAnsiTheme="minorHAnsi" w:cstheme="minorHAnsi"/>
          <w:sz w:val="22"/>
          <w:szCs w:val="22"/>
        </w:rPr>
        <w:t>“).</w:t>
      </w:r>
    </w:p>
    <w:p w14:paraId="40AE90BB" w14:textId="2CFFC521" w:rsidR="00202AE1" w:rsidRPr="00A30CB9"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A30CB9">
        <w:rPr>
          <w:rFonts w:asciiTheme="minorHAnsi" w:hAnsiTheme="minorHAnsi" w:cstheme="minorHAnsi"/>
          <w:sz w:val="22"/>
          <w:szCs w:val="22"/>
        </w:rPr>
        <w:t>Za dodání Předmětu plnění se p</w:t>
      </w:r>
      <w:r w:rsidR="00D876CE" w:rsidRPr="00A30CB9">
        <w:rPr>
          <w:rFonts w:asciiTheme="minorHAnsi" w:hAnsiTheme="minorHAnsi" w:cstheme="minorHAnsi"/>
          <w:sz w:val="22"/>
          <w:szCs w:val="22"/>
        </w:rPr>
        <w:t>ovažuje dodání Předmětu plnění K</w:t>
      </w:r>
      <w:r w:rsidRPr="00A30CB9">
        <w:rPr>
          <w:rFonts w:asciiTheme="minorHAnsi" w:hAnsiTheme="minorHAnsi" w:cstheme="minorHAnsi"/>
          <w:sz w:val="22"/>
          <w:szCs w:val="22"/>
        </w:rPr>
        <w:t>upujícímu spolu s veškerou související dokumentací</w:t>
      </w:r>
      <w:r w:rsidR="00A30CB9" w:rsidRPr="00A30CB9">
        <w:rPr>
          <w:rFonts w:asciiTheme="minorHAnsi" w:hAnsiTheme="minorHAnsi" w:cstheme="minorHAnsi"/>
          <w:sz w:val="22"/>
          <w:szCs w:val="22"/>
        </w:rPr>
        <w:t>.</w:t>
      </w:r>
    </w:p>
    <w:p w14:paraId="03F33F10" w14:textId="2F7FB2D1"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 xml:space="preserve">dpisem dodacího listu </w:t>
      </w:r>
      <w:r w:rsidR="00A22028">
        <w:rPr>
          <w:rFonts w:asciiTheme="minorHAnsi" w:hAnsiTheme="minorHAnsi" w:cstheme="minorHAnsi"/>
          <w:sz w:val="22"/>
          <w:szCs w:val="22"/>
        </w:rPr>
        <w:t xml:space="preserve">či předávacího protokolu </w:t>
      </w:r>
      <w:r w:rsidR="00D876CE">
        <w:rPr>
          <w:rFonts w:asciiTheme="minorHAnsi" w:hAnsiTheme="minorHAnsi" w:cstheme="minorHAnsi"/>
          <w:sz w:val="22"/>
          <w:szCs w:val="22"/>
        </w:rPr>
        <w:t>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ístě plnění. Jedno vyhotovení dodacího listu</w:t>
      </w:r>
      <w:r w:rsidR="00A22028">
        <w:rPr>
          <w:rFonts w:asciiTheme="minorHAnsi" w:hAnsiTheme="minorHAnsi" w:cstheme="minorHAnsi"/>
          <w:sz w:val="22"/>
          <w:szCs w:val="22"/>
        </w:rPr>
        <w:t xml:space="preserve"> /předávacího protokolu</w:t>
      </w:r>
      <w:r w:rsidRPr="00202AE1">
        <w:rPr>
          <w:rFonts w:asciiTheme="minorHAnsi" w:hAnsiTheme="minorHAnsi" w:cstheme="minorHAnsi"/>
          <w:sz w:val="22"/>
          <w:szCs w:val="22"/>
        </w:rPr>
        <w:t xml:space="preserve">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5686C8F0" w:rsidR="00202AE1" w:rsidRDefault="00655F45" w:rsidP="00553BFE">
      <w:pPr>
        <w:widowControl w:val="0"/>
        <w:numPr>
          <w:ilvl w:val="0"/>
          <w:numId w:val="18"/>
        </w:numPr>
        <w:autoSpaceDE w:val="0"/>
        <w:autoSpaceDN w:val="0"/>
        <w:spacing w:after="120" w:line="240" w:lineRule="atLeast"/>
        <w:ind w:left="567" w:hanging="567"/>
        <w:jc w:val="both"/>
        <w:rPr>
          <w:rFonts w:asciiTheme="minorHAnsi" w:hAnsiTheme="minorHAnsi" w:cstheme="minorHAnsi"/>
          <w:sz w:val="22"/>
        </w:rPr>
      </w:pPr>
      <w:r>
        <w:rPr>
          <w:rFonts w:asciiTheme="minorHAnsi" w:hAnsiTheme="minorHAnsi" w:cstheme="minorHAnsi"/>
          <w:sz w:val="22"/>
        </w:rPr>
        <w:t>Kontaktní osoba Kupujícího:</w:t>
      </w:r>
    </w:p>
    <w:p w14:paraId="3588538B" w14:textId="7BDCD179" w:rsidR="00655F45" w:rsidRDefault="00A24F0D" w:rsidP="00655F45">
      <w:pPr>
        <w:widowControl w:val="0"/>
        <w:autoSpaceDE w:val="0"/>
        <w:autoSpaceDN w:val="0"/>
        <w:spacing w:after="120" w:line="240" w:lineRule="atLeast"/>
        <w:ind w:left="567"/>
        <w:jc w:val="both"/>
        <w:rPr>
          <w:rFonts w:asciiTheme="minorHAnsi" w:hAnsiTheme="minorHAnsi" w:cstheme="minorHAnsi"/>
          <w:sz w:val="22"/>
        </w:rPr>
      </w:pPr>
      <w:proofErr w:type="spellStart"/>
      <w:r>
        <w:rPr>
          <w:rFonts w:asciiTheme="minorHAnsi" w:hAnsiTheme="minorHAnsi" w:cstheme="minorHAnsi"/>
          <w:sz w:val="22"/>
          <w:szCs w:val="22"/>
        </w:rPr>
        <w:t>xxxxxxxxxxxxxx</w:t>
      </w:r>
      <w:proofErr w:type="spellEnd"/>
      <w:r w:rsidR="00244E97" w:rsidRPr="00375E3D">
        <w:rPr>
          <w:rFonts w:asciiTheme="minorHAnsi" w:hAnsiTheme="minorHAnsi" w:cstheme="minorHAnsi"/>
          <w:sz w:val="22"/>
          <w:szCs w:val="22"/>
        </w:rPr>
        <w:t xml:space="preserve">, email: </w:t>
      </w:r>
      <w:proofErr w:type="spellStart"/>
      <w:r w:rsidR="00B21ECD">
        <w:rPr>
          <w:rFonts w:asciiTheme="minorHAnsi" w:hAnsiTheme="minorHAnsi" w:cstheme="minorHAnsi"/>
          <w:sz w:val="22"/>
          <w:szCs w:val="22"/>
        </w:rPr>
        <w:t>xxxxxxxxxxxxxxx</w:t>
      </w:r>
      <w:proofErr w:type="spellEnd"/>
      <w:r w:rsidR="00244E97" w:rsidRPr="00375E3D">
        <w:rPr>
          <w:rFonts w:asciiTheme="minorHAnsi" w:hAnsiTheme="minorHAnsi" w:cstheme="minorHAnsi"/>
          <w:sz w:val="22"/>
          <w:szCs w:val="22"/>
        </w:rPr>
        <w:t>, tel.+420 </w:t>
      </w:r>
      <w:proofErr w:type="spellStart"/>
      <w:r w:rsidR="00B21ECD">
        <w:rPr>
          <w:rFonts w:asciiTheme="minorHAnsi" w:hAnsiTheme="minorHAnsi" w:cstheme="minorHAnsi"/>
          <w:sz w:val="22"/>
          <w:szCs w:val="22"/>
        </w:rPr>
        <w:t>xxx</w:t>
      </w:r>
      <w:proofErr w:type="spellEnd"/>
      <w:r w:rsidR="00B21ECD">
        <w:rPr>
          <w:rFonts w:asciiTheme="minorHAnsi" w:hAnsiTheme="minorHAnsi" w:cstheme="minorHAnsi"/>
          <w:sz w:val="22"/>
          <w:szCs w:val="22"/>
        </w:rPr>
        <w:t xml:space="preserve"> </w:t>
      </w:r>
      <w:proofErr w:type="spellStart"/>
      <w:r w:rsidR="00B21ECD">
        <w:rPr>
          <w:rFonts w:asciiTheme="minorHAnsi" w:hAnsiTheme="minorHAnsi" w:cstheme="minorHAnsi"/>
          <w:sz w:val="22"/>
          <w:szCs w:val="22"/>
        </w:rPr>
        <w:t>xxx</w:t>
      </w:r>
      <w:proofErr w:type="spellEnd"/>
      <w:r w:rsidR="00B21ECD">
        <w:rPr>
          <w:rFonts w:asciiTheme="minorHAnsi" w:hAnsiTheme="minorHAnsi" w:cstheme="minorHAnsi"/>
          <w:sz w:val="22"/>
          <w:szCs w:val="22"/>
        </w:rPr>
        <w:t xml:space="preserve"> </w:t>
      </w:r>
      <w:proofErr w:type="spellStart"/>
      <w:r w:rsidR="00B21ECD">
        <w:rPr>
          <w:rFonts w:asciiTheme="minorHAnsi" w:hAnsiTheme="minorHAnsi" w:cstheme="minorHAnsi"/>
          <w:sz w:val="22"/>
          <w:szCs w:val="22"/>
        </w:rPr>
        <w:t>xxx</w:t>
      </w:r>
      <w:proofErr w:type="spellEnd"/>
    </w:p>
    <w:p w14:paraId="54D33A6B" w14:textId="0C73FD10" w:rsidR="00655F45" w:rsidRDefault="00655F45" w:rsidP="00553BFE">
      <w:pPr>
        <w:widowControl w:val="0"/>
        <w:autoSpaceDE w:val="0"/>
        <w:autoSpaceDN w:val="0"/>
        <w:spacing w:after="120" w:line="240" w:lineRule="atLeast"/>
        <w:ind w:left="567"/>
        <w:jc w:val="both"/>
        <w:rPr>
          <w:rFonts w:asciiTheme="minorHAnsi" w:hAnsiTheme="minorHAnsi" w:cstheme="minorHAnsi"/>
          <w:sz w:val="22"/>
        </w:rPr>
      </w:pPr>
      <w:r>
        <w:rPr>
          <w:rFonts w:asciiTheme="minorHAnsi" w:hAnsiTheme="minorHAnsi" w:cstheme="minorHAnsi"/>
          <w:sz w:val="22"/>
        </w:rPr>
        <w:t>Kontaktní osoba Prodávajícího:</w:t>
      </w:r>
    </w:p>
    <w:p w14:paraId="66537751" w14:textId="3BF4E54B" w:rsidR="00553BFE" w:rsidRPr="00553BFE" w:rsidRDefault="00A24F0D" w:rsidP="00553BFE">
      <w:pPr>
        <w:widowControl w:val="0"/>
        <w:autoSpaceDE w:val="0"/>
        <w:autoSpaceDN w:val="0"/>
        <w:spacing w:after="120" w:line="240" w:lineRule="atLeast"/>
        <w:ind w:left="567"/>
        <w:jc w:val="both"/>
        <w:rPr>
          <w:rFonts w:asciiTheme="minorHAnsi" w:hAnsiTheme="minorHAnsi" w:cstheme="minorHAnsi"/>
          <w:sz w:val="22"/>
        </w:rPr>
      </w:pPr>
      <w:proofErr w:type="spellStart"/>
      <w:r>
        <w:rPr>
          <w:rFonts w:asciiTheme="minorHAnsi" w:hAnsiTheme="minorHAnsi" w:cstheme="minorHAnsi"/>
          <w:sz w:val="22"/>
        </w:rPr>
        <w:t>Xxxxx</w:t>
      </w:r>
      <w:proofErr w:type="spellEnd"/>
      <w:r>
        <w:rPr>
          <w:rFonts w:asciiTheme="minorHAnsi" w:hAnsiTheme="minorHAnsi" w:cstheme="minorHAnsi"/>
          <w:sz w:val="22"/>
        </w:rPr>
        <w:t xml:space="preserve"> </w:t>
      </w:r>
      <w:proofErr w:type="spellStart"/>
      <w:r>
        <w:rPr>
          <w:rFonts w:asciiTheme="minorHAnsi" w:hAnsiTheme="minorHAnsi" w:cstheme="minorHAnsi"/>
          <w:sz w:val="22"/>
        </w:rPr>
        <w:t>xxxxx</w:t>
      </w:r>
      <w:proofErr w:type="spellEnd"/>
      <w:r w:rsidR="00553BFE">
        <w:rPr>
          <w:rFonts w:asciiTheme="minorHAnsi" w:hAnsiTheme="minorHAnsi" w:cstheme="minorHAnsi"/>
          <w:sz w:val="22"/>
        </w:rPr>
        <w:t xml:space="preserve">, </w:t>
      </w:r>
      <w:proofErr w:type="gramStart"/>
      <w:r w:rsidR="00553BFE">
        <w:rPr>
          <w:rFonts w:asciiTheme="minorHAnsi" w:hAnsiTheme="minorHAnsi" w:cstheme="minorHAnsi"/>
          <w:sz w:val="22"/>
        </w:rPr>
        <w:t>e</w:t>
      </w:r>
      <w:r w:rsidR="00553BFE" w:rsidRPr="00553BFE">
        <w:rPr>
          <w:rFonts w:asciiTheme="minorHAnsi" w:hAnsiTheme="minorHAnsi" w:cstheme="minorHAnsi"/>
          <w:sz w:val="22"/>
        </w:rPr>
        <w:t xml:space="preserve">-mail:  </w:t>
      </w:r>
      <w:proofErr w:type="spellStart"/>
      <w:r w:rsidR="00B21ECD" w:rsidRPr="00B21ECD">
        <w:rPr>
          <w:rFonts w:asciiTheme="minorHAnsi" w:hAnsiTheme="minorHAnsi" w:cstheme="minorHAnsi"/>
          <w:sz w:val="22"/>
        </w:rPr>
        <w:t>xxxxxxxxxxxxxxxxxxxxxxxxxxxxx</w:t>
      </w:r>
      <w:proofErr w:type="spellEnd"/>
      <w:proofErr w:type="gramEnd"/>
      <w:r w:rsidR="00553BFE">
        <w:rPr>
          <w:rFonts w:asciiTheme="minorHAnsi" w:hAnsiTheme="minorHAnsi" w:cstheme="minorHAnsi"/>
          <w:sz w:val="22"/>
        </w:rPr>
        <w:t>, t</w:t>
      </w:r>
      <w:r w:rsidR="00553BFE" w:rsidRPr="00553BFE">
        <w:rPr>
          <w:rFonts w:asciiTheme="minorHAnsi" w:hAnsiTheme="minorHAnsi" w:cstheme="minorHAnsi"/>
          <w:sz w:val="22"/>
        </w:rPr>
        <w:t>el</w:t>
      </w:r>
      <w:r w:rsidR="00553BFE">
        <w:rPr>
          <w:rFonts w:asciiTheme="minorHAnsi" w:hAnsiTheme="minorHAnsi" w:cstheme="minorHAnsi"/>
          <w:sz w:val="22"/>
        </w:rPr>
        <w:t>.</w:t>
      </w:r>
      <w:r w:rsidR="00553BFE" w:rsidRPr="00553BFE">
        <w:rPr>
          <w:rFonts w:asciiTheme="minorHAnsi" w:hAnsiTheme="minorHAnsi" w:cstheme="minorHAnsi"/>
          <w:sz w:val="22"/>
        </w:rPr>
        <w:t xml:space="preserve">: +420 </w:t>
      </w:r>
      <w:proofErr w:type="spellStart"/>
      <w:r w:rsidR="00B21ECD">
        <w:rPr>
          <w:rFonts w:asciiTheme="minorHAnsi" w:hAnsiTheme="minorHAnsi" w:cstheme="minorHAnsi"/>
          <w:sz w:val="22"/>
        </w:rPr>
        <w:t>xxx</w:t>
      </w:r>
      <w:proofErr w:type="spellEnd"/>
      <w:r w:rsidR="00B21ECD">
        <w:rPr>
          <w:rFonts w:asciiTheme="minorHAnsi" w:hAnsiTheme="minorHAnsi" w:cstheme="minorHAnsi"/>
          <w:sz w:val="22"/>
        </w:rPr>
        <w:t xml:space="preserve"> </w:t>
      </w:r>
      <w:proofErr w:type="spellStart"/>
      <w:r w:rsidR="00B21ECD">
        <w:rPr>
          <w:rFonts w:asciiTheme="minorHAnsi" w:hAnsiTheme="minorHAnsi" w:cstheme="minorHAnsi"/>
          <w:sz w:val="22"/>
        </w:rPr>
        <w:t>xxx</w:t>
      </w:r>
      <w:proofErr w:type="spellEnd"/>
      <w:r w:rsidR="00B21ECD">
        <w:rPr>
          <w:rFonts w:asciiTheme="minorHAnsi" w:hAnsiTheme="minorHAnsi" w:cstheme="minorHAnsi"/>
          <w:sz w:val="22"/>
        </w:rPr>
        <w:t xml:space="preserve"> </w:t>
      </w:r>
      <w:proofErr w:type="spellStart"/>
      <w:r w:rsidR="00B21ECD">
        <w:rPr>
          <w:rFonts w:asciiTheme="minorHAnsi" w:hAnsiTheme="minorHAnsi" w:cstheme="minorHAnsi"/>
          <w:sz w:val="22"/>
        </w:rPr>
        <w:t>xxx</w:t>
      </w:r>
      <w:proofErr w:type="spellEnd"/>
    </w:p>
    <w:p w14:paraId="0BD7822C" w14:textId="738AD7EB" w:rsidR="00655F45" w:rsidRPr="00202AE1" w:rsidRDefault="00655F45" w:rsidP="00553BFE">
      <w:pPr>
        <w:widowControl w:val="0"/>
        <w:autoSpaceDE w:val="0"/>
        <w:autoSpaceDN w:val="0"/>
        <w:spacing w:after="120" w:line="240" w:lineRule="atLeast"/>
        <w:ind w:left="567"/>
        <w:jc w:val="both"/>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6F828861"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nabývá vlastnického práva k Předmětu plnění jeho řádným převzetím na základě podepsaného dodacího listu</w:t>
      </w:r>
      <w:r w:rsidR="00A22028">
        <w:rPr>
          <w:rFonts w:asciiTheme="minorHAnsi" w:hAnsiTheme="minorHAnsi" w:cstheme="minorHAnsi"/>
          <w:sz w:val="22"/>
          <w:szCs w:val="22"/>
        </w:rPr>
        <w:t>/předávacího protokolu</w:t>
      </w:r>
      <w:r w:rsidRPr="00202AE1">
        <w:rPr>
          <w:rFonts w:asciiTheme="minorHAnsi" w:hAnsiTheme="minorHAnsi" w:cstheme="minorHAnsi"/>
          <w:sz w:val="22"/>
          <w:szCs w:val="22"/>
        </w:rPr>
        <w:t xml:space="preserve">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6DDA31EB"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 xml:space="preserve">za něj sjednanou </w:t>
      </w:r>
      <w:r w:rsidR="007B3808">
        <w:rPr>
          <w:rFonts w:asciiTheme="minorHAnsi" w:hAnsiTheme="minorHAnsi" w:cstheme="minorHAnsi"/>
          <w:sz w:val="22"/>
          <w:szCs w:val="22"/>
        </w:rPr>
        <w:t>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0C7CB437" w14:textId="77777777"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hAnsiTheme="minorHAnsi" w:cstheme="minorHAnsi"/>
          <w:b w:val="0"/>
          <w:color w:val="auto"/>
          <w:sz w:val="22"/>
          <w:szCs w:val="22"/>
        </w:rPr>
        <w:t>Prodávající odpovídá Kupujícímu, že Předmět plnění při převzetí nemá vady (faktické či právní) a že je Předmět plnění nový. Zejména odpovídá Kupujícímu, že Předmět plnění:</w:t>
      </w:r>
    </w:p>
    <w:p w14:paraId="271A475F" w14:textId="1C1CACCD" w:rsidR="0031271A" w:rsidRPr="00A867A5" w:rsidRDefault="0031271A" w:rsidP="0031271A">
      <w:pPr>
        <w:pStyle w:val="Odstavecseseznamem"/>
        <w:numPr>
          <w:ilvl w:val="0"/>
          <w:numId w:val="29"/>
        </w:numPr>
        <w:spacing w:line="276" w:lineRule="auto"/>
        <w:ind w:left="1134" w:hanging="567"/>
        <w:rPr>
          <w:rFonts w:asciiTheme="minorHAnsi" w:hAnsiTheme="minorHAnsi" w:cstheme="minorHAnsi"/>
          <w:sz w:val="22"/>
        </w:rPr>
      </w:pPr>
      <w:r w:rsidRPr="00A867A5">
        <w:rPr>
          <w:rFonts w:asciiTheme="minorHAnsi" w:hAnsiTheme="minorHAnsi" w:cstheme="minorHAnsi"/>
          <w:sz w:val="22"/>
        </w:rPr>
        <w:t>odpovídá ujednanému popisu, druhu, množství, funkčnosti a jiným ujednaným vlastnostem dle této smlouvy a její přílohy č. 1 – Technická specifikace,</w:t>
      </w:r>
    </w:p>
    <w:p w14:paraId="3630E1DE" w14:textId="131E05C6" w:rsidR="0031271A" w:rsidRPr="00A867A5" w:rsidRDefault="0031271A" w:rsidP="0031271A">
      <w:pPr>
        <w:pStyle w:val="Odstavecseseznamem"/>
        <w:numPr>
          <w:ilvl w:val="0"/>
          <w:numId w:val="29"/>
        </w:numPr>
        <w:spacing w:line="276" w:lineRule="auto"/>
        <w:ind w:left="1134" w:hanging="567"/>
        <w:rPr>
          <w:rFonts w:asciiTheme="minorHAnsi" w:hAnsiTheme="minorHAnsi" w:cstheme="minorHAnsi"/>
          <w:sz w:val="22"/>
        </w:rPr>
      </w:pPr>
      <w:r w:rsidRPr="00A867A5">
        <w:rPr>
          <w:rFonts w:asciiTheme="minorHAnsi" w:hAnsiTheme="minorHAnsi" w:cstheme="minorHAnsi"/>
          <w:sz w:val="22"/>
        </w:rPr>
        <w:t>je dodán s ujednaným příslušenstvím a doklady.</w:t>
      </w:r>
    </w:p>
    <w:p w14:paraId="0C55CE7E" w14:textId="42113640"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hAnsiTheme="minorHAnsi" w:cstheme="minorHAnsi"/>
          <w:b w:val="0"/>
          <w:color w:val="auto"/>
          <w:sz w:val="22"/>
          <w:szCs w:val="22"/>
        </w:rPr>
        <w:t xml:space="preserve">Prodávající dále poskytuje na Předmět plnění záruku za jakost v délce trvání </w:t>
      </w:r>
      <w:r w:rsidR="00966578" w:rsidRPr="00A867A5">
        <w:rPr>
          <w:rFonts w:asciiTheme="minorHAnsi" w:hAnsiTheme="minorHAnsi" w:cstheme="minorHAnsi"/>
          <w:b w:val="0"/>
          <w:color w:val="auto"/>
          <w:sz w:val="22"/>
          <w:szCs w:val="22"/>
        </w:rPr>
        <w:t>24 měsíců</w:t>
      </w:r>
      <w:r w:rsidRPr="00A867A5">
        <w:rPr>
          <w:rFonts w:asciiTheme="minorHAnsi" w:hAnsiTheme="minorHAnsi" w:cstheme="minorHAnsi"/>
          <w:b w:val="0"/>
          <w:color w:val="auto"/>
          <w:sz w:val="22"/>
          <w:szCs w:val="22"/>
        </w:rPr>
        <w:t xml:space="preserve">. V případě, že bude na faktuře, dodacím listu či </w:t>
      </w:r>
      <w:r w:rsidR="00966578" w:rsidRPr="00A867A5">
        <w:rPr>
          <w:rFonts w:asciiTheme="minorHAnsi" w:hAnsiTheme="minorHAnsi" w:cstheme="minorHAnsi"/>
          <w:b w:val="0"/>
          <w:color w:val="auto"/>
          <w:sz w:val="22"/>
          <w:szCs w:val="22"/>
        </w:rPr>
        <w:t>servisní smlouvě uzavřené dodatečně mezi smluvními stranami</w:t>
      </w:r>
      <w:r w:rsidRPr="00A867A5">
        <w:rPr>
          <w:rFonts w:asciiTheme="minorHAnsi" w:hAnsiTheme="minorHAnsi" w:cstheme="minorHAnsi"/>
          <w:b w:val="0"/>
          <w:color w:val="auto"/>
          <w:sz w:val="22"/>
          <w:szCs w:val="22"/>
        </w:rPr>
        <w:t xml:space="preserve"> vyznačena </w:t>
      </w:r>
      <w:r w:rsidR="00966578" w:rsidRPr="00A867A5">
        <w:rPr>
          <w:rFonts w:asciiTheme="minorHAnsi" w:hAnsiTheme="minorHAnsi" w:cstheme="minorHAnsi"/>
          <w:b w:val="0"/>
          <w:color w:val="auto"/>
          <w:sz w:val="22"/>
          <w:szCs w:val="22"/>
        </w:rPr>
        <w:t xml:space="preserve">či sjednána </w:t>
      </w:r>
      <w:r w:rsidRPr="00A867A5">
        <w:rPr>
          <w:rFonts w:asciiTheme="minorHAnsi" w:hAnsiTheme="minorHAnsi" w:cstheme="minorHAnsi"/>
          <w:b w:val="0"/>
          <w:color w:val="auto"/>
          <w:sz w:val="22"/>
          <w:szCs w:val="22"/>
        </w:rPr>
        <w:t xml:space="preserve">delší záruční doba, má tato přednost před ustanovením této smlouvy. </w:t>
      </w:r>
    </w:p>
    <w:p w14:paraId="52DF627B" w14:textId="628940A7"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hAnsiTheme="minorHAnsi" w:cstheme="minorHAnsi"/>
          <w:b w:val="0"/>
          <w:color w:val="auto"/>
          <w:sz w:val="22"/>
          <w:szCs w:val="22"/>
        </w:rPr>
        <w:t xml:space="preserve">Záruční doba začíná běžet ode dne předání a převzetí Předmětu plnění na základě </w:t>
      </w:r>
      <w:r w:rsidR="00966578" w:rsidRPr="00A867A5">
        <w:rPr>
          <w:rFonts w:asciiTheme="minorHAnsi" w:hAnsiTheme="minorHAnsi" w:cstheme="minorHAnsi"/>
          <w:b w:val="0"/>
          <w:color w:val="auto"/>
          <w:sz w:val="22"/>
          <w:szCs w:val="22"/>
        </w:rPr>
        <w:t>dodacího listu/p</w:t>
      </w:r>
      <w:r w:rsidRPr="00A867A5">
        <w:rPr>
          <w:rFonts w:asciiTheme="minorHAnsi" w:hAnsiTheme="minorHAnsi" w:cstheme="minorHAnsi"/>
          <w:b w:val="0"/>
          <w:color w:val="auto"/>
          <w:sz w:val="22"/>
          <w:szCs w:val="22"/>
        </w:rPr>
        <w:t>ředávacího protokolu.</w:t>
      </w:r>
    </w:p>
    <w:p w14:paraId="5ED1F70D" w14:textId="77777777"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hAnsiTheme="minorHAnsi" w:cstheme="minorHAnsi"/>
          <w:b w:val="0"/>
          <w:color w:val="auto"/>
          <w:sz w:val="22"/>
          <w:szCs w:val="22"/>
        </w:rPr>
        <w:t>Zárukou za jakost se Prodávající Kupujícímu zaručuje, že Předmět plnění, jeho součásti a příslušenství si po záruční dobu při obvyklém použití uchová své funkce, výkonnost a další vlastnosti deklarované výrobcem nebo sjednané touto smlouvou a její přílohou č. 1. Vadou Předmětu plnění není opotřebení způsobené jeho obvyklým užíváním.</w:t>
      </w:r>
    </w:p>
    <w:p w14:paraId="37FF9CEB" w14:textId="77777777"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hAnsiTheme="minorHAnsi" w:cstheme="minorHAnsi"/>
          <w:b w:val="0"/>
          <w:color w:val="auto"/>
          <w:sz w:val="22"/>
          <w:szCs w:val="22"/>
        </w:rPr>
        <w:t>Záruka za jakost se nevztahuje na vady či poškození, které zavinil Kupující sám, zejména nesprávnou obsluhou nebo údržbou Předmětu plnění, a dále na vady či poškození, které vznikly působením vnějších vlivů (násilným poškozením vozidla a živelnou pohromou apod.). Prodávající však odpovídá Kupujícímu také za vadu způsobenou nesprávnou montáží nebo instalací, která byla podle smlouvy provedena Prodávajícím nebo na jeho odpovědnost. To platí i v případě, že byla montáž nebo instalace provedena Kupujícím a vada nastala v důsledku nedostatku v návodu, který k ní poskytl Prodávající.</w:t>
      </w:r>
    </w:p>
    <w:p w14:paraId="6433AC20" w14:textId="0A0342F2"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hAnsiTheme="minorHAnsi" w:cstheme="minorHAnsi"/>
          <w:b w:val="0"/>
          <w:color w:val="auto"/>
          <w:sz w:val="22"/>
          <w:szCs w:val="22"/>
        </w:rPr>
        <w:t>Kupující může vytknout vadu, která se na Předmětu plnění projeví v záruční době, a to bez ohledu na</w:t>
      </w:r>
      <w:r w:rsidR="00966578" w:rsidRPr="00A867A5">
        <w:rPr>
          <w:rFonts w:asciiTheme="minorHAnsi" w:hAnsiTheme="minorHAnsi" w:cstheme="minorHAnsi"/>
          <w:b w:val="0"/>
          <w:color w:val="auto"/>
          <w:sz w:val="22"/>
          <w:szCs w:val="22"/>
        </w:rPr>
        <w:t> </w:t>
      </w:r>
      <w:r w:rsidRPr="00A867A5">
        <w:rPr>
          <w:rFonts w:asciiTheme="minorHAnsi" w:hAnsiTheme="minorHAnsi" w:cstheme="minorHAnsi"/>
          <w:b w:val="0"/>
          <w:color w:val="auto"/>
          <w:sz w:val="22"/>
          <w:szCs w:val="22"/>
        </w:rPr>
        <w:t xml:space="preserve">to, zda se jednalo o vady, kterou měl Předmět plnění již při převzetí a Kupující tuto vadu neoznámil; smluvní strany vylučují aplikaci </w:t>
      </w:r>
      <w:proofErr w:type="spellStart"/>
      <w:r w:rsidRPr="00A867A5">
        <w:rPr>
          <w:rFonts w:asciiTheme="minorHAnsi" w:hAnsiTheme="minorHAnsi" w:cstheme="minorHAnsi"/>
          <w:b w:val="0"/>
          <w:color w:val="auto"/>
          <w:sz w:val="22"/>
          <w:szCs w:val="22"/>
        </w:rPr>
        <w:t>ust</w:t>
      </w:r>
      <w:proofErr w:type="spellEnd"/>
      <w:r w:rsidRPr="00A867A5">
        <w:rPr>
          <w:rFonts w:asciiTheme="minorHAnsi" w:hAnsiTheme="minorHAnsi" w:cstheme="minorHAnsi"/>
          <w:b w:val="0"/>
          <w:color w:val="auto"/>
          <w:sz w:val="22"/>
          <w:szCs w:val="22"/>
        </w:rPr>
        <w:t>. §§ 1921, § 2103, § 2111, § 2112 OZ, co do požadavku na dobu vytknutí vady Kupujícím; Kupujícímu může uplatnit své právo ze záruky na Předmětu plnění i v poslední den trvání příslušné záruční doby.</w:t>
      </w:r>
    </w:p>
    <w:p w14:paraId="37B8AB34" w14:textId="77777777"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hAnsiTheme="minorHAnsi" w:cstheme="minorHAnsi"/>
          <w:b w:val="0"/>
          <w:color w:val="auto"/>
          <w:sz w:val="22"/>
          <w:szCs w:val="22"/>
        </w:rPr>
        <w:t>Má-li Předmět plnění vadu, může Kupující požadovat odstranění vady:</w:t>
      </w:r>
    </w:p>
    <w:p w14:paraId="457948C4" w14:textId="77777777" w:rsidR="00571E83" w:rsidRDefault="0031271A" w:rsidP="0031271A">
      <w:pPr>
        <w:pStyle w:val="Odstavecseseznamem"/>
        <w:numPr>
          <w:ilvl w:val="0"/>
          <w:numId w:val="30"/>
        </w:numPr>
        <w:spacing w:line="276" w:lineRule="auto"/>
        <w:ind w:left="1134" w:hanging="567"/>
        <w:rPr>
          <w:rFonts w:asciiTheme="minorHAnsi" w:hAnsiTheme="minorHAnsi" w:cstheme="minorHAnsi"/>
          <w:sz w:val="22"/>
        </w:rPr>
      </w:pPr>
      <w:r w:rsidRPr="0031271A">
        <w:rPr>
          <w:rFonts w:asciiTheme="minorHAnsi" w:hAnsiTheme="minorHAnsi" w:cstheme="minorHAnsi"/>
          <w:sz w:val="22"/>
        </w:rPr>
        <w:t xml:space="preserve">zejména opravou Předmětu plnění nebo jeho části, je-li vada odstranitelná, </w:t>
      </w:r>
    </w:p>
    <w:p w14:paraId="2A32B1A8" w14:textId="547B3F04" w:rsidR="0031271A" w:rsidRDefault="0031271A" w:rsidP="0031271A">
      <w:pPr>
        <w:pStyle w:val="Odstavecseseznamem"/>
        <w:numPr>
          <w:ilvl w:val="0"/>
          <w:numId w:val="30"/>
        </w:numPr>
        <w:spacing w:line="276" w:lineRule="auto"/>
        <w:ind w:left="1134" w:hanging="567"/>
        <w:rPr>
          <w:rFonts w:asciiTheme="minorHAnsi" w:hAnsiTheme="minorHAnsi" w:cstheme="minorHAnsi"/>
          <w:sz w:val="22"/>
        </w:rPr>
      </w:pPr>
      <w:r w:rsidRPr="00966578">
        <w:rPr>
          <w:rFonts w:asciiTheme="minorHAnsi" w:hAnsiTheme="minorHAnsi" w:cstheme="minorHAnsi"/>
          <w:sz w:val="22"/>
        </w:rPr>
        <w:t>výměnou součásti Předmětu plnění, pokud se vada týká pouze součásti Předmětu plnění nebo pokud v případě odstranitelné vady došlo již minimálně jednou k výskytu vad po opravě nebo pro výskyt větší</w:t>
      </w:r>
      <w:r w:rsidR="00571E83">
        <w:rPr>
          <w:rFonts w:asciiTheme="minorHAnsi" w:hAnsiTheme="minorHAnsi" w:cstheme="minorHAnsi"/>
          <w:sz w:val="22"/>
        </w:rPr>
        <w:t>ho počtu vad na Předmětu plnění, nebo</w:t>
      </w:r>
    </w:p>
    <w:p w14:paraId="1853C755" w14:textId="6A9E42F2" w:rsidR="00571E83" w:rsidRPr="00966578" w:rsidRDefault="00571E83" w:rsidP="0031271A">
      <w:pPr>
        <w:pStyle w:val="Odstavecseseznamem"/>
        <w:numPr>
          <w:ilvl w:val="0"/>
          <w:numId w:val="30"/>
        </w:numPr>
        <w:spacing w:line="276" w:lineRule="auto"/>
        <w:ind w:left="1134" w:hanging="567"/>
        <w:rPr>
          <w:rFonts w:asciiTheme="minorHAnsi" w:hAnsiTheme="minorHAnsi" w:cstheme="minorHAnsi"/>
          <w:sz w:val="22"/>
        </w:rPr>
      </w:pPr>
      <w:r>
        <w:rPr>
          <w:rFonts w:asciiTheme="minorHAnsi" w:hAnsiTheme="minorHAnsi" w:cstheme="minorHAnsi"/>
          <w:sz w:val="22"/>
        </w:rPr>
        <w:lastRenderedPageBreak/>
        <w:t>dodání nové věci bez vad.</w:t>
      </w:r>
    </w:p>
    <w:p w14:paraId="75D63153" w14:textId="246BBC7E"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color w:val="auto"/>
          <w:sz w:val="22"/>
          <w:szCs w:val="22"/>
        </w:rPr>
      </w:pPr>
      <w:r w:rsidRPr="00A867A5">
        <w:rPr>
          <w:rFonts w:asciiTheme="minorHAnsi" w:eastAsia="Times New Roman" w:hAnsiTheme="minorHAnsi" w:cstheme="minorHAnsi"/>
          <w:b w:val="0"/>
          <w:color w:val="auto"/>
          <w:sz w:val="22"/>
          <w:szCs w:val="22"/>
        </w:rPr>
        <w:t xml:space="preserve">Prodávající se zavazuje odstranit vady Předmětu plnění </w:t>
      </w:r>
      <w:r w:rsidRPr="00A867A5">
        <w:rPr>
          <w:rFonts w:asciiTheme="minorHAnsi" w:hAnsiTheme="minorHAnsi" w:cstheme="minorHAnsi"/>
          <w:b w:val="0"/>
          <w:color w:val="auto"/>
          <w:sz w:val="22"/>
          <w:szCs w:val="22"/>
        </w:rPr>
        <w:t>bezodkladně, nejpozději však do 30 dnů ode</w:t>
      </w:r>
      <w:r w:rsidR="00966578" w:rsidRPr="00A867A5">
        <w:rPr>
          <w:rFonts w:asciiTheme="minorHAnsi" w:hAnsiTheme="minorHAnsi" w:cstheme="minorHAnsi"/>
          <w:b w:val="0"/>
          <w:color w:val="auto"/>
          <w:sz w:val="22"/>
          <w:szCs w:val="22"/>
        </w:rPr>
        <w:t> </w:t>
      </w:r>
      <w:r w:rsidRPr="00A867A5">
        <w:rPr>
          <w:rFonts w:asciiTheme="minorHAnsi" w:hAnsiTheme="minorHAnsi" w:cstheme="minorHAnsi"/>
          <w:b w:val="0"/>
          <w:color w:val="auto"/>
          <w:sz w:val="22"/>
          <w:szCs w:val="22"/>
        </w:rPr>
        <w:t xml:space="preserve">dne obdržení písemného oznámení o vadě, nebude-li mezi smluvními stranami dohodnuto </w:t>
      </w:r>
      <w:r w:rsidRPr="00A867A5">
        <w:rPr>
          <w:rFonts w:asciiTheme="minorHAnsi" w:eastAsia="Times New Roman" w:hAnsiTheme="minorHAnsi" w:cstheme="minorHAnsi"/>
          <w:b w:val="0"/>
          <w:color w:val="auto"/>
          <w:sz w:val="22"/>
          <w:szCs w:val="22"/>
        </w:rPr>
        <w:t>jinak.</w:t>
      </w:r>
      <w:r w:rsidRPr="00A867A5">
        <w:rPr>
          <w:rFonts w:asciiTheme="minorHAnsi" w:hAnsiTheme="minorHAnsi" w:cstheme="minorHAnsi"/>
          <w:b w:val="0"/>
          <w:color w:val="auto"/>
          <w:sz w:val="22"/>
          <w:szCs w:val="22"/>
        </w:rPr>
        <w:t xml:space="preserve"> O odstranění reklamované vady sepíší smluvní strany protokol, ve kterém potvrdí odstranění vady. O</w:t>
      </w:r>
      <w:r w:rsidR="00966578" w:rsidRPr="00A867A5">
        <w:rPr>
          <w:rFonts w:asciiTheme="minorHAnsi" w:hAnsiTheme="minorHAnsi" w:cstheme="minorHAnsi"/>
          <w:b w:val="0"/>
          <w:color w:val="auto"/>
          <w:sz w:val="22"/>
          <w:szCs w:val="22"/>
        </w:rPr>
        <w:t> </w:t>
      </w:r>
      <w:r w:rsidRPr="00A867A5">
        <w:rPr>
          <w:rFonts w:asciiTheme="minorHAnsi" w:hAnsiTheme="minorHAnsi" w:cstheme="minorHAnsi"/>
          <w:b w:val="0"/>
          <w:color w:val="auto"/>
          <w:sz w:val="22"/>
          <w:szCs w:val="22"/>
        </w:rPr>
        <w:t>dobu, která uplyne ode dne uplatnění reklamace do odstranění vady, se záruční doba prodlužuje.</w:t>
      </w:r>
    </w:p>
    <w:p w14:paraId="352F3F4E" w14:textId="77777777" w:rsidR="0031271A" w:rsidRPr="00A867A5" w:rsidRDefault="0031271A" w:rsidP="0031271A">
      <w:pPr>
        <w:pStyle w:val="Nadpis2"/>
        <w:keepNext w:val="0"/>
        <w:numPr>
          <w:ilvl w:val="1"/>
          <w:numId w:val="28"/>
        </w:numPr>
        <w:spacing w:before="0" w:after="80" w:line="160" w:lineRule="atLeast"/>
        <w:ind w:left="567" w:hanging="567"/>
        <w:jc w:val="both"/>
        <w:rPr>
          <w:rFonts w:asciiTheme="minorHAnsi" w:eastAsia="Times New Roman" w:hAnsiTheme="minorHAnsi" w:cstheme="minorHAnsi"/>
          <w:b w:val="0"/>
          <w:color w:val="auto"/>
          <w:sz w:val="22"/>
          <w:szCs w:val="22"/>
        </w:rPr>
      </w:pPr>
      <w:r w:rsidRPr="00A867A5">
        <w:rPr>
          <w:rFonts w:asciiTheme="minorHAnsi" w:eastAsia="Times New Roman" w:hAnsiTheme="minorHAnsi" w:cstheme="minorHAnsi"/>
          <w:b w:val="0"/>
          <w:color w:val="auto"/>
          <w:sz w:val="22"/>
          <w:szCs w:val="22"/>
        </w:rPr>
        <w:t>Při odstraňování vad se Objednatel zavazuje poskytovat Zhotoviteli veškerou potřebnou součinnost. Objednateli náleží náhrada nákladů účelně vynaložených při uplatnění práv ze záruky za jakost.</w:t>
      </w:r>
    </w:p>
    <w:p w14:paraId="709C5A71" w14:textId="77777777" w:rsidR="0031271A" w:rsidRPr="00A867A5" w:rsidRDefault="0031271A" w:rsidP="0031271A">
      <w:pPr>
        <w:pStyle w:val="Nadpis2"/>
        <w:keepNext w:val="0"/>
        <w:numPr>
          <w:ilvl w:val="1"/>
          <w:numId w:val="28"/>
        </w:numPr>
        <w:spacing w:before="0" w:after="80" w:line="160" w:lineRule="atLeast"/>
        <w:ind w:left="567" w:hanging="567"/>
        <w:jc w:val="both"/>
        <w:rPr>
          <w:rFonts w:asciiTheme="minorHAnsi" w:hAnsiTheme="minorHAnsi" w:cstheme="minorHAnsi"/>
          <w:b w:val="0"/>
          <w:bCs w:val="0"/>
          <w:color w:val="auto"/>
          <w:sz w:val="22"/>
          <w:szCs w:val="22"/>
        </w:rPr>
      </w:pPr>
      <w:r w:rsidRPr="00A867A5">
        <w:rPr>
          <w:rFonts w:asciiTheme="minorHAnsi" w:hAnsiTheme="minorHAnsi" w:cstheme="minorHAnsi"/>
          <w:b w:val="0"/>
          <w:bCs w:val="0"/>
          <w:color w:val="auto"/>
          <w:sz w:val="22"/>
          <w:szCs w:val="22"/>
        </w:rPr>
        <w:t>Kupující může požadovat přiměřenou slevu z kupní ceny nebo odstoupit od smlouvy, pokud:</w:t>
      </w:r>
    </w:p>
    <w:p w14:paraId="3946895A" w14:textId="77777777" w:rsidR="0031271A" w:rsidRPr="00A867A5" w:rsidRDefault="0031271A" w:rsidP="0031271A">
      <w:pPr>
        <w:pStyle w:val="Odstavecseseznamem"/>
        <w:numPr>
          <w:ilvl w:val="0"/>
          <w:numId w:val="31"/>
        </w:numPr>
        <w:spacing w:line="276" w:lineRule="auto"/>
        <w:ind w:left="1134"/>
        <w:rPr>
          <w:rFonts w:asciiTheme="minorHAnsi" w:eastAsiaTheme="majorEastAsia" w:hAnsiTheme="minorHAnsi" w:cstheme="minorHAnsi"/>
          <w:sz w:val="22"/>
        </w:rPr>
      </w:pPr>
      <w:r w:rsidRPr="00A867A5">
        <w:rPr>
          <w:rFonts w:asciiTheme="minorHAnsi" w:eastAsiaTheme="majorEastAsia" w:hAnsiTheme="minorHAnsi" w:cstheme="minorHAnsi"/>
          <w:sz w:val="22"/>
        </w:rPr>
        <w:t>Prodávající odmítl vadu Předmětu plnění odstranit nebo ji neodstranil v souladu s tímto čl. V odst. 7 a 8 této smlouvy,</w:t>
      </w:r>
    </w:p>
    <w:p w14:paraId="6210158A" w14:textId="77777777" w:rsidR="0031271A" w:rsidRPr="00A867A5" w:rsidRDefault="0031271A" w:rsidP="0031271A">
      <w:pPr>
        <w:pStyle w:val="Odstavecseseznamem"/>
        <w:numPr>
          <w:ilvl w:val="0"/>
          <w:numId w:val="31"/>
        </w:numPr>
        <w:spacing w:line="276" w:lineRule="auto"/>
        <w:ind w:left="1134"/>
        <w:rPr>
          <w:rFonts w:asciiTheme="minorHAnsi" w:eastAsiaTheme="majorEastAsia" w:hAnsiTheme="minorHAnsi" w:cstheme="minorHAnsi"/>
          <w:sz w:val="22"/>
        </w:rPr>
      </w:pPr>
      <w:r w:rsidRPr="00A867A5">
        <w:rPr>
          <w:rFonts w:asciiTheme="minorHAnsi" w:eastAsiaTheme="majorEastAsia" w:hAnsiTheme="minorHAnsi" w:cstheme="minorHAnsi"/>
          <w:sz w:val="22"/>
        </w:rPr>
        <w:t>vada Předmětu plnění je podstatným porušením této smlouvy,</w:t>
      </w:r>
      <w:r w:rsidRPr="00A867A5">
        <w:rPr>
          <w:rFonts w:asciiTheme="minorHAnsi" w:eastAsiaTheme="majorEastAsia" w:hAnsiTheme="minorHAnsi" w:cstheme="minorHAnsi"/>
          <w:bCs/>
          <w:sz w:val="22"/>
        </w:rPr>
        <w:t xml:space="preserve"> </w:t>
      </w:r>
    </w:p>
    <w:p w14:paraId="1E1732CA" w14:textId="77777777" w:rsidR="0031271A" w:rsidRPr="00A867A5" w:rsidRDefault="0031271A" w:rsidP="0031271A">
      <w:pPr>
        <w:pStyle w:val="Odstavecseseznamem"/>
        <w:numPr>
          <w:ilvl w:val="0"/>
          <w:numId w:val="31"/>
        </w:numPr>
        <w:spacing w:line="276" w:lineRule="auto"/>
        <w:ind w:left="1134"/>
        <w:rPr>
          <w:rFonts w:asciiTheme="minorHAnsi" w:eastAsiaTheme="majorEastAsia" w:hAnsiTheme="minorHAnsi" w:cstheme="minorHAnsi"/>
          <w:sz w:val="22"/>
        </w:rPr>
      </w:pPr>
      <w:r w:rsidRPr="00A867A5">
        <w:rPr>
          <w:rFonts w:asciiTheme="minorHAnsi" w:hAnsiTheme="minorHAnsi" w:cstheme="minorHAnsi"/>
          <w:sz w:val="22"/>
        </w:rPr>
        <w:t>vyskytne-li se na Předmětu plnění</w:t>
      </w:r>
      <w:r w:rsidRPr="00A867A5">
        <w:rPr>
          <w:rFonts w:asciiTheme="minorHAnsi" w:eastAsiaTheme="majorEastAsia" w:hAnsiTheme="minorHAnsi" w:cstheme="minorHAnsi"/>
          <w:sz w:val="22"/>
        </w:rPr>
        <w:t xml:space="preserve"> větší poč</w:t>
      </w:r>
      <w:r w:rsidRPr="00A867A5">
        <w:rPr>
          <w:rFonts w:asciiTheme="minorHAnsi" w:hAnsiTheme="minorHAnsi" w:cstheme="minorHAnsi"/>
          <w:sz w:val="22"/>
        </w:rPr>
        <w:t>e</w:t>
      </w:r>
      <w:r w:rsidRPr="00A867A5">
        <w:rPr>
          <w:rFonts w:asciiTheme="minorHAnsi" w:eastAsiaTheme="majorEastAsia" w:hAnsiTheme="minorHAnsi" w:cstheme="minorHAnsi"/>
          <w:sz w:val="22"/>
        </w:rPr>
        <w:t xml:space="preserve">t vad (pro </w:t>
      </w:r>
      <w:r w:rsidRPr="00A867A5">
        <w:rPr>
          <w:rFonts w:asciiTheme="minorHAnsi" w:hAnsiTheme="minorHAnsi" w:cstheme="minorHAnsi"/>
          <w:sz w:val="22"/>
        </w:rPr>
        <w:t>předejití</w:t>
      </w:r>
      <w:r w:rsidRPr="00A867A5">
        <w:rPr>
          <w:rFonts w:asciiTheme="minorHAnsi" w:eastAsiaTheme="majorEastAsia" w:hAnsiTheme="minorHAnsi" w:cstheme="minorHAnsi"/>
          <w:sz w:val="22"/>
        </w:rPr>
        <w:t xml:space="preserve"> pochybností se stanoví, že výskytem většího počtu vad se rozumí více než 5 vad na Předmětu plnění)</w:t>
      </w:r>
      <w:r w:rsidRPr="00A867A5">
        <w:rPr>
          <w:rFonts w:asciiTheme="minorHAnsi" w:eastAsiaTheme="majorEastAsia" w:hAnsiTheme="minorHAnsi" w:cstheme="minorHAnsi"/>
          <w:bCs/>
          <w:sz w:val="22"/>
        </w:rPr>
        <w:t xml:space="preserve"> </w:t>
      </w:r>
    </w:p>
    <w:p w14:paraId="7B04392F" w14:textId="77777777" w:rsidR="0031271A" w:rsidRPr="00A867A5" w:rsidRDefault="0031271A" w:rsidP="0031271A">
      <w:pPr>
        <w:pStyle w:val="Odstavecseseznamem"/>
        <w:numPr>
          <w:ilvl w:val="0"/>
          <w:numId w:val="31"/>
        </w:numPr>
        <w:spacing w:line="276" w:lineRule="auto"/>
        <w:ind w:left="1134"/>
        <w:rPr>
          <w:rFonts w:asciiTheme="minorHAnsi" w:eastAsiaTheme="majorEastAsia" w:hAnsiTheme="minorHAnsi" w:cstheme="minorHAnsi"/>
          <w:sz w:val="22"/>
        </w:rPr>
      </w:pPr>
      <w:r w:rsidRPr="00A867A5">
        <w:rPr>
          <w:rFonts w:asciiTheme="minorHAnsi" w:eastAsiaTheme="majorEastAsia" w:hAnsiTheme="minorHAnsi" w:cstheme="minorHAnsi"/>
          <w:bCs/>
          <w:sz w:val="22"/>
        </w:rPr>
        <w:t xml:space="preserve">vada se projeví opakovaně, zejména tehdy, došlo-li k </w:t>
      </w:r>
      <w:r w:rsidRPr="00A867A5">
        <w:rPr>
          <w:rFonts w:asciiTheme="minorHAnsi" w:eastAsiaTheme="majorEastAsia" w:hAnsiTheme="minorHAnsi" w:cstheme="minorHAnsi"/>
          <w:sz w:val="22"/>
        </w:rPr>
        <w:t xml:space="preserve">vadě Předmětu plnění již minimálně dvakrát k výskytu vad po provedené opravě nebo po výměně součástí Předmětu plnění, </w:t>
      </w:r>
    </w:p>
    <w:p w14:paraId="6C12BD0D" w14:textId="77777777" w:rsidR="0031271A" w:rsidRPr="00A867A5" w:rsidRDefault="0031271A" w:rsidP="0031271A">
      <w:pPr>
        <w:pStyle w:val="Odstavecseseznamem"/>
        <w:numPr>
          <w:ilvl w:val="0"/>
          <w:numId w:val="31"/>
        </w:numPr>
        <w:spacing w:line="276" w:lineRule="auto"/>
        <w:ind w:left="1134"/>
        <w:rPr>
          <w:rFonts w:asciiTheme="minorHAnsi" w:eastAsiaTheme="majorEastAsia" w:hAnsiTheme="minorHAnsi" w:cstheme="minorHAnsi"/>
          <w:sz w:val="22"/>
        </w:rPr>
      </w:pPr>
      <w:r w:rsidRPr="00A867A5">
        <w:rPr>
          <w:rFonts w:asciiTheme="minorHAnsi" w:hAnsiTheme="minorHAnsi" w:cstheme="minorHAnsi"/>
          <w:sz w:val="22"/>
        </w:rPr>
        <w:t>je z prohlášení Prodávající nebo z okolností zjevné, že vada nebude odstraněna v přiměřené době nebo bez značených obtíží pro Kupujícího.</w:t>
      </w:r>
    </w:p>
    <w:p w14:paraId="25EB9B07" w14:textId="77777777" w:rsidR="0031271A" w:rsidRPr="00A867A5" w:rsidRDefault="0031271A" w:rsidP="0031271A">
      <w:pPr>
        <w:pStyle w:val="Nadpis2"/>
        <w:spacing w:after="80" w:line="160" w:lineRule="atLeast"/>
        <w:ind w:left="567"/>
        <w:rPr>
          <w:rFonts w:asciiTheme="minorHAnsi" w:hAnsiTheme="minorHAnsi" w:cstheme="minorHAnsi"/>
          <w:b w:val="0"/>
          <w:color w:val="auto"/>
          <w:sz w:val="22"/>
          <w:szCs w:val="22"/>
        </w:rPr>
      </w:pPr>
      <w:proofErr w:type="spellStart"/>
      <w:r w:rsidRPr="00A867A5">
        <w:rPr>
          <w:rFonts w:asciiTheme="minorHAnsi" w:hAnsiTheme="minorHAnsi" w:cstheme="minorHAnsi"/>
          <w:b w:val="0"/>
          <w:color w:val="auto"/>
          <w:sz w:val="22"/>
          <w:szCs w:val="22"/>
        </w:rPr>
        <w:t>Ust</w:t>
      </w:r>
      <w:proofErr w:type="spellEnd"/>
      <w:r w:rsidRPr="00A867A5">
        <w:rPr>
          <w:rFonts w:asciiTheme="minorHAnsi" w:hAnsiTheme="minorHAnsi" w:cstheme="minorHAnsi"/>
          <w:b w:val="0"/>
          <w:color w:val="auto"/>
          <w:sz w:val="22"/>
          <w:szCs w:val="22"/>
        </w:rPr>
        <w:t xml:space="preserve">. </w:t>
      </w:r>
      <w:hyperlink r:id="rId13" w:history="1">
        <w:r w:rsidRPr="00A867A5">
          <w:rPr>
            <w:rFonts w:asciiTheme="minorHAnsi" w:hAnsiTheme="minorHAnsi" w:cstheme="minorHAnsi"/>
            <w:b w:val="0"/>
            <w:color w:val="auto"/>
            <w:sz w:val="22"/>
            <w:szCs w:val="22"/>
          </w:rPr>
          <w:t>§§ 1923</w:t>
        </w:r>
      </w:hyperlink>
      <w:r w:rsidRPr="00A867A5">
        <w:rPr>
          <w:rFonts w:asciiTheme="minorHAnsi" w:hAnsiTheme="minorHAnsi" w:cstheme="minorHAnsi"/>
          <w:b w:val="0"/>
          <w:color w:val="auto"/>
          <w:sz w:val="22"/>
          <w:szCs w:val="22"/>
        </w:rPr>
        <w:t xml:space="preserve">, </w:t>
      </w:r>
      <w:hyperlink r:id="rId14" w:history="1">
        <w:r w:rsidRPr="00A867A5">
          <w:rPr>
            <w:rFonts w:asciiTheme="minorHAnsi" w:hAnsiTheme="minorHAnsi" w:cstheme="minorHAnsi"/>
            <w:b w:val="0"/>
            <w:color w:val="auto"/>
            <w:sz w:val="22"/>
            <w:szCs w:val="22"/>
          </w:rPr>
          <w:t>2106</w:t>
        </w:r>
      </w:hyperlink>
      <w:r w:rsidRPr="00A867A5">
        <w:rPr>
          <w:rFonts w:asciiTheme="minorHAnsi" w:hAnsiTheme="minorHAnsi" w:cstheme="minorHAnsi"/>
          <w:b w:val="0"/>
          <w:color w:val="auto"/>
          <w:sz w:val="22"/>
          <w:szCs w:val="22"/>
        </w:rPr>
        <w:t xml:space="preserve">, </w:t>
      </w:r>
      <w:hyperlink r:id="rId15" w:history="1">
        <w:r w:rsidRPr="00A867A5">
          <w:rPr>
            <w:rFonts w:asciiTheme="minorHAnsi" w:hAnsiTheme="minorHAnsi" w:cstheme="minorHAnsi"/>
            <w:b w:val="0"/>
            <w:color w:val="auto"/>
            <w:sz w:val="22"/>
            <w:szCs w:val="22"/>
          </w:rPr>
          <w:t>2107</w:t>
        </w:r>
      </w:hyperlink>
      <w:r w:rsidRPr="00A867A5">
        <w:rPr>
          <w:rFonts w:asciiTheme="minorHAnsi" w:hAnsiTheme="minorHAnsi" w:cstheme="minorHAnsi"/>
          <w:b w:val="0"/>
          <w:color w:val="auto"/>
          <w:sz w:val="22"/>
          <w:szCs w:val="22"/>
        </w:rPr>
        <w:t>, 2110 a 2111 občanského zákoníku se nepoužijí.</w:t>
      </w:r>
    </w:p>
    <w:p w14:paraId="5AA72665" w14:textId="77777777" w:rsidR="0031271A" w:rsidRPr="00A867A5" w:rsidRDefault="0031271A" w:rsidP="00966578">
      <w:pPr>
        <w:pStyle w:val="Nadpis2"/>
        <w:spacing w:after="80" w:line="160" w:lineRule="atLeast"/>
        <w:ind w:left="567"/>
        <w:jc w:val="both"/>
        <w:rPr>
          <w:rFonts w:asciiTheme="minorHAnsi" w:hAnsiTheme="minorHAnsi" w:cstheme="minorHAnsi"/>
          <w:b w:val="0"/>
          <w:color w:val="auto"/>
          <w:sz w:val="22"/>
          <w:szCs w:val="22"/>
        </w:rPr>
      </w:pPr>
      <w:bookmarkStart w:id="0" w:name="c_130382"/>
      <w:bookmarkStart w:id="1" w:name="pa_2170"/>
      <w:bookmarkStart w:id="2" w:name="p_2170"/>
      <w:bookmarkEnd w:id="0"/>
      <w:bookmarkEnd w:id="1"/>
      <w:bookmarkEnd w:id="2"/>
      <w:r w:rsidRPr="00A867A5">
        <w:rPr>
          <w:rFonts w:asciiTheme="minorHAnsi" w:hAnsiTheme="minorHAnsi" w:cstheme="minorHAnsi"/>
          <w:b w:val="0"/>
          <w:color w:val="auto"/>
          <w:sz w:val="22"/>
          <w:szCs w:val="22"/>
        </w:rPr>
        <w:t>Přiměřená sleva se určí jako rozdíl mezi hodnotou Předmětu plnění bez vady a vadné věci, kterou Kupující obdržel.</w:t>
      </w:r>
    </w:p>
    <w:p w14:paraId="77A5035A" w14:textId="2DA75365" w:rsidR="00230DBE" w:rsidRPr="00A867A5" w:rsidRDefault="00966578" w:rsidP="00966578">
      <w:pPr>
        <w:pStyle w:val="Nadpis2"/>
        <w:keepNext w:val="0"/>
        <w:numPr>
          <w:ilvl w:val="1"/>
          <w:numId w:val="28"/>
        </w:numPr>
        <w:spacing w:before="0" w:after="80" w:line="160" w:lineRule="atLeast"/>
        <w:ind w:left="567" w:hanging="567"/>
        <w:jc w:val="both"/>
        <w:rPr>
          <w:rFonts w:ascii="Calibri" w:hAnsi="Calibri" w:cs="Calibri"/>
          <w:b w:val="0"/>
          <w:color w:val="auto"/>
          <w:sz w:val="22"/>
          <w:szCs w:val="22"/>
        </w:rPr>
      </w:pPr>
      <w:r w:rsidRPr="00A867A5">
        <w:rPr>
          <w:rFonts w:ascii="Calibri" w:hAnsi="Calibri" w:cs="Calibri"/>
          <w:b w:val="0"/>
          <w:color w:val="auto"/>
          <w:sz w:val="22"/>
          <w:szCs w:val="22"/>
        </w:rPr>
        <w:t xml:space="preserve">Uzavřou-li smluvní strany servisní smlouvu, na základě níž budou Kupujícímu rozšířena </w:t>
      </w:r>
      <w:r w:rsidR="005211AC" w:rsidRPr="00A867A5">
        <w:rPr>
          <w:rFonts w:ascii="Calibri" w:hAnsi="Calibri" w:cs="Calibri"/>
          <w:b w:val="0"/>
          <w:color w:val="auto"/>
          <w:sz w:val="22"/>
          <w:szCs w:val="22"/>
        </w:rPr>
        <w:t xml:space="preserve">či konkretizována </w:t>
      </w:r>
      <w:r w:rsidRPr="00A867A5">
        <w:rPr>
          <w:rFonts w:ascii="Calibri" w:hAnsi="Calibri" w:cs="Calibri"/>
          <w:b w:val="0"/>
          <w:color w:val="auto"/>
          <w:sz w:val="22"/>
          <w:szCs w:val="22"/>
        </w:rPr>
        <w:t xml:space="preserve">práva z odpovědnosti za vady či záruky, budou mít tato ustanovení servisní smlouvy přednost před ujednáním této smlouvy, a to v rozsahu, v němž </w:t>
      </w:r>
      <w:r w:rsidR="005211AC" w:rsidRPr="00A867A5">
        <w:rPr>
          <w:rFonts w:ascii="Calibri" w:hAnsi="Calibri" w:cs="Calibri"/>
          <w:b w:val="0"/>
          <w:color w:val="auto"/>
          <w:sz w:val="22"/>
          <w:szCs w:val="22"/>
        </w:rPr>
        <w:t xml:space="preserve">se </w:t>
      </w:r>
      <w:r w:rsidRPr="00A867A5">
        <w:rPr>
          <w:rFonts w:ascii="Calibri" w:hAnsi="Calibri" w:cs="Calibri"/>
          <w:b w:val="0"/>
          <w:color w:val="auto"/>
          <w:sz w:val="22"/>
          <w:szCs w:val="22"/>
        </w:rPr>
        <w:t xml:space="preserve">práva </w:t>
      </w:r>
      <w:r w:rsidR="005211AC" w:rsidRPr="00A867A5">
        <w:rPr>
          <w:rFonts w:ascii="Calibri" w:hAnsi="Calibri" w:cs="Calibri"/>
          <w:b w:val="0"/>
          <w:color w:val="auto"/>
          <w:sz w:val="22"/>
          <w:szCs w:val="22"/>
        </w:rPr>
        <w:t xml:space="preserve">Kupujícího </w:t>
      </w:r>
      <w:r w:rsidRPr="00A867A5">
        <w:rPr>
          <w:rFonts w:ascii="Calibri" w:hAnsi="Calibri" w:cs="Calibri"/>
          <w:b w:val="0"/>
          <w:color w:val="auto"/>
          <w:sz w:val="22"/>
          <w:szCs w:val="22"/>
        </w:rPr>
        <w:t xml:space="preserve">rozšiřují </w:t>
      </w:r>
      <w:r w:rsidR="00F4374F" w:rsidRPr="00A867A5">
        <w:rPr>
          <w:rFonts w:ascii="Calibri" w:hAnsi="Calibri" w:cs="Calibri"/>
          <w:b w:val="0"/>
          <w:color w:val="auto"/>
          <w:sz w:val="22"/>
          <w:szCs w:val="22"/>
        </w:rPr>
        <w:t>nebo</w:t>
      </w:r>
      <w:r w:rsidRPr="00A867A5">
        <w:rPr>
          <w:rFonts w:ascii="Calibri" w:hAnsi="Calibri" w:cs="Calibri"/>
          <w:b w:val="0"/>
          <w:color w:val="auto"/>
          <w:sz w:val="22"/>
          <w:szCs w:val="22"/>
        </w:rPr>
        <w:t xml:space="preserve"> konkretizují. </w:t>
      </w:r>
    </w:p>
    <w:p w14:paraId="192BCBCD" w14:textId="77777777" w:rsidR="00202AE1" w:rsidRPr="00A867A5"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188F626C" w14:textId="4F897D5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sidR="00A32DF6" w:rsidRPr="00864C29">
        <w:rPr>
          <w:rFonts w:asciiTheme="minorHAnsi" w:hAnsiTheme="minorHAnsi" w:cstheme="minorHAnsi"/>
          <w:sz w:val="22"/>
          <w:szCs w:val="22"/>
        </w:rPr>
        <w:t>P</w:t>
      </w:r>
      <w:r w:rsidRPr="00864C29">
        <w:rPr>
          <w:rFonts w:asciiTheme="minorHAnsi" w:hAnsiTheme="minorHAnsi" w:cstheme="minorHAnsi"/>
          <w:sz w:val="22"/>
          <w:szCs w:val="22"/>
        </w:rPr>
        <w:t xml:space="preserve">rodávající nedodrží </w:t>
      </w:r>
      <w:r w:rsidR="00A32DF6" w:rsidRPr="00864C29">
        <w:rPr>
          <w:rFonts w:asciiTheme="minorHAnsi" w:hAnsiTheme="minorHAnsi" w:cstheme="minorHAnsi"/>
          <w:sz w:val="22"/>
          <w:szCs w:val="22"/>
        </w:rPr>
        <w:t>Dobu dodání</w:t>
      </w:r>
      <w:r w:rsidRPr="00864C29">
        <w:rPr>
          <w:rFonts w:asciiTheme="minorHAnsi" w:hAnsiTheme="minorHAnsi" w:cstheme="minorHAnsi"/>
          <w:sz w:val="22"/>
          <w:szCs w:val="22"/>
        </w:rPr>
        <w:t>,</w:t>
      </w:r>
      <w:r w:rsidR="004F1F55" w:rsidRPr="00864C29">
        <w:rPr>
          <w:rFonts w:asciiTheme="minorHAnsi" w:hAnsiTheme="minorHAnsi" w:cstheme="minorHAnsi"/>
          <w:sz w:val="22"/>
          <w:szCs w:val="22"/>
        </w:rPr>
        <w:t xml:space="preserve"> </w:t>
      </w:r>
      <w:r w:rsidR="00BC3966" w:rsidRPr="00864C29">
        <w:rPr>
          <w:rFonts w:asciiTheme="minorHAnsi" w:hAnsiTheme="minorHAnsi" w:cstheme="minorHAnsi"/>
          <w:sz w:val="22"/>
          <w:szCs w:val="22"/>
        </w:rPr>
        <w:t>m</w:t>
      </w:r>
      <w:r w:rsidR="004F1F55" w:rsidRPr="00864C29">
        <w:rPr>
          <w:rFonts w:asciiTheme="minorHAnsi" w:hAnsiTheme="minorHAnsi" w:cstheme="minorHAnsi"/>
          <w:sz w:val="22"/>
          <w:szCs w:val="22"/>
        </w:rPr>
        <w:t xml:space="preserve">á Kupující právo na zaplacení </w:t>
      </w:r>
      <w:r w:rsidRPr="00864C29">
        <w:rPr>
          <w:rFonts w:asciiTheme="minorHAnsi" w:hAnsiTheme="minorHAnsi" w:cstheme="minorHAnsi"/>
          <w:sz w:val="22"/>
          <w:szCs w:val="22"/>
        </w:rPr>
        <w:t>smluvní pokut</w:t>
      </w:r>
      <w:r w:rsidR="004F1F55" w:rsidRPr="00864C29">
        <w:rPr>
          <w:rFonts w:asciiTheme="minorHAnsi" w:hAnsiTheme="minorHAnsi" w:cstheme="minorHAnsi"/>
          <w:sz w:val="22"/>
          <w:szCs w:val="22"/>
        </w:rPr>
        <w:t>y</w:t>
      </w:r>
      <w:r w:rsidRPr="00864C29">
        <w:rPr>
          <w:rFonts w:asciiTheme="minorHAnsi" w:hAnsiTheme="minorHAnsi" w:cstheme="minorHAnsi"/>
          <w:sz w:val="22"/>
          <w:szCs w:val="22"/>
        </w:rPr>
        <w:t xml:space="preserve"> ve výši </w:t>
      </w:r>
      <w:r w:rsidRPr="00A867A5">
        <w:rPr>
          <w:rFonts w:asciiTheme="minorHAnsi" w:hAnsiTheme="minorHAnsi" w:cstheme="minorHAnsi"/>
          <w:sz w:val="22"/>
          <w:szCs w:val="22"/>
        </w:rPr>
        <w:t>0,5 % z ceny</w:t>
      </w:r>
      <w:r w:rsidRPr="00864C29">
        <w:rPr>
          <w:rFonts w:asciiTheme="minorHAnsi" w:hAnsiTheme="minorHAnsi" w:cstheme="minorHAnsi"/>
          <w:sz w:val="22"/>
          <w:szCs w:val="22"/>
        </w:rPr>
        <w:t xml:space="preserve"> nedodaného Předmětu plnění </w:t>
      </w:r>
      <w:r w:rsidRPr="00A867A5">
        <w:rPr>
          <w:rFonts w:asciiTheme="minorHAnsi" w:hAnsiTheme="minorHAnsi" w:cstheme="minorHAnsi"/>
          <w:sz w:val="22"/>
          <w:szCs w:val="22"/>
        </w:rPr>
        <w:t>bez DPH</w:t>
      </w:r>
      <w:r w:rsidRPr="00864C29">
        <w:rPr>
          <w:rFonts w:asciiTheme="minorHAnsi" w:hAnsiTheme="minorHAnsi" w:cstheme="minorHAnsi"/>
          <w:sz w:val="22"/>
          <w:szCs w:val="22"/>
        </w:rPr>
        <w:t xml:space="preserve"> za každý započatý</w:t>
      </w:r>
      <w:r w:rsidRPr="00202AE1">
        <w:rPr>
          <w:rFonts w:asciiTheme="minorHAnsi" w:hAnsiTheme="minorHAnsi" w:cstheme="minorHAnsi"/>
          <w:sz w:val="22"/>
          <w:szCs w:val="22"/>
        </w:rPr>
        <w:t xml:space="preserve"> den prodlení.</w:t>
      </w:r>
    </w:p>
    <w:p w14:paraId="4FBF7DE9" w14:textId="7295D9D2"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smluvní pokut</w:t>
      </w:r>
      <w:r w:rsidR="00BC3966">
        <w:rPr>
          <w:rFonts w:asciiTheme="minorHAnsi" w:hAnsiTheme="minorHAnsi" w:cstheme="minorHAnsi"/>
          <w:sz w:val="22"/>
          <w:szCs w:val="22"/>
        </w:rPr>
        <w:t>y</w:t>
      </w:r>
      <w:r w:rsidR="00BC3966" w:rsidRPr="00202AE1">
        <w:rPr>
          <w:rFonts w:asciiTheme="minorHAnsi" w:hAnsiTheme="minorHAnsi" w:cstheme="minorHAnsi"/>
          <w:sz w:val="22"/>
          <w:szCs w:val="22"/>
        </w:rPr>
        <w:t xml:space="preserve"> </w:t>
      </w:r>
      <w:r w:rsidRPr="00A867A5">
        <w:rPr>
          <w:rFonts w:asciiTheme="minorHAnsi" w:hAnsiTheme="minorHAnsi" w:cstheme="minorHAnsi"/>
          <w:sz w:val="22"/>
          <w:szCs w:val="22"/>
        </w:rPr>
        <w:t xml:space="preserve">ve výši </w:t>
      </w:r>
      <w:r w:rsidR="00864C29" w:rsidRPr="00A867A5">
        <w:rPr>
          <w:rFonts w:asciiTheme="minorHAnsi" w:hAnsiTheme="minorHAnsi" w:cstheme="minorHAnsi"/>
          <w:sz w:val="22"/>
          <w:szCs w:val="22"/>
        </w:rPr>
        <w:t>300</w:t>
      </w:r>
      <w:r w:rsidRPr="00A867A5">
        <w:rPr>
          <w:rFonts w:asciiTheme="minorHAnsi" w:hAnsiTheme="minorHAnsi" w:cstheme="minorHAnsi"/>
          <w:sz w:val="22"/>
          <w:szCs w:val="22"/>
        </w:rPr>
        <w:t xml:space="preserve"> Kč</w:t>
      </w:r>
      <w:r w:rsidRPr="00202AE1">
        <w:rPr>
          <w:rFonts w:asciiTheme="minorHAnsi" w:hAnsiTheme="minorHAnsi" w:cstheme="minorHAnsi"/>
          <w:sz w:val="22"/>
          <w:szCs w:val="22"/>
        </w:rPr>
        <w:t xml:space="preserve"> za každý započatý den prodlení.</w:t>
      </w:r>
    </w:p>
    <w:p w14:paraId="2267E472" w14:textId="79D244DF" w:rsidR="00F16F16"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porušení povinnosti Prodávajícího dle čl. IV odst. 6 této smlouvy, má Kupující právo </w:t>
      </w:r>
      <w:r w:rsidR="00166D4D">
        <w:rPr>
          <w:rFonts w:asciiTheme="minorHAnsi" w:hAnsiTheme="minorHAnsi" w:cstheme="minorHAnsi"/>
          <w:sz w:val="22"/>
          <w:szCs w:val="22"/>
        </w:rPr>
        <w:t>n</w:t>
      </w:r>
      <w:r>
        <w:rPr>
          <w:rFonts w:asciiTheme="minorHAnsi" w:hAnsiTheme="minorHAnsi" w:cstheme="minorHAnsi"/>
          <w:sz w:val="22"/>
          <w:szCs w:val="22"/>
        </w:rPr>
        <w:t>a</w:t>
      </w:r>
      <w:r w:rsidR="00166D4D">
        <w:rPr>
          <w:rFonts w:asciiTheme="minorHAnsi" w:hAnsiTheme="minorHAnsi" w:cstheme="minorHAnsi"/>
          <w:sz w:val="22"/>
          <w:szCs w:val="22"/>
        </w:rPr>
        <w:t> </w:t>
      </w:r>
      <w:r>
        <w:rPr>
          <w:rFonts w:asciiTheme="minorHAnsi" w:hAnsiTheme="minorHAnsi" w:cstheme="minorHAnsi"/>
          <w:sz w:val="22"/>
          <w:szCs w:val="22"/>
        </w:rPr>
        <w:t xml:space="preserve">zaplacení smluvní pokuty </w:t>
      </w:r>
      <w:r w:rsidRPr="00A867A5">
        <w:rPr>
          <w:rFonts w:asciiTheme="minorHAnsi" w:hAnsiTheme="minorHAnsi" w:cstheme="minorHAnsi"/>
          <w:sz w:val="22"/>
          <w:szCs w:val="22"/>
        </w:rPr>
        <w:t xml:space="preserve">ve výši </w:t>
      </w:r>
      <w:proofErr w:type="gramStart"/>
      <w:r w:rsidR="00864C29">
        <w:rPr>
          <w:rFonts w:asciiTheme="minorHAnsi" w:hAnsiTheme="minorHAnsi" w:cstheme="minorHAnsi"/>
          <w:sz w:val="22"/>
          <w:szCs w:val="22"/>
        </w:rPr>
        <w:t>3</w:t>
      </w:r>
      <w:r w:rsidRPr="00A867A5">
        <w:rPr>
          <w:rFonts w:asciiTheme="minorHAnsi" w:hAnsiTheme="minorHAnsi" w:cstheme="minorHAnsi"/>
          <w:sz w:val="22"/>
          <w:szCs w:val="22"/>
        </w:rPr>
        <w:t>0.000,-</w:t>
      </w:r>
      <w:proofErr w:type="gramEnd"/>
      <w:r w:rsidRPr="00A867A5">
        <w:rPr>
          <w:rFonts w:asciiTheme="minorHAnsi" w:hAnsiTheme="minorHAnsi" w:cstheme="minorHAnsi"/>
          <w:sz w:val="22"/>
          <w:szCs w:val="22"/>
        </w:rPr>
        <w:t xml:space="preserve"> Kč</w:t>
      </w:r>
      <w:r>
        <w:rPr>
          <w:rFonts w:asciiTheme="minorHAnsi" w:hAnsiTheme="minorHAnsi" w:cstheme="minorHAnsi"/>
          <w:sz w:val="22"/>
          <w:szCs w:val="22"/>
        </w:rPr>
        <w:t xml:space="preserve">.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4F68079D"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smluvní pokuta dle odst. </w:t>
      </w:r>
      <w:r w:rsidR="00864C29">
        <w:rPr>
          <w:rFonts w:asciiTheme="minorHAnsi" w:hAnsiTheme="minorHAnsi" w:cstheme="minorHAnsi"/>
          <w:sz w:val="22"/>
          <w:szCs w:val="22"/>
        </w:rPr>
        <w:t xml:space="preserve">2, </w:t>
      </w:r>
      <w:r w:rsidRPr="00202AE1">
        <w:rPr>
          <w:rFonts w:asciiTheme="minorHAnsi" w:hAnsiTheme="minorHAnsi" w:cstheme="minorHAnsi"/>
          <w:sz w:val="22"/>
          <w:szCs w:val="22"/>
        </w:rPr>
        <w:t>3</w:t>
      </w:r>
      <w:r w:rsidR="00864C29">
        <w:rPr>
          <w:rFonts w:asciiTheme="minorHAnsi" w:hAnsiTheme="minorHAnsi" w:cstheme="minorHAnsi"/>
          <w:sz w:val="22"/>
          <w:szCs w:val="22"/>
        </w:rPr>
        <w:t xml:space="preserve"> a</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lastRenderedPageBreak/>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jak </w:t>
      </w:r>
      <w:r w:rsidRPr="00E54719">
        <w:rPr>
          <w:rFonts w:asciiTheme="minorHAnsi" w:hAnsiTheme="minorHAnsi" w:cstheme="minorHAnsi"/>
          <w:sz w:val="22"/>
        </w:rPr>
        <w:t>15</w:t>
      </w:r>
      <w:r w:rsidR="007E33A0" w:rsidRPr="007E33A0">
        <w:rPr>
          <w:rFonts w:asciiTheme="minorHAnsi" w:hAnsiTheme="minorHAnsi" w:cstheme="minorHAnsi"/>
          <w:sz w:val="22"/>
        </w:rPr>
        <w:t xml:space="preserve"> kalendářních dní,</w:t>
      </w:r>
    </w:p>
    <w:p w14:paraId="76430299" w14:textId="154E7BC3" w:rsidR="007E33A0" w:rsidRPr="007E33A0"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F6182A">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2C797AF0"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w:t>
      </w:r>
      <w:r w:rsidR="00D77B89">
        <w:rPr>
          <w:rFonts w:asciiTheme="minorHAnsi" w:hAnsiTheme="minorHAnsi" w:cstheme="minorHAnsi"/>
          <w:sz w:val="22"/>
          <w:szCs w:val="22"/>
        </w:rPr>
        <w:t>výslo</w:t>
      </w:r>
      <w:r w:rsidR="007552D9">
        <w:rPr>
          <w:rFonts w:asciiTheme="minorHAnsi" w:hAnsiTheme="minorHAnsi" w:cstheme="minorHAnsi"/>
          <w:sz w:val="22"/>
          <w:szCs w:val="22"/>
        </w:rPr>
        <w:t>v</w:t>
      </w:r>
      <w:r w:rsidR="00D77B89">
        <w:rPr>
          <w:rFonts w:asciiTheme="minorHAnsi" w:hAnsiTheme="minorHAnsi" w:cstheme="minorHAnsi"/>
          <w:sz w:val="22"/>
          <w:szCs w:val="22"/>
        </w:rPr>
        <w:t xml:space="preserve">ně prohlašuje, že </w:t>
      </w:r>
      <w:r w:rsidRPr="00202AE1">
        <w:rPr>
          <w:rFonts w:asciiTheme="minorHAnsi" w:hAnsiTheme="minorHAnsi" w:cstheme="minorHAnsi"/>
          <w:sz w:val="22"/>
          <w:szCs w:val="22"/>
        </w:rPr>
        <w:t xml:space="preserve">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2FAF92C8" w:rsidR="00D079E4" w:rsidRPr="00375E3D"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75E3D">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4AFA1922" w:rsidR="00D079E4" w:rsidRPr="00375E3D"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75E3D">
        <w:rPr>
          <w:rFonts w:asciiTheme="minorHAnsi" w:hAnsiTheme="minorHAnsi" w:cstheme="minorHAnsi"/>
          <w:sz w:val="22"/>
          <w:szCs w:val="22"/>
        </w:rPr>
        <w:t>Tato Smlouva se uzavírá elektronickou formou</w:t>
      </w:r>
      <w:r w:rsidR="00375E3D">
        <w:rPr>
          <w:rFonts w:asciiTheme="minorHAnsi" w:hAnsiTheme="minorHAnsi" w:cstheme="minorHAnsi"/>
          <w:sz w:val="22"/>
          <w:szCs w:val="22"/>
        </w:rPr>
        <w:t>.</w:t>
      </w:r>
      <w:r w:rsidR="0018610C">
        <w:rPr>
          <w:rFonts w:asciiTheme="minorHAnsi" w:hAnsiTheme="minorHAnsi" w:cstheme="minorHAnsi"/>
          <w:sz w:val="22"/>
          <w:szCs w:val="22"/>
        </w:rPr>
        <w:t xml:space="preserve"> V případě, že bude smlouva podepsána na straně Prodávajícího jinou osobou než je uvedena v ARES, přiloží Prodávající oprávnění k podpisu do datové zprávy formou přílohy.</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 xml:space="preserve">Žádná ze smluvních stran se nemůže dovolávat zvláštních, v této smlouvě </w:t>
      </w:r>
      <w:r w:rsidRPr="00202AE1">
        <w:rPr>
          <w:rFonts w:asciiTheme="minorHAnsi" w:hAnsiTheme="minorHAnsi" w:cstheme="minorHAnsi"/>
          <w:sz w:val="22"/>
          <w:szCs w:val="22"/>
        </w:rPr>
        <w:lastRenderedPageBreak/>
        <w:t>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122E5CA0"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3FFE19BE" w14:textId="1A6A0588" w:rsidR="00E60735" w:rsidRP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sidRPr="00375E3D">
        <w:rPr>
          <w:rFonts w:asciiTheme="minorHAnsi" w:hAnsiTheme="minorHAnsi" w:cstheme="minorHAnsi"/>
          <w:sz w:val="22"/>
          <w:szCs w:val="22"/>
        </w:rPr>
        <w:t>Příloha č. 2: Položkový rozpočet</w:t>
      </w: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5276722D" w:rsidR="00C56250"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proofErr w:type="gramStart"/>
            <w:r w:rsidR="00130D4D">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w:t>
            </w:r>
            <w:proofErr w:type="gramEnd"/>
            <w:r w:rsidRPr="00202AE1">
              <w:rPr>
                <w:rFonts w:asciiTheme="minorHAnsi" w:hAnsiTheme="minorHAnsi" w:cstheme="minorHAnsi"/>
                <w:color w:val="000000" w:themeColor="text1"/>
                <w:sz w:val="22"/>
                <w:szCs w:val="22"/>
              </w:rPr>
              <w:t xml:space="preserve"> dne </w:t>
            </w:r>
          </w:p>
          <w:p w14:paraId="250713DF" w14:textId="1B921E97" w:rsidR="00E54719" w:rsidRDefault="00E54719" w:rsidP="00C233EE">
            <w:pPr>
              <w:jc w:val="center"/>
              <w:rPr>
                <w:rFonts w:asciiTheme="minorHAnsi" w:hAnsiTheme="minorHAnsi" w:cstheme="minorHAnsi"/>
                <w:color w:val="000000" w:themeColor="text1"/>
                <w:sz w:val="22"/>
                <w:szCs w:val="22"/>
              </w:rPr>
            </w:pPr>
          </w:p>
          <w:p w14:paraId="1952172F" w14:textId="18BB0E47" w:rsidR="00130D4D" w:rsidRDefault="00130D4D" w:rsidP="00C233EE">
            <w:pPr>
              <w:jc w:val="center"/>
              <w:rPr>
                <w:rFonts w:asciiTheme="minorHAnsi" w:hAnsiTheme="minorHAnsi" w:cstheme="minorHAnsi"/>
                <w:color w:val="000000" w:themeColor="text1"/>
                <w:sz w:val="22"/>
                <w:szCs w:val="22"/>
              </w:rPr>
            </w:pPr>
          </w:p>
          <w:p w14:paraId="5B1F8552" w14:textId="634A7839" w:rsidR="00001100" w:rsidRDefault="00001100" w:rsidP="00C233EE">
            <w:pPr>
              <w:jc w:val="center"/>
            </w:pPr>
          </w:p>
          <w:p w14:paraId="3AF30FF4" w14:textId="4FF29790" w:rsidR="00001100" w:rsidRDefault="00001100" w:rsidP="00C233EE">
            <w:pPr>
              <w:jc w:val="center"/>
            </w:pPr>
          </w:p>
          <w:p w14:paraId="5BB92C3E" w14:textId="69E33125" w:rsidR="0018610C" w:rsidRDefault="0018610C" w:rsidP="00C233EE">
            <w:pPr>
              <w:jc w:val="center"/>
              <w:rPr>
                <w:rFonts w:asciiTheme="minorHAnsi" w:hAnsiTheme="minorHAnsi" w:cstheme="minorHAnsi"/>
                <w:color w:val="000000" w:themeColor="text1"/>
                <w:sz w:val="22"/>
                <w:szCs w:val="22"/>
              </w:rPr>
            </w:pPr>
          </w:p>
          <w:p w14:paraId="4BE1447D" w14:textId="77777777" w:rsidR="0018610C" w:rsidRDefault="0018610C"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6166008" w14:textId="0A7B83A6" w:rsidR="00C56250" w:rsidRPr="00202AE1" w:rsidRDefault="00E54719"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Kupující</w:t>
            </w:r>
          </w:p>
        </w:tc>
        <w:tc>
          <w:tcPr>
            <w:tcW w:w="4606" w:type="dxa"/>
          </w:tcPr>
          <w:p w14:paraId="336EEB2C" w14:textId="68E86979"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proofErr w:type="gramStart"/>
            <w:r w:rsidR="00130D4D">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w:t>
            </w:r>
            <w:proofErr w:type="gramEnd"/>
            <w:r w:rsidRPr="00202AE1">
              <w:rPr>
                <w:rFonts w:asciiTheme="minorHAnsi" w:hAnsiTheme="minorHAnsi" w:cstheme="minorHAnsi"/>
                <w:color w:val="000000" w:themeColor="text1"/>
                <w:sz w:val="22"/>
                <w:szCs w:val="22"/>
              </w:rPr>
              <w:t xml:space="preserve"> dne </w:t>
            </w:r>
          </w:p>
          <w:p w14:paraId="4140CFC6" w14:textId="20EFB665" w:rsidR="00C56250" w:rsidRDefault="00C56250" w:rsidP="00C233EE">
            <w:pPr>
              <w:jc w:val="center"/>
              <w:rPr>
                <w:rFonts w:asciiTheme="minorHAnsi" w:hAnsiTheme="minorHAnsi" w:cstheme="minorHAnsi"/>
                <w:color w:val="000000" w:themeColor="text1"/>
                <w:sz w:val="22"/>
                <w:szCs w:val="22"/>
              </w:rPr>
            </w:pPr>
          </w:p>
          <w:p w14:paraId="2734F2F8" w14:textId="3559E95D" w:rsidR="00E54719" w:rsidRDefault="00E54719"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1C0D4668" w:rsidR="00130D4D" w:rsidRDefault="00130D4D" w:rsidP="00C233EE">
            <w:pPr>
              <w:jc w:val="center"/>
              <w:rPr>
                <w:rFonts w:asciiTheme="minorHAnsi" w:hAnsiTheme="minorHAnsi" w:cstheme="minorHAnsi"/>
                <w:color w:val="000000" w:themeColor="text1"/>
                <w:sz w:val="22"/>
                <w:szCs w:val="22"/>
              </w:rPr>
            </w:pPr>
          </w:p>
          <w:p w14:paraId="4452B2D6" w14:textId="33A39848" w:rsidR="0018610C" w:rsidRDefault="0018610C" w:rsidP="00C233EE">
            <w:pPr>
              <w:jc w:val="center"/>
              <w:rPr>
                <w:rFonts w:asciiTheme="minorHAnsi" w:hAnsiTheme="minorHAnsi" w:cstheme="minorHAnsi"/>
                <w:color w:val="000000" w:themeColor="text1"/>
                <w:sz w:val="22"/>
                <w:szCs w:val="22"/>
              </w:rPr>
            </w:pPr>
          </w:p>
          <w:p w14:paraId="2615C226" w14:textId="77777777" w:rsidR="0018610C" w:rsidRDefault="0018610C"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695AC8A9" w14:textId="59ACBA5D" w:rsidR="00C56250" w:rsidRPr="00202AE1" w:rsidRDefault="00E54719"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Prodávající</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4C313348" w14:textId="16893AF5" w:rsidR="00DD6311" w:rsidRDefault="00DD6311">
      <w:pPr>
        <w:rPr>
          <w:rFonts w:asciiTheme="minorHAnsi" w:hAnsiTheme="minorHAnsi" w:cstheme="minorHAnsi"/>
          <w:sz w:val="22"/>
          <w:szCs w:val="22"/>
        </w:rPr>
      </w:pPr>
      <w:r>
        <w:rPr>
          <w:rFonts w:asciiTheme="minorHAnsi" w:hAnsiTheme="minorHAnsi" w:cstheme="minorHAnsi"/>
          <w:sz w:val="22"/>
          <w:szCs w:val="22"/>
        </w:rPr>
        <w:br w:type="page"/>
      </w:r>
    </w:p>
    <w:p w14:paraId="29A78EC4" w14:textId="77777777" w:rsidR="00DD6311" w:rsidRDefault="00DD6311">
      <w:pPr>
        <w:rPr>
          <w:rFonts w:asciiTheme="minorHAnsi" w:hAnsiTheme="minorHAnsi" w:cstheme="minorHAnsi"/>
          <w:sz w:val="22"/>
          <w:szCs w:val="22"/>
        </w:rPr>
      </w:pPr>
    </w:p>
    <w:p w14:paraId="54F7CE29" w14:textId="1A7C2E0B" w:rsidR="00840271" w:rsidRDefault="00001100">
      <w:pPr>
        <w:rPr>
          <w:rFonts w:asciiTheme="minorHAnsi" w:hAnsiTheme="minorHAnsi" w:cstheme="minorHAnsi"/>
          <w:sz w:val="22"/>
          <w:szCs w:val="22"/>
        </w:rPr>
      </w:pPr>
      <w:r w:rsidRPr="006F44A2">
        <w:rPr>
          <w:rFonts w:asciiTheme="minorHAnsi" w:hAnsiTheme="minorHAnsi" w:cstheme="minorHAnsi"/>
          <w:sz w:val="22"/>
          <w:szCs w:val="22"/>
        </w:rPr>
        <w:t>Přílo</w:t>
      </w:r>
      <w:r>
        <w:rPr>
          <w:rFonts w:asciiTheme="minorHAnsi" w:hAnsiTheme="minorHAnsi" w:cstheme="minorHAnsi"/>
          <w:sz w:val="22"/>
          <w:szCs w:val="22"/>
        </w:rPr>
        <w:t>ha</w:t>
      </w:r>
      <w:r w:rsidRPr="006F44A2">
        <w:rPr>
          <w:rFonts w:asciiTheme="minorHAnsi" w:hAnsiTheme="minorHAnsi" w:cstheme="minorHAnsi"/>
          <w:sz w:val="22"/>
          <w:szCs w:val="22"/>
        </w:rPr>
        <w:t xml:space="preserve"> </w:t>
      </w:r>
      <w:r>
        <w:rPr>
          <w:rFonts w:asciiTheme="minorHAnsi" w:hAnsiTheme="minorHAnsi" w:cstheme="minorHAnsi"/>
          <w:sz w:val="22"/>
          <w:szCs w:val="22"/>
        </w:rPr>
        <w:t>1:</w:t>
      </w:r>
      <w:r w:rsidRPr="006F44A2">
        <w:rPr>
          <w:rFonts w:asciiTheme="minorHAnsi" w:hAnsiTheme="minorHAnsi" w:cstheme="minorHAnsi"/>
          <w:sz w:val="22"/>
          <w:szCs w:val="22"/>
        </w:rPr>
        <w:t xml:space="preserve"> Technick</w:t>
      </w:r>
      <w:r>
        <w:rPr>
          <w:rFonts w:asciiTheme="minorHAnsi" w:hAnsiTheme="minorHAnsi" w:cstheme="minorHAnsi"/>
          <w:sz w:val="22"/>
          <w:szCs w:val="22"/>
        </w:rPr>
        <w:t>á</w:t>
      </w:r>
      <w:r w:rsidRPr="006F44A2">
        <w:rPr>
          <w:rFonts w:asciiTheme="minorHAnsi" w:hAnsiTheme="minorHAnsi" w:cstheme="minorHAnsi"/>
          <w:sz w:val="22"/>
          <w:szCs w:val="22"/>
        </w:rPr>
        <w:t xml:space="preserve"> </w:t>
      </w:r>
      <w:r>
        <w:rPr>
          <w:rFonts w:asciiTheme="minorHAnsi" w:hAnsiTheme="minorHAnsi" w:cstheme="minorHAnsi"/>
          <w:sz w:val="22"/>
          <w:szCs w:val="22"/>
        </w:rPr>
        <w:t>specifikace</w:t>
      </w:r>
    </w:p>
    <w:p w14:paraId="28FF25BA" w14:textId="6F28D3DD" w:rsidR="00001100" w:rsidRDefault="00001100">
      <w:pPr>
        <w:rPr>
          <w:rFonts w:asciiTheme="minorHAnsi" w:hAnsiTheme="minorHAnsi" w:cstheme="minorHAnsi"/>
          <w:color w:val="000000" w:themeColor="text1"/>
          <w:sz w:val="22"/>
          <w:szCs w:val="22"/>
        </w:rPr>
      </w:pPr>
    </w:p>
    <w:p w14:paraId="727F6BAD" w14:textId="3600E168" w:rsidR="00001100" w:rsidRPr="00001100" w:rsidRDefault="00001100" w:rsidP="00001100">
      <w:pPr>
        <w:rPr>
          <w:rFonts w:asciiTheme="minorHAnsi" w:hAnsiTheme="minorHAnsi" w:cstheme="minorHAnsi"/>
          <w:color w:val="000000" w:themeColor="text1"/>
          <w:sz w:val="22"/>
          <w:szCs w:val="22"/>
        </w:rPr>
      </w:pPr>
      <w:r w:rsidRPr="00001100">
        <w:rPr>
          <w:rFonts w:asciiTheme="minorHAnsi" w:hAnsiTheme="minorHAnsi" w:cstheme="minorHAnsi"/>
          <w:color w:val="000000" w:themeColor="text1"/>
          <w:sz w:val="22"/>
          <w:szCs w:val="22"/>
        </w:rPr>
        <w:t>Název zboží</w:t>
      </w:r>
      <w:r>
        <w:rPr>
          <w:rFonts w:asciiTheme="minorHAnsi" w:hAnsiTheme="minorHAnsi" w:cstheme="minorHAnsi"/>
          <w:color w:val="000000" w:themeColor="text1"/>
          <w:sz w:val="22"/>
          <w:szCs w:val="22"/>
        </w:rPr>
        <w:t>:</w:t>
      </w:r>
      <w:r w:rsidRPr="00001100">
        <w:rPr>
          <w:rFonts w:asciiTheme="minorHAnsi" w:hAnsiTheme="minorHAnsi" w:cstheme="minorHAnsi"/>
          <w:color w:val="000000" w:themeColor="text1"/>
          <w:sz w:val="22"/>
          <w:szCs w:val="22"/>
        </w:rPr>
        <w:tab/>
      </w:r>
      <w:proofErr w:type="spellStart"/>
      <w:r w:rsidRPr="00001100">
        <w:rPr>
          <w:rFonts w:asciiTheme="minorHAnsi" w:hAnsiTheme="minorHAnsi" w:cstheme="minorHAnsi"/>
          <w:color w:val="000000" w:themeColor="text1"/>
          <w:sz w:val="22"/>
          <w:szCs w:val="22"/>
        </w:rPr>
        <w:t>bizhub</w:t>
      </w:r>
      <w:proofErr w:type="spellEnd"/>
      <w:r w:rsidRPr="00001100">
        <w:rPr>
          <w:rFonts w:asciiTheme="minorHAnsi" w:hAnsiTheme="minorHAnsi" w:cstheme="minorHAnsi"/>
          <w:color w:val="000000" w:themeColor="text1"/>
          <w:sz w:val="22"/>
          <w:szCs w:val="22"/>
        </w:rPr>
        <w:t xml:space="preserve"> C251i </w:t>
      </w:r>
    </w:p>
    <w:p w14:paraId="1D52BFD7" w14:textId="177BD00D" w:rsidR="00001100" w:rsidRDefault="00001100" w:rsidP="00001100">
      <w:pPr>
        <w:rPr>
          <w:rFonts w:asciiTheme="minorHAnsi" w:hAnsiTheme="minorHAnsi" w:cstheme="minorHAnsi"/>
          <w:color w:val="000000" w:themeColor="text1"/>
          <w:sz w:val="22"/>
          <w:szCs w:val="22"/>
        </w:rPr>
      </w:pPr>
      <w:r w:rsidRPr="00001100">
        <w:rPr>
          <w:rFonts w:asciiTheme="minorHAnsi" w:hAnsiTheme="minorHAnsi" w:cstheme="minorHAnsi"/>
          <w:color w:val="000000" w:themeColor="text1"/>
          <w:sz w:val="22"/>
          <w:szCs w:val="22"/>
        </w:rPr>
        <w:t>Číslo zboží</w:t>
      </w:r>
      <w:r>
        <w:rPr>
          <w:rFonts w:asciiTheme="minorHAnsi" w:hAnsiTheme="minorHAnsi" w:cstheme="minorHAnsi"/>
          <w:color w:val="000000" w:themeColor="text1"/>
          <w:sz w:val="22"/>
          <w:szCs w:val="22"/>
        </w:rPr>
        <w:t>:</w:t>
      </w:r>
      <w:r w:rsidRPr="00001100">
        <w:rPr>
          <w:rFonts w:asciiTheme="minorHAnsi" w:hAnsiTheme="minorHAnsi" w:cstheme="minorHAnsi"/>
          <w:color w:val="000000" w:themeColor="text1"/>
          <w:sz w:val="22"/>
          <w:szCs w:val="22"/>
        </w:rPr>
        <w:tab/>
        <w:t>ADXM021</w:t>
      </w:r>
    </w:p>
    <w:p w14:paraId="03E93B13" w14:textId="77777777" w:rsidR="00001100" w:rsidRPr="00001100" w:rsidRDefault="00001100" w:rsidP="00001100">
      <w:pPr>
        <w:rPr>
          <w:rFonts w:asciiTheme="minorHAnsi" w:hAnsiTheme="minorHAnsi" w:cstheme="minorHAnsi"/>
          <w:color w:val="000000" w:themeColor="text1"/>
          <w:sz w:val="22"/>
          <w:szCs w:val="22"/>
        </w:rPr>
      </w:pPr>
    </w:p>
    <w:p w14:paraId="7DDC98BE" w14:textId="63FEF809" w:rsidR="00001100" w:rsidRPr="00001100" w:rsidRDefault="00001100" w:rsidP="00001100">
      <w:pPr>
        <w:rPr>
          <w:rFonts w:asciiTheme="minorHAnsi" w:hAnsiTheme="minorHAnsi" w:cstheme="minorHAnsi"/>
          <w:b/>
          <w:bCs/>
          <w:color w:val="000000" w:themeColor="text1"/>
          <w:sz w:val="22"/>
          <w:szCs w:val="22"/>
        </w:rPr>
      </w:pPr>
      <w:r w:rsidRPr="00001100">
        <w:rPr>
          <w:rFonts w:asciiTheme="minorHAnsi" w:hAnsiTheme="minorHAnsi" w:cstheme="minorHAnsi"/>
          <w:b/>
          <w:bCs/>
          <w:color w:val="000000" w:themeColor="text1"/>
          <w:sz w:val="22"/>
          <w:szCs w:val="22"/>
        </w:rPr>
        <w:t>Základní popis a vybavení</w:t>
      </w:r>
    </w:p>
    <w:p w14:paraId="0C54B12F" w14:textId="258BEBCC" w:rsidR="00001100" w:rsidRDefault="00001100" w:rsidP="00001100">
      <w:pPr>
        <w:rPr>
          <w:rFonts w:asciiTheme="minorHAnsi" w:hAnsiTheme="minorHAnsi" w:cstheme="minorHAnsi"/>
          <w:color w:val="000000" w:themeColor="text1"/>
          <w:sz w:val="22"/>
          <w:szCs w:val="22"/>
        </w:rPr>
      </w:pPr>
      <w:r w:rsidRPr="00001100">
        <w:rPr>
          <w:rFonts w:asciiTheme="minorHAnsi" w:hAnsiTheme="minorHAnsi" w:cstheme="minorHAnsi"/>
          <w:color w:val="000000" w:themeColor="text1"/>
          <w:sz w:val="22"/>
          <w:szCs w:val="22"/>
        </w:rPr>
        <w:t xml:space="preserve">Rychlost 25 str/min černobíle i barevně. Standardně obsahuje: 2 kazety na papír (2x 500 listů), ruční vstup, duplex, řadič, 8 GB RAM, SSD 256 GB, Gigabit ethernet, CMYK vývojnice a </w:t>
      </w:r>
      <w:proofErr w:type="spellStart"/>
      <w:r w:rsidRPr="00001100">
        <w:rPr>
          <w:rFonts w:asciiTheme="minorHAnsi" w:hAnsiTheme="minorHAnsi" w:cstheme="minorHAnsi"/>
          <w:color w:val="000000" w:themeColor="text1"/>
          <w:sz w:val="22"/>
          <w:szCs w:val="22"/>
        </w:rPr>
        <w:t>fotoválce</w:t>
      </w:r>
      <w:proofErr w:type="spellEnd"/>
      <w:r w:rsidRPr="00001100">
        <w:rPr>
          <w:rFonts w:asciiTheme="minorHAnsi" w:hAnsiTheme="minorHAnsi" w:cstheme="minorHAnsi"/>
          <w:color w:val="000000" w:themeColor="text1"/>
          <w:sz w:val="22"/>
          <w:szCs w:val="22"/>
        </w:rPr>
        <w:t xml:space="preserve">, DVD s ovladači a návodem. Tonery nejsou součástí balení.  </w:t>
      </w:r>
    </w:p>
    <w:p w14:paraId="03E1A4D0" w14:textId="027C7FC8" w:rsidR="00001100" w:rsidRDefault="00001100" w:rsidP="00001100">
      <w:pPr>
        <w:rPr>
          <w:rFonts w:asciiTheme="minorHAnsi" w:hAnsiTheme="minorHAnsi" w:cstheme="minorHAnsi"/>
          <w:color w:val="000000" w:themeColor="text1"/>
          <w:sz w:val="22"/>
          <w:szCs w:val="22"/>
        </w:rPr>
      </w:pPr>
    </w:p>
    <w:p w14:paraId="6B4B8AC8" w14:textId="77777777" w:rsidR="00001100" w:rsidRPr="00C975F0" w:rsidRDefault="00001100" w:rsidP="00001100">
      <w:pPr>
        <w:keepNext/>
        <w:keepLines/>
        <w:spacing w:before="40" w:after="120"/>
        <w:outlineLvl w:val="3"/>
        <w:rPr>
          <w:rFonts w:ascii="Open Sans" w:eastAsiaTheme="minorHAnsi" w:hAnsi="Open Sans" w:cs="Open Sans"/>
          <w:b/>
          <w:bCs/>
          <w:sz w:val="18"/>
          <w:szCs w:val="18"/>
          <w:lang w:eastAsia="en-US"/>
        </w:rPr>
      </w:pPr>
      <w:r w:rsidRPr="00C975F0">
        <w:rPr>
          <w:rFonts w:ascii="Open Sans" w:eastAsiaTheme="minorHAnsi" w:hAnsi="Open Sans" w:cs="Open Sans"/>
          <w:b/>
          <w:bCs/>
          <w:sz w:val="18"/>
          <w:szCs w:val="18"/>
          <w:lang w:eastAsia="en-US"/>
        </w:rPr>
        <w:t>Související licence a příslušenství</w:t>
      </w:r>
    </w:p>
    <w:tbl>
      <w:tblPr>
        <w:tblStyle w:val="TableGrid0"/>
        <w:tblW w:w="9361" w:type="dxa"/>
        <w:tblInd w:w="-5" w:type="dxa"/>
        <w:tblBorders>
          <w:top w:val="nil"/>
          <w:left w:val="nil"/>
          <w:bottom w:val="single" w:sz="4" w:space="0" w:color="007689"/>
          <w:right w:val="nil"/>
          <w:insideH w:val="nil"/>
          <w:insideV w:val="nil"/>
        </w:tblBorders>
        <w:tblLook w:val="04A0" w:firstRow="1" w:lastRow="0" w:firstColumn="1" w:lastColumn="0" w:noHBand="0" w:noVBand="1"/>
      </w:tblPr>
      <w:tblGrid>
        <w:gridCol w:w="2415"/>
        <w:gridCol w:w="1135"/>
        <w:gridCol w:w="4961"/>
        <w:gridCol w:w="850"/>
      </w:tblGrid>
      <w:tr w:rsidR="00001100" w14:paraId="58EE5A30" w14:textId="77777777" w:rsidTr="00AA2D69">
        <w:tc>
          <w:tcPr>
            <w:tcW w:w="2415" w:type="dxa"/>
            <w:tcBorders>
              <w:bottom w:val="single" w:sz="4" w:space="0" w:color="007689"/>
            </w:tcBorders>
            <w:shd w:val="clear" w:color="auto" w:fill="auto"/>
          </w:tcPr>
          <w:p w14:paraId="4C180F3F" w14:textId="77777777" w:rsidR="00001100" w:rsidRPr="008748A3" w:rsidRDefault="00001100" w:rsidP="00AA2D69">
            <w:pPr>
              <w:widowControl w:val="0"/>
              <w:rPr>
                <w:rFonts w:ascii="Open Sans" w:hAnsi="Open Sans" w:cs="Open Sans"/>
                <w:b/>
                <w:bCs/>
                <w:sz w:val="18"/>
                <w:szCs w:val="18"/>
              </w:rPr>
            </w:pPr>
            <w:r w:rsidRPr="008748A3">
              <w:rPr>
                <w:rFonts w:ascii="Open Sans" w:hAnsi="Open Sans" w:cs="Open Sans"/>
                <w:b/>
                <w:bCs/>
                <w:sz w:val="18"/>
                <w:szCs w:val="18"/>
              </w:rPr>
              <w:t xml:space="preserve">Číslo </w:t>
            </w:r>
            <w:r>
              <w:rPr>
                <w:rFonts w:ascii="Open Sans" w:hAnsi="Open Sans" w:cs="Open Sans"/>
                <w:b/>
                <w:bCs/>
                <w:sz w:val="18"/>
                <w:szCs w:val="18"/>
              </w:rPr>
              <w:t>zboží</w:t>
            </w:r>
          </w:p>
        </w:tc>
        <w:tc>
          <w:tcPr>
            <w:tcW w:w="1135" w:type="dxa"/>
            <w:tcBorders>
              <w:bottom w:val="single" w:sz="4" w:space="0" w:color="007689"/>
            </w:tcBorders>
            <w:shd w:val="clear" w:color="auto" w:fill="auto"/>
          </w:tcPr>
          <w:p w14:paraId="520DAFA3" w14:textId="77777777" w:rsidR="00001100" w:rsidRPr="008748A3" w:rsidRDefault="00001100" w:rsidP="00AA2D69">
            <w:pPr>
              <w:widowControl w:val="0"/>
              <w:rPr>
                <w:rFonts w:ascii="Open Sans" w:hAnsi="Open Sans" w:cs="Open Sans"/>
                <w:b/>
                <w:bCs/>
                <w:sz w:val="18"/>
                <w:szCs w:val="18"/>
              </w:rPr>
            </w:pPr>
            <w:r w:rsidRPr="008748A3">
              <w:rPr>
                <w:rFonts w:ascii="Open Sans" w:hAnsi="Open Sans" w:cs="Open Sans"/>
                <w:b/>
                <w:bCs/>
                <w:sz w:val="18"/>
                <w:szCs w:val="18"/>
              </w:rPr>
              <w:t>Množstv</w:t>
            </w:r>
            <w:r>
              <w:rPr>
                <w:rFonts w:ascii="Open Sans" w:hAnsi="Open Sans" w:cs="Open Sans"/>
                <w:b/>
                <w:bCs/>
                <w:sz w:val="18"/>
                <w:szCs w:val="18"/>
              </w:rPr>
              <w:t>í</w:t>
            </w:r>
          </w:p>
        </w:tc>
        <w:tc>
          <w:tcPr>
            <w:tcW w:w="4961" w:type="dxa"/>
            <w:tcBorders>
              <w:bottom w:val="single" w:sz="4" w:space="0" w:color="007689"/>
            </w:tcBorders>
            <w:shd w:val="clear" w:color="auto" w:fill="auto"/>
          </w:tcPr>
          <w:p w14:paraId="7217F28D" w14:textId="77777777" w:rsidR="00001100" w:rsidRPr="008748A3" w:rsidRDefault="00001100" w:rsidP="00AA2D69">
            <w:pPr>
              <w:widowControl w:val="0"/>
              <w:rPr>
                <w:rFonts w:ascii="Open Sans" w:hAnsi="Open Sans" w:cs="Open Sans"/>
                <w:b/>
                <w:bCs/>
                <w:sz w:val="18"/>
                <w:szCs w:val="18"/>
              </w:rPr>
            </w:pPr>
            <w:r w:rsidRPr="008748A3">
              <w:rPr>
                <w:rFonts w:ascii="Open Sans" w:hAnsi="Open Sans" w:cs="Open Sans"/>
                <w:b/>
                <w:bCs/>
                <w:sz w:val="18"/>
                <w:szCs w:val="18"/>
              </w:rPr>
              <w:t>Označen</w:t>
            </w:r>
            <w:r>
              <w:rPr>
                <w:rFonts w:ascii="Open Sans" w:hAnsi="Open Sans" w:cs="Open Sans"/>
                <w:b/>
                <w:bCs/>
                <w:sz w:val="18"/>
                <w:szCs w:val="18"/>
              </w:rPr>
              <w:t>í</w:t>
            </w:r>
            <w:r w:rsidRPr="008748A3">
              <w:rPr>
                <w:rFonts w:ascii="Open Sans" w:hAnsi="Open Sans" w:cs="Open Sans"/>
                <w:b/>
                <w:bCs/>
                <w:sz w:val="18"/>
                <w:szCs w:val="18"/>
              </w:rPr>
              <w:t xml:space="preserve"> p</w:t>
            </w:r>
            <w:r>
              <w:rPr>
                <w:rFonts w:ascii="Open Sans" w:hAnsi="Open Sans" w:cs="Open Sans"/>
                <w:b/>
                <w:bCs/>
                <w:sz w:val="18"/>
                <w:szCs w:val="18"/>
              </w:rPr>
              <w:t>ř</w:t>
            </w:r>
            <w:r w:rsidRPr="008748A3">
              <w:rPr>
                <w:rFonts w:ascii="Open Sans" w:hAnsi="Open Sans" w:cs="Open Sans"/>
                <w:b/>
                <w:bCs/>
                <w:sz w:val="18"/>
                <w:szCs w:val="18"/>
              </w:rPr>
              <w:t>íslušenst</w:t>
            </w:r>
            <w:r>
              <w:rPr>
                <w:rFonts w:ascii="Open Sans" w:hAnsi="Open Sans" w:cs="Open Sans"/>
                <w:b/>
                <w:bCs/>
                <w:sz w:val="18"/>
                <w:szCs w:val="18"/>
              </w:rPr>
              <w:t>ví</w:t>
            </w:r>
          </w:p>
        </w:tc>
        <w:tc>
          <w:tcPr>
            <w:tcW w:w="850" w:type="dxa"/>
            <w:tcBorders>
              <w:bottom w:val="single" w:sz="4" w:space="0" w:color="007689"/>
            </w:tcBorders>
            <w:shd w:val="clear" w:color="auto" w:fill="auto"/>
          </w:tcPr>
          <w:p w14:paraId="1BC11279" w14:textId="77777777" w:rsidR="00001100" w:rsidRPr="008748A3" w:rsidRDefault="00001100" w:rsidP="00AA2D69">
            <w:pPr>
              <w:widowControl w:val="0"/>
              <w:rPr>
                <w:rFonts w:ascii="Open Sans" w:hAnsi="Open Sans" w:cs="Open Sans"/>
                <w:b/>
                <w:bCs/>
                <w:sz w:val="18"/>
                <w:szCs w:val="18"/>
              </w:rPr>
            </w:pPr>
          </w:p>
        </w:tc>
      </w:tr>
      <w:tr w:rsidR="00001100" w14:paraId="009B8752" w14:textId="77777777" w:rsidTr="00AA2D69">
        <w:tc>
          <w:tcPr>
            <w:tcW w:w="2415" w:type="dxa"/>
            <w:tcBorders>
              <w:top w:val="single" w:sz="4" w:space="0" w:color="007689"/>
              <w:bottom w:val="single" w:sz="4" w:space="0" w:color="007689"/>
            </w:tcBorders>
            <w:shd w:val="clear" w:color="auto" w:fill="auto"/>
          </w:tcPr>
          <w:p w14:paraId="4B06C00C"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AAV8250</w:t>
            </w:r>
          </w:p>
        </w:tc>
        <w:tc>
          <w:tcPr>
            <w:tcW w:w="1135" w:type="dxa"/>
            <w:tcBorders>
              <w:top w:val="single" w:sz="4" w:space="0" w:color="007689"/>
              <w:bottom w:val="single" w:sz="4" w:space="0" w:color="007689"/>
            </w:tcBorders>
            <w:shd w:val="clear" w:color="auto" w:fill="auto"/>
          </w:tcPr>
          <w:p w14:paraId="5D0279AE"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1</w:t>
            </w:r>
            <w:r w:rsidRPr="008748A3">
              <w:rPr>
                <w:rFonts w:ascii="Open Sans" w:hAnsi="Open Sans" w:cs="Open Sans"/>
                <w:sz w:val="18"/>
                <w:szCs w:val="18"/>
              </w:rPr>
              <w:t xml:space="preserve"> ks</w:t>
            </w:r>
          </w:p>
        </w:tc>
        <w:tc>
          <w:tcPr>
            <w:tcW w:w="4961" w:type="dxa"/>
            <w:tcBorders>
              <w:top w:val="single" w:sz="4" w:space="0" w:color="007689"/>
              <w:bottom w:val="single" w:sz="4" w:space="0" w:color="007689"/>
            </w:tcBorders>
            <w:shd w:val="clear" w:color="auto" w:fill="auto"/>
          </w:tcPr>
          <w:p w14:paraId="4302E293"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 xml:space="preserve">TN328Y Toner </w:t>
            </w:r>
            <w:proofErr w:type="spellStart"/>
            <w:r>
              <w:rPr>
                <w:rFonts w:ascii="Open Sans" w:hAnsi="Open Sans" w:cs="Open Sans"/>
                <w:sz w:val="18"/>
                <w:szCs w:val="18"/>
              </w:rPr>
              <w:t>yellow</w:t>
            </w:r>
            <w:proofErr w:type="spellEnd"/>
            <w:r>
              <w:rPr>
                <w:rFonts w:ascii="Open Sans" w:hAnsi="Open Sans" w:cs="Open Sans"/>
                <w:sz w:val="18"/>
                <w:szCs w:val="18"/>
              </w:rPr>
              <w:t xml:space="preserve"> f. </w:t>
            </w:r>
            <w:proofErr w:type="spellStart"/>
            <w:r>
              <w:rPr>
                <w:rFonts w:ascii="Open Sans" w:hAnsi="Open Sans" w:cs="Open Sans"/>
                <w:sz w:val="18"/>
                <w:szCs w:val="18"/>
              </w:rPr>
              <w:t>bizhub</w:t>
            </w:r>
            <w:proofErr w:type="spellEnd"/>
            <w:r>
              <w:rPr>
                <w:rFonts w:ascii="Open Sans" w:hAnsi="Open Sans" w:cs="Open Sans"/>
                <w:sz w:val="18"/>
                <w:szCs w:val="18"/>
              </w:rPr>
              <w:t xml:space="preserve"> C360i ser.</w:t>
            </w:r>
          </w:p>
        </w:tc>
        <w:tc>
          <w:tcPr>
            <w:tcW w:w="850" w:type="dxa"/>
            <w:tcBorders>
              <w:top w:val="single" w:sz="4" w:space="0" w:color="007689"/>
              <w:bottom w:val="single" w:sz="4" w:space="0" w:color="007689"/>
            </w:tcBorders>
            <w:shd w:val="clear" w:color="auto" w:fill="auto"/>
          </w:tcPr>
          <w:p w14:paraId="60BAFD7D" w14:textId="77777777" w:rsidR="00001100" w:rsidRPr="008748A3" w:rsidRDefault="00001100" w:rsidP="00AA2D69">
            <w:pPr>
              <w:widowControl w:val="0"/>
              <w:rPr>
                <w:rFonts w:ascii="Open Sans" w:hAnsi="Open Sans" w:cs="Open Sans"/>
                <w:sz w:val="18"/>
                <w:szCs w:val="18"/>
              </w:rPr>
            </w:pPr>
          </w:p>
        </w:tc>
      </w:tr>
      <w:tr w:rsidR="00001100" w14:paraId="4DF1BF48" w14:textId="77777777" w:rsidTr="00AA2D69">
        <w:tc>
          <w:tcPr>
            <w:tcW w:w="2415" w:type="dxa"/>
            <w:tcBorders>
              <w:top w:val="single" w:sz="4" w:space="0" w:color="007689"/>
              <w:bottom w:val="single" w:sz="4" w:space="0" w:color="007689"/>
            </w:tcBorders>
            <w:shd w:val="clear" w:color="auto" w:fill="auto"/>
          </w:tcPr>
          <w:p w14:paraId="69A2FF45"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AAYHWY2</w:t>
            </w:r>
          </w:p>
        </w:tc>
        <w:tc>
          <w:tcPr>
            <w:tcW w:w="1135" w:type="dxa"/>
            <w:tcBorders>
              <w:top w:val="single" w:sz="4" w:space="0" w:color="007689"/>
              <w:bottom w:val="single" w:sz="4" w:space="0" w:color="007689"/>
            </w:tcBorders>
            <w:shd w:val="clear" w:color="auto" w:fill="auto"/>
          </w:tcPr>
          <w:p w14:paraId="2D27F9E6"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1</w:t>
            </w:r>
            <w:r w:rsidRPr="008748A3">
              <w:rPr>
                <w:rFonts w:ascii="Open Sans" w:hAnsi="Open Sans" w:cs="Open Sans"/>
                <w:sz w:val="18"/>
                <w:szCs w:val="18"/>
              </w:rPr>
              <w:t xml:space="preserve"> ks</w:t>
            </w:r>
          </w:p>
        </w:tc>
        <w:tc>
          <w:tcPr>
            <w:tcW w:w="4961" w:type="dxa"/>
            <w:tcBorders>
              <w:top w:val="single" w:sz="4" w:space="0" w:color="007689"/>
              <w:bottom w:val="single" w:sz="4" w:space="0" w:color="007689"/>
            </w:tcBorders>
            <w:shd w:val="clear" w:color="auto" w:fill="auto"/>
          </w:tcPr>
          <w:p w14:paraId="71AAA6D9"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 xml:space="preserve">DF-632 </w:t>
            </w:r>
            <w:proofErr w:type="spellStart"/>
            <w:r>
              <w:rPr>
                <w:rFonts w:ascii="Open Sans" w:hAnsi="Open Sans" w:cs="Open Sans"/>
                <w:sz w:val="18"/>
                <w:szCs w:val="18"/>
              </w:rPr>
              <w:t>Document</w:t>
            </w:r>
            <w:proofErr w:type="spellEnd"/>
            <w:r>
              <w:rPr>
                <w:rFonts w:ascii="Open Sans" w:hAnsi="Open Sans" w:cs="Open Sans"/>
                <w:sz w:val="18"/>
                <w:szCs w:val="18"/>
              </w:rPr>
              <w:t xml:space="preserve"> </w:t>
            </w:r>
            <w:proofErr w:type="spellStart"/>
            <w:r>
              <w:rPr>
                <w:rFonts w:ascii="Open Sans" w:hAnsi="Open Sans" w:cs="Open Sans"/>
                <w:sz w:val="18"/>
                <w:szCs w:val="18"/>
              </w:rPr>
              <w:t>feeder</w:t>
            </w:r>
            <w:proofErr w:type="spellEnd"/>
          </w:p>
        </w:tc>
        <w:tc>
          <w:tcPr>
            <w:tcW w:w="850" w:type="dxa"/>
            <w:tcBorders>
              <w:top w:val="single" w:sz="4" w:space="0" w:color="007689"/>
              <w:bottom w:val="single" w:sz="4" w:space="0" w:color="007689"/>
            </w:tcBorders>
            <w:shd w:val="clear" w:color="auto" w:fill="auto"/>
          </w:tcPr>
          <w:p w14:paraId="3ACFB8CF" w14:textId="77777777" w:rsidR="00001100" w:rsidRPr="008748A3" w:rsidRDefault="00001100" w:rsidP="00AA2D69">
            <w:pPr>
              <w:widowControl w:val="0"/>
              <w:rPr>
                <w:rFonts w:ascii="Open Sans" w:hAnsi="Open Sans" w:cs="Open Sans"/>
                <w:sz w:val="18"/>
                <w:szCs w:val="18"/>
              </w:rPr>
            </w:pPr>
          </w:p>
        </w:tc>
      </w:tr>
      <w:tr w:rsidR="00001100" w14:paraId="174A810C" w14:textId="77777777" w:rsidTr="00AA2D69">
        <w:tc>
          <w:tcPr>
            <w:tcW w:w="2415" w:type="dxa"/>
            <w:tcBorders>
              <w:top w:val="single" w:sz="4" w:space="0" w:color="007689"/>
              <w:bottom w:val="single" w:sz="4" w:space="0" w:color="007689"/>
            </w:tcBorders>
            <w:shd w:val="clear" w:color="auto" w:fill="auto"/>
          </w:tcPr>
          <w:p w14:paraId="4E43FE14"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9967008725</w:t>
            </w:r>
          </w:p>
        </w:tc>
        <w:tc>
          <w:tcPr>
            <w:tcW w:w="1135" w:type="dxa"/>
            <w:tcBorders>
              <w:top w:val="single" w:sz="4" w:space="0" w:color="007689"/>
              <w:bottom w:val="single" w:sz="4" w:space="0" w:color="007689"/>
            </w:tcBorders>
            <w:shd w:val="clear" w:color="auto" w:fill="auto"/>
          </w:tcPr>
          <w:p w14:paraId="217725B3"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1</w:t>
            </w:r>
            <w:r w:rsidRPr="008748A3">
              <w:rPr>
                <w:rFonts w:ascii="Open Sans" w:hAnsi="Open Sans" w:cs="Open Sans"/>
                <w:sz w:val="18"/>
                <w:szCs w:val="18"/>
              </w:rPr>
              <w:t xml:space="preserve"> ks</w:t>
            </w:r>
          </w:p>
        </w:tc>
        <w:tc>
          <w:tcPr>
            <w:tcW w:w="4961" w:type="dxa"/>
            <w:tcBorders>
              <w:top w:val="single" w:sz="4" w:space="0" w:color="007689"/>
              <w:bottom w:val="single" w:sz="4" w:space="0" w:color="007689"/>
            </w:tcBorders>
            <w:shd w:val="clear" w:color="auto" w:fill="auto"/>
          </w:tcPr>
          <w:p w14:paraId="72EE1519"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 xml:space="preserve">DK-516x </w:t>
            </w:r>
            <w:proofErr w:type="spellStart"/>
            <w:r>
              <w:rPr>
                <w:rFonts w:ascii="Open Sans" w:hAnsi="Open Sans" w:cs="Open Sans"/>
                <w:sz w:val="18"/>
                <w:szCs w:val="18"/>
              </w:rPr>
              <w:t>Copier</w:t>
            </w:r>
            <w:proofErr w:type="spellEnd"/>
            <w:r>
              <w:rPr>
                <w:rFonts w:ascii="Open Sans" w:hAnsi="Open Sans" w:cs="Open Sans"/>
                <w:sz w:val="18"/>
                <w:szCs w:val="18"/>
              </w:rPr>
              <w:t xml:space="preserve"> </w:t>
            </w:r>
            <w:proofErr w:type="spellStart"/>
            <w:r>
              <w:rPr>
                <w:rFonts w:ascii="Open Sans" w:hAnsi="Open Sans" w:cs="Open Sans"/>
                <w:sz w:val="18"/>
                <w:szCs w:val="18"/>
              </w:rPr>
              <w:t>desk</w:t>
            </w:r>
            <w:proofErr w:type="spellEnd"/>
          </w:p>
        </w:tc>
        <w:tc>
          <w:tcPr>
            <w:tcW w:w="850" w:type="dxa"/>
            <w:tcBorders>
              <w:top w:val="single" w:sz="4" w:space="0" w:color="007689"/>
              <w:bottom w:val="single" w:sz="4" w:space="0" w:color="007689"/>
            </w:tcBorders>
            <w:shd w:val="clear" w:color="auto" w:fill="auto"/>
          </w:tcPr>
          <w:p w14:paraId="32AC4E74" w14:textId="77777777" w:rsidR="00001100" w:rsidRPr="008748A3" w:rsidRDefault="00001100" w:rsidP="00AA2D69">
            <w:pPr>
              <w:widowControl w:val="0"/>
              <w:rPr>
                <w:rFonts w:ascii="Open Sans" w:hAnsi="Open Sans" w:cs="Open Sans"/>
                <w:sz w:val="18"/>
                <w:szCs w:val="18"/>
              </w:rPr>
            </w:pPr>
          </w:p>
        </w:tc>
      </w:tr>
      <w:tr w:rsidR="00001100" w14:paraId="39EC5D85" w14:textId="77777777" w:rsidTr="00AA2D69">
        <w:tc>
          <w:tcPr>
            <w:tcW w:w="2415" w:type="dxa"/>
            <w:tcBorders>
              <w:top w:val="single" w:sz="4" w:space="0" w:color="007689"/>
              <w:bottom w:val="single" w:sz="4" w:space="0" w:color="007689"/>
            </w:tcBorders>
            <w:shd w:val="clear" w:color="auto" w:fill="auto"/>
          </w:tcPr>
          <w:p w14:paraId="20457916"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AAV8450</w:t>
            </w:r>
          </w:p>
        </w:tc>
        <w:tc>
          <w:tcPr>
            <w:tcW w:w="1135" w:type="dxa"/>
            <w:tcBorders>
              <w:top w:val="single" w:sz="4" w:space="0" w:color="007689"/>
              <w:bottom w:val="single" w:sz="4" w:space="0" w:color="007689"/>
            </w:tcBorders>
            <w:shd w:val="clear" w:color="auto" w:fill="auto"/>
          </w:tcPr>
          <w:p w14:paraId="2442FEA9"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1</w:t>
            </w:r>
            <w:r w:rsidRPr="008748A3">
              <w:rPr>
                <w:rFonts w:ascii="Open Sans" w:hAnsi="Open Sans" w:cs="Open Sans"/>
                <w:sz w:val="18"/>
                <w:szCs w:val="18"/>
              </w:rPr>
              <w:t xml:space="preserve"> ks</w:t>
            </w:r>
          </w:p>
        </w:tc>
        <w:tc>
          <w:tcPr>
            <w:tcW w:w="4961" w:type="dxa"/>
            <w:tcBorders>
              <w:top w:val="single" w:sz="4" w:space="0" w:color="007689"/>
              <w:bottom w:val="single" w:sz="4" w:space="0" w:color="007689"/>
            </w:tcBorders>
            <w:shd w:val="clear" w:color="auto" w:fill="auto"/>
          </w:tcPr>
          <w:p w14:paraId="39305FAE"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 xml:space="preserve">TN328C Toner cyan f. </w:t>
            </w:r>
            <w:proofErr w:type="spellStart"/>
            <w:r>
              <w:rPr>
                <w:rFonts w:ascii="Open Sans" w:hAnsi="Open Sans" w:cs="Open Sans"/>
                <w:sz w:val="18"/>
                <w:szCs w:val="18"/>
              </w:rPr>
              <w:t>bizhub</w:t>
            </w:r>
            <w:proofErr w:type="spellEnd"/>
            <w:r>
              <w:rPr>
                <w:rFonts w:ascii="Open Sans" w:hAnsi="Open Sans" w:cs="Open Sans"/>
                <w:sz w:val="18"/>
                <w:szCs w:val="18"/>
              </w:rPr>
              <w:t xml:space="preserve"> C360i </w:t>
            </w:r>
            <w:proofErr w:type="spellStart"/>
            <w:r>
              <w:rPr>
                <w:rFonts w:ascii="Open Sans" w:hAnsi="Open Sans" w:cs="Open Sans"/>
                <w:sz w:val="18"/>
                <w:szCs w:val="18"/>
              </w:rPr>
              <w:t>series</w:t>
            </w:r>
            <w:proofErr w:type="spellEnd"/>
          </w:p>
        </w:tc>
        <w:tc>
          <w:tcPr>
            <w:tcW w:w="850" w:type="dxa"/>
            <w:tcBorders>
              <w:top w:val="single" w:sz="4" w:space="0" w:color="007689"/>
              <w:bottom w:val="single" w:sz="4" w:space="0" w:color="007689"/>
            </w:tcBorders>
            <w:shd w:val="clear" w:color="auto" w:fill="auto"/>
          </w:tcPr>
          <w:p w14:paraId="0FD3583A" w14:textId="77777777" w:rsidR="00001100" w:rsidRPr="008748A3" w:rsidRDefault="00001100" w:rsidP="00AA2D69">
            <w:pPr>
              <w:widowControl w:val="0"/>
              <w:rPr>
                <w:rFonts w:ascii="Open Sans" w:hAnsi="Open Sans" w:cs="Open Sans"/>
                <w:sz w:val="18"/>
                <w:szCs w:val="18"/>
              </w:rPr>
            </w:pPr>
          </w:p>
        </w:tc>
      </w:tr>
      <w:tr w:rsidR="00001100" w14:paraId="317DD866" w14:textId="77777777" w:rsidTr="00AA2D69">
        <w:tc>
          <w:tcPr>
            <w:tcW w:w="2415" w:type="dxa"/>
            <w:tcBorders>
              <w:top w:val="single" w:sz="4" w:space="0" w:color="007689"/>
              <w:bottom w:val="single" w:sz="4" w:space="0" w:color="007689"/>
            </w:tcBorders>
            <w:shd w:val="clear" w:color="auto" w:fill="auto"/>
          </w:tcPr>
          <w:p w14:paraId="3BCC96DA"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9967012017</w:t>
            </w:r>
          </w:p>
        </w:tc>
        <w:tc>
          <w:tcPr>
            <w:tcW w:w="1135" w:type="dxa"/>
            <w:tcBorders>
              <w:top w:val="single" w:sz="4" w:space="0" w:color="007689"/>
              <w:bottom w:val="single" w:sz="4" w:space="0" w:color="007689"/>
            </w:tcBorders>
            <w:shd w:val="clear" w:color="auto" w:fill="auto"/>
          </w:tcPr>
          <w:p w14:paraId="32C3F360"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1</w:t>
            </w:r>
            <w:r w:rsidRPr="008748A3">
              <w:rPr>
                <w:rFonts w:ascii="Open Sans" w:hAnsi="Open Sans" w:cs="Open Sans"/>
                <w:sz w:val="18"/>
                <w:szCs w:val="18"/>
              </w:rPr>
              <w:t xml:space="preserve"> ks</w:t>
            </w:r>
          </w:p>
        </w:tc>
        <w:tc>
          <w:tcPr>
            <w:tcW w:w="4961" w:type="dxa"/>
            <w:tcBorders>
              <w:top w:val="single" w:sz="4" w:space="0" w:color="007689"/>
              <w:bottom w:val="single" w:sz="4" w:space="0" w:color="007689"/>
            </w:tcBorders>
            <w:shd w:val="clear" w:color="auto" w:fill="auto"/>
          </w:tcPr>
          <w:p w14:paraId="225C7CF9"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USB CR YSF READER MF-X+</w:t>
            </w:r>
          </w:p>
        </w:tc>
        <w:tc>
          <w:tcPr>
            <w:tcW w:w="850" w:type="dxa"/>
            <w:tcBorders>
              <w:top w:val="single" w:sz="4" w:space="0" w:color="007689"/>
              <w:bottom w:val="single" w:sz="4" w:space="0" w:color="007689"/>
            </w:tcBorders>
            <w:shd w:val="clear" w:color="auto" w:fill="auto"/>
          </w:tcPr>
          <w:p w14:paraId="513320CA" w14:textId="77777777" w:rsidR="00001100" w:rsidRPr="008748A3" w:rsidRDefault="00001100" w:rsidP="00AA2D69">
            <w:pPr>
              <w:widowControl w:val="0"/>
              <w:rPr>
                <w:rFonts w:ascii="Open Sans" w:hAnsi="Open Sans" w:cs="Open Sans"/>
                <w:sz w:val="18"/>
                <w:szCs w:val="18"/>
              </w:rPr>
            </w:pPr>
          </w:p>
        </w:tc>
      </w:tr>
      <w:tr w:rsidR="00001100" w14:paraId="7F29A956" w14:textId="77777777" w:rsidTr="00AA2D69">
        <w:tc>
          <w:tcPr>
            <w:tcW w:w="2415" w:type="dxa"/>
            <w:tcBorders>
              <w:top w:val="single" w:sz="4" w:space="0" w:color="007689"/>
              <w:bottom w:val="single" w:sz="4" w:space="0" w:color="007689"/>
            </w:tcBorders>
            <w:shd w:val="clear" w:color="auto" w:fill="auto"/>
          </w:tcPr>
          <w:p w14:paraId="43E393ED"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AAV8150</w:t>
            </w:r>
          </w:p>
        </w:tc>
        <w:tc>
          <w:tcPr>
            <w:tcW w:w="1135" w:type="dxa"/>
            <w:tcBorders>
              <w:top w:val="single" w:sz="4" w:space="0" w:color="007689"/>
              <w:bottom w:val="single" w:sz="4" w:space="0" w:color="007689"/>
            </w:tcBorders>
            <w:shd w:val="clear" w:color="auto" w:fill="auto"/>
          </w:tcPr>
          <w:p w14:paraId="0CAEC0E5"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1</w:t>
            </w:r>
            <w:r w:rsidRPr="008748A3">
              <w:rPr>
                <w:rFonts w:ascii="Open Sans" w:hAnsi="Open Sans" w:cs="Open Sans"/>
                <w:sz w:val="18"/>
                <w:szCs w:val="18"/>
              </w:rPr>
              <w:t xml:space="preserve"> ks</w:t>
            </w:r>
          </w:p>
        </w:tc>
        <w:tc>
          <w:tcPr>
            <w:tcW w:w="4961" w:type="dxa"/>
            <w:tcBorders>
              <w:top w:val="single" w:sz="4" w:space="0" w:color="007689"/>
              <w:bottom w:val="single" w:sz="4" w:space="0" w:color="007689"/>
            </w:tcBorders>
            <w:shd w:val="clear" w:color="auto" w:fill="auto"/>
          </w:tcPr>
          <w:p w14:paraId="272AC3D8"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 xml:space="preserve">TN328K Toner </w:t>
            </w:r>
            <w:proofErr w:type="spellStart"/>
            <w:r>
              <w:rPr>
                <w:rFonts w:ascii="Open Sans" w:hAnsi="Open Sans" w:cs="Open Sans"/>
                <w:sz w:val="18"/>
                <w:szCs w:val="18"/>
              </w:rPr>
              <w:t>black</w:t>
            </w:r>
            <w:proofErr w:type="spellEnd"/>
            <w:r>
              <w:rPr>
                <w:rFonts w:ascii="Open Sans" w:hAnsi="Open Sans" w:cs="Open Sans"/>
                <w:sz w:val="18"/>
                <w:szCs w:val="18"/>
              </w:rPr>
              <w:t xml:space="preserve"> </w:t>
            </w:r>
            <w:proofErr w:type="spellStart"/>
            <w:r>
              <w:rPr>
                <w:rFonts w:ascii="Open Sans" w:hAnsi="Open Sans" w:cs="Open Sans"/>
                <w:sz w:val="18"/>
                <w:szCs w:val="18"/>
              </w:rPr>
              <w:t>f.bizhub</w:t>
            </w:r>
            <w:proofErr w:type="spellEnd"/>
            <w:r>
              <w:rPr>
                <w:rFonts w:ascii="Open Sans" w:hAnsi="Open Sans" w:cs="Open Sans"/>
                <w:sz w:val="18"/>
                <w:szCs w:val="18"/>
              </w:rPr>
              <w:t xml:space="preserve"> C360i </w:t>
            </w:r>
            <w:proofErr w:type="spellStart"/>
            <w:r>
              <w:rPr>
                <w:rFonts w:ascii="Open Sans" w:hAnsi="Open Sans" w:cs="Open Sans"/>
                <w:sz w:val="18"/>
                <w:szCs w:val="18"/>
              </w:rPr>
              <w:t>series</w:t>
            </w:r>
            <w:proofErr w:type="spellEnd"/>
          </w:p>
        </w:tc>
        <w:tc>
          <w:tcPr>
            <w:tcW w:w="850" w:type="dxa"/>
            <w:tcBorders>
              <w:top w:val="single" w:sz="4" w:space="0" w:color="007689"/>
              <w:bottom w:val="single" w:sz="4" w:space="0" w:color="007689"/>
            </w:tcBorders>
            <w:shd w:val="clear" w:color="auto" w:fill="auto"/>
          </w:tcPr>
          <w:p w14:paraId="2EA80738" w14:textId="77777777" w:rsidR="00001100" w:rsidRPr="008748A3" w:rsidRDefault="00001100" w:rsidP="00AA2D69">
            <w:pPr>
              <w:widowControl w:val="0"/>
              <w:rPr>
                <w:rFonts w:ascii="Open Sans" w:hAnsi="Open Sans" w:cs="Open Sans"/>
                <w:sz w:val="18"/>
                <w:szCs w:val="18"/>
              </w:rPr>
            </w:pPr>
          </w:p>
        </w:tc>
      </w:tr>
      <w:tr w:rsidR="00001100" w14:paraId="338C403F" w14:textId="77777777" w:rsidTr="00AA2D69">
        <w:tc>
          <w:tcPr>
            <w:tcW w:w="2415" w:type="dxa"/>
            <w:tcBorders>
              <w:top w:val="single" w:sz="4" w:space="0" w:color="007689"/>
              <w:bottom w:val="single" w:sz="4" w:space="0" w:color="007689"/>
            </w:tcBorders>
            <w:shd w:val="clear" w:color="auto" w:fill="auto"/>
          </w:tcPr>
          <w:p w14:paraId="7C5238B5"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AAV8350</w:t>
            </w:r>
          </w:p>
        </w:tc>
        <w:tc>
          <w:tcPr>
            <w:tcW w:w="1135" w:type="dxa"/>
            <w:tcBorders>
              <w:top w:val="single" w:sz="4" w:space="0" w:color="007689"/>
              <w:bottom w:val="single" w:sz="4" w:space="0" w:color="007689"/>
            </w:tcBorders>
            <w:shd w:val="clear" w:color="auto" w:fill="auto"/>
          </w:tcPr>
          <w:p w14:paraId="79566A51"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1</w:t>
            </w:r>
            <w:r w:rsidRPr="008748A3">
              <w:rPr>
                <w:rFonts w:ascii="Open Sans" w:hAnsi="Open Sans" w:cs="Open Sans"/>
                <w:sz w:val="18"/>
                <w:szCs w:val="18"/>
              </w:rPr>
              <w:t xml:space="preserve"> ks</w:t>
            </w:r>
          </w:p>
        </w:tc>
        <w:tc>
          <w:tcPr>
            <w:tcW w:w="4961" w:type="dxa"/>
            <w:tcBorders>
              <w:top w:val="single" w:sz="4" w:space="0" w:color="007689"/>
              <w:bottom w:val="single" w:sz="4" w:space="0" w:color="007689"/>
            </w:tcBorders>
            <w:shd w:val="clear" w:color="auto" w:fill="auto"/>
          </w:tcPr>
          <w:p w14:paraId="03399B4B" w14:textId="77777777" w:rsidR="00001100" w:rsidRPr="008748A3" w:rsidRDefault="00001100" w:rsidP="00AA2D69">
            <w:pPr>
              <w:widowControl w:val="0"/>
              <w:rPr>
                <w:rFonts w:ascii="Open Sans" w:hAnsi="Open Sans" w:cs="Open Sans"/>
                <w:sz w:val="18"/>
                <w:szCs w:val="18"/>
              </w:rPr>
            </w:pPr>
            <w:r>
              <w:rPr>
                <w:rFonts w:ascii="Open Sans" w:hAnsi="Open Sans" w:cs="Open Sans"/>
                <w:sz w:val="18"/>
                <w:szCs w:val="18"/>
              </w:rPr>
              <w:t xml:space="preserve">TN328M Toner magenta </w:t>
            </w:r>
            <w:proofErr w:type="spellStart"/>
            <w:r>
              <w:rPr>
                <w:rFonts w:ascii="Open Sans" w:hAnsi="Open Sans" w:cs="Open Sans"/>
                <w:sz w:val="18"/>
                <w:szCs w:val="18"/>
              </w:rPr>
              <w:t>f.bizhub</w:t>
            </w:r>
            <w:proofErr w:type="spellEnd"/>
            <w:r>
              <w:rPr>
                <w:rFonts w:ascii="Open Sans" w:hAnsi="Open Sans" w:cs="Open Sans"/>
                <w:sz w:val="18"/>
                <w:szCs w:val="18"/>
              </w:rPr>
              <w:t xml:space="preserve"> C360i ser.</w:t>
            </w:r>
          </w:p>
        </w:tc>
        <w:tc>
          <w:tcPr>
            <w:tcW w:w="850" w:type="dxa"/>
            <w:tcBorders>
              <w:top w:val="single" w:sz="4" w:space="0" w:color="007689"/>
              <w:bottom w:val="single" w:sz="4" w:space="0" w:color="007689"/>
            </w:tcBorders>
            <w:shd w:val="clear" w:color="auto" w:fill="auto"/>
          </w:tcPr>
          <w:p w14:paraId="54073515" w14:textId="77777777" w:rsidR="00001100" w:rsidRPr="008748A3" w:rsidRDefault="00001100" w:rsidP="00AA2D69">
            <w:pPr>
              <w:widowControl w:val="0"/>
              <w:rPr>
                <w:rFonts w:ascii="Open Sans" w:hAnsi="Open Sans" w:cs="Open Sans"/>
                <w:sz w:val="18"/>
                <w:szCs w:val="18"/>
              </w:rPr>
            </w:pPr>
          </w:p>
        </w:tc>
      </w:tr>
    </w:tbl>
    <w:p w14:paraId="7D3EC251" w14:textId="477E6901" w:rsidR="00001100" w:rsidRDefault="00001100" w:rsidP="00001100">
      <w:pPr>
        <w:rPr>
          <w:rFonts w:asciiTheme="minorHAnsi" w:hAnsiTheme="minorHAnsi" w:cstheme="minorHAnsi"/>
          <w:color w:val="000000" w:themeColor="text1"/>
          <w:sz w:val="22"/>
          <w:szCs w:val="22"/>
        </w:rPr>
      </w:pPr>
    </w:p>
    <w:p w14:paraId="4184EEBC" w14:textId="77777777" w:rsidR="00935122" w:rsidRDefault="00935122">
      <w:pPr>
        <w:rPr>
          <w:rFonts w:asciiTheme="minorHAnsi" w:hAnsiTheme="minorHAnsi" w:cstheme="minorHAnsi"/>
          <w:b/>
          <w:bCs/>
          <w:color w:val="000000" w:themeColor="text1"/>
          <w:sz w:val="22"/>
          <w:szCs w:val="22"/>
        </w:rPr>
      </w:pPr>
      <w:r w:rsidRPr="00935122">
        <w:rPr>
          <w:rFonts w:asciiTheme="minorHAnsi" w:hAnsiTheme="minorHAnsi" w:cstheme="minorHAnsi"/>
          <w:b/>
          <w:bCs/>
          <w:color w:val="000000" w:themeColor="text1"/>
          <w:sz w:val="22"/>
          <w:szCs w:val="22"/>
        </w:rPr>
        <w:t>Související služby</w:t>
      </w:r>
    </w:p>
    <w:p w14:paraId="71A20D41" w14:textId="77777777" w:rsidR="00935122" w:rsidRDefault="0093512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Doprava stroje na dodací adresu Kupujícího</w:t>
      </w:r>
    </w:p>
    <w:p w14:paraId="578F2F3E" w14:textId="66BC6B36" w:rsidR="00001100" w:rsidRPr="00935122" w:rsidRDefault="00935122">
      <w:pPr>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Instalace stroje na dodací adrese Kupujícího</w:t>
      </w:r>
      <w:r w:rsidR="00001100" w:rsidRPr="00935122">
        <w:rPr>
          <w:rFonts w:asciiTheme="minorHAnsi" w:hAnsiTheme="minorHAnsi" w:cstheme="minorHAnsi"/>
          <w:b/>
          <w:bCs/>
          <w:color w:val="000000" w:themeColor="text1"/>
          <w:sz w:val="22"/>
          <w:szCs w:val="22"/>
        </w:rPr>
        <w:br w:type="page"/>
      </w:r>
    </w:p>
    <w:p w14:paraId="4257940D" w14:textId="69EA8B87" w:rsidR="00001100" w:rsidRDefault="00001100" w:rsidP="00001100">
      <w:pPr>
        <w:rPr>
          <w:rFonts w:asciiTheme="minorHAnsi" w:hAnsiTheme="minorHAnsi" w:cstheme="minorHAnsi"/>
          <w:sz w:val="22"/>
          <w:szCs w:val="22"/>
        </w:rPr>
      </w:pPr>
      <w:r>
        <w:rPr>
          <w:rFonts w:asciiTheme="minorHAnsi" w:hAnsiTheme="minorHAnsi" w:cstheme="minorHAnsi"/>
          <w:sz w:val="22"/>
          <w:szCs w:val="22"/>
        </w:rPr>
        <w:lastRenderedPageBreak/>
        <w:t>P</w:t>
      </w:r>
      <w:r w:rsidRPr="00515FED">
        <w:rPr>
          <w:rFonts w:asciiTheme="minorHAnsi" w:hAnsiTheme="minorHAnsi" w:cstheme="minorHAnsi"/>
          <w:sz w:val="22"/>
          <w:szCs w:val="22"/>
        </w:rPr>
        <w:t>řílo</w:t>
      </w:r>
      <w:r>
        <w:rPr>
          <w:rFonts w:asciiTheme="minorHAnsi" w:hAnsiTheme="minorHAnsi" w:cstheme="minorHAnsi"/>
          <w:sz w:val="22"/>
          <w:szCs w:val="22"/>
        </w:rPr>
        <w:t>ha</w:t>
      </w:r>
      <w:r w:rsidRPr="00515FED">
        <w:rPr>
          <w:rFonts w:asciiTheme="minorHAnsi" w:hAnsiTheme="minorHAnsi" w:cstheme="minorHAnsi"/>
          <w:sz w:val="22"/>
          <w:szCs w:val="22"/>
        </w:rPr>
        <w:t xml:space="preserve"> č. 2: Položkový rozpočet</w:t>
      </w:r>
    </w:p>
    <w:p w14:paraId="65F7B3CD" w14:textId="6AB99FAE" w:rsidR="00001100" w:rsidRDefault="00001100" w:rsidP="00001100">
      <w:pPr>
        <w:rPr>
          <w:rFonts w:asciiTheme="minorHAnsi" w:hAnsiTheme="minorHAnsi" w:cstheme="minorHAnsi"/>
          <w:sz w:val="22"/>
          <w:szCs w:val="22"/>
        </w:rPr>
      </w:pPr>
    </w:p>
    <w:p w14:paraId="6E2FB8BD" w14:textId="413CBF46" w:rsidR="00001100" w:rsidRDefault="00001100" w:rsidP="000011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Cena zařízení včetně SW licencí a příslušenství: Kč 7</w:t>
      </w:r>
      <w:r w:rsidR="00935122">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.000,-</w:t>
      </w:r>
    </w:p>
    <w:p w14:paraId="0B5829AD" w14:textId="00A79385" w:rsidR="00001100" w:rsidRDefault="00001100" w:rsidP="000011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Cena za jednorázové služby (doprava stroje, Instalace stroje</w:t>
      </w:r>
      <w:r w:rsidR="00935122">
        <w:rPr>
          <w:rFonts w:asciiTheme="minorHAnsi" w:hAnsiTheme="minorHAnsi" w:cstheme="minorHAnsi"/>
          <w:color w:val="000000" w:themeColor="text1"/>
          <w:sz w:val="22"/>
          <w:szCs w:val="22"/>
        </w:rPr>
        <w:t>): Kč 1.500,-</w:t>
      </w:r>
    </w:p>
    <w:p w14:paraId="37D2FDDB" w14:textId="1AA3E29C" w:rsidR="00935122" w:rsidRDefault="00935122" w:rsidP="000011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Autorské a recyklační poplatky: Kč 780,-</w:t>
      </w:r>
    </w:p>
    <w:p w14:paraId="30B2A32F" w14:textId="44D3E14C" w:rsidR="00001100" w:rsidRDefault="00001100" w:rsidP="00001100">
      <w:pPr>
        <w:rPr>
          <w:rFonts w:asciiTheme="minorHAnsi" w:hAnsiTheme="minorHAnsi" w:cstheme="minorHAnsi"/>
          <w:color w:val="000000" w:themeColor="text1"/>
          <w:sz w:val="22"/>
          <w:szCs w:val="22"/>
        </w:rPr>
      </w:pPr>
    </w:p>
    <w:p w14:paraId="0F76EFD0" w14:textId="60DAB1D0" w:rsidR="00935122" w:rsidRDefault="00935122" w:rsidP="00001100">
      <w:pPr>
        <w:rPr>
          <w:rFonts w:asciiTheme="minorHAnsi" w:hAnsiTheme="minorHAnsi" w:cstheme="minorHAnsi"/>
          <w:color w:val="000000" w:themeColor="text1"/>
          <w:sz w:val="22"/>
          <w:szCs w:val="22"/>
        </w:rPr>
      </w:pPr>
    </w:p>
    <w:p w14:paraId="40E45BB1" w14:textId="10D63FD7" w:rsidR="00935122" w:rsidRPr="00202AE1" w:rsidRDefault="00935122" w:rsidP="000011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Uvedené ceny jsou bez DPH.</w:t>
      </w:r>
    </w:p>
    <w:sectPr w:rsidR="00935122" w:rsidRPr="00202AE1" w:rsidSect="00665130">
      <w:headerReference w:type="default" r:id="rId16"/>
      <w:footerReference w:type="default" r:id="rId17"/>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5114" w14:textId="77777777" w:rsidR="002D7E26" w:rsidRDefault="002D7E26">
      <w:r>
        <w:separator/>
      </w:r>
    </w:p>
  </w:endnote>
  <w:endnote w:type="continuationSeparator" w:id="0">
    <w:p w14:paraId="6204E6E5" w14:textId="77777777" w:rsidR="002D7E26" w:rsidRDefault="002D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0A0B9DDB" w:rsidR="00450F25" w:rsidRPr="00D41D41" w:rsidRDefault="00450F25" w:rsidP="00450F25">
        <w:pPr>
          <w:pStyle w:val="Zpat"/>
          <w:rPr>
            <w:rFonts w:asciiTheme="minorHAnsi" w:hAnsiTheme="minorHAnsi" w:cstheme="minorHAnsi"/>
            <w:sz w:val="22"/>
            <w:szCs w:val="22"/>
          </w:rPr>
        </w:pPr>
        <w:proofErr w:type="spellStart"/>
        <w:r w:rsidRPr="00D41D41">
          <w:rPr>
            <w:rFonts w:asciiTheme="minorHAnsi" w:hAnsiTheme="minorHAnsi" w:cstheme="minorHAnsi"/>
            <w:sz w:val="22"/>
            <w:szCs w:val="22"/>
          </w:rPr>
          <w:t>Sp.zn</w:t>
        </w:r>
        <w:proofErr w:type="spellEnd"/>
        <w:r w:rsidRPr="00D41D41">
          <w:rPr>
            <w:rFonts w:asciiTheme="minorHAnsi" w:hAnsiTheme="minorHAnsi" w:cstheme="minorHAnsi"/>
            <w:sz w:val="22"/>
            <w:szCs w:val="22"/>
          </w:rPr>
          <w:t>. 11.4.2</w:t>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7552D9">
          <w:rPr>
            <w:rFonts w:asciiTheme="minorHAnsi" w:hAnsiTheme="minorHAnsi" w:cstheme="minorHAnsi"/>
            <w:noProof/>
            <w:sz w:val="22"/>
            <w:szCs w:val="22"/>
          </w:rPr>
          <w:t>9</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78C8" w14:textId="77777777" w:rsidR="002D7E26" w:rsidRDefault="002D7E26">
      <w:r>
        <w:separator/>
      </w:r>
    </w:p>
  </w:footnote>
  <w:footnote w:type="continuationSeparator" w:id="0">
    <w:p w14:paraId="222E2D41" w14:textId="77777777" w:rsidR="002D7E26" w:rsidRDefault="002D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DD79" w14:textId="076EA432" w:rsidR="00665130" w:rsidRDefault="00665130" w:rsidP="00665130">
    <w:pPr>
      <w:rPr>
        <w:rFonts w:ascii="Calibri" w:hAnsi="Calibri"/>
        <w:bCs/>
        <w:sz w:val="22"/>
        <w:szCs w:val="22"/>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C996E78"/>
    <w:multiLevelType w:val="hybridMultilevel"/>
    <w:tmpl w:val="8710178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7F327C4"/>
    <w:multiLevelType w:val="hybridMultilevel"/>
    <w:tmpl w:val="37703E8A"/>
    <w:lvl w:ilvl="0" w:tplc="EE4A4B80">
      <w:start w:val="1"/>
      <w:numFmt w:val="upperRoman"/>
      <w:lvlText w:val="%1."/>
      <w:lvlJc w:val="left"/>
      <w:pPr>
        <w:ind w:left="1080" w:hanging="720"/>
      </w:pPr>
      <w:rPr>
        <w:rFonts w:hint="default"/>
        <w:b/>
      </w:rPr>
    </w:lvl>
    <w:lvl w:ilvl="1" w:tplc="A47828F8">
      <w:start w:val="1"/>
      <w:numFmt w:val="decimal"/>
      <w:lvlText w:val="%2."/>
      <w:lvlJc w:val="left"/>
      <w:pPr>
        <w:ind w:left="1440" w:hanging="360"/>
      </w:pPr>
      <w:rPr>
        <w:rFonts w:asciiTheme="minorHAnsi" w:eastAsiaTheme="majorEastAsia" w:hAnsiTheme="minorHAnsi" w:cstheme="minorHAnsi" w:hint="default"/>
        <w:color w:val="auto"/>
        <w:sz w:val="22"/>
        <w:szCs w:val="22"/>
      </w:rPr>
    </w:lvl>
    <w:lvl w:ilvl="2" w:tplc="55B8E3C2">
      <w:numFmt w:val="bullet"/>
      <w:lvlText w:val="-"/>
      <w:lvlJc w:val="left"/>
      <w:pPr>
        <w:ind w:left="2340" w:hanging="360"/>
      </w:pPr>
      <w:rPr>
        <w:rFonts w:ascii="Calibri" w:eastAsia="Times New Roman" w:hAnsi="Calibri" w:cs="Calibri" w:hint="default"/>
        <w:sz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472CC"/>
    <w:multiLevelType w:val="hybridMultilevel"/>
    <w:tmpl w:val="8710178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AE02AEA"/>
    <w:multiLevelType w:val="hybridMultilevel"/>
    <w:tmpl w:val="8710178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0"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26"/>
  </w:num>
  <w:num w:numId="3">
    <w:abstractNumId w:val="16"/>
  </w:num>
  <w:num w:numId="4">
    <w:abstractNumId w:val="7"/>
  </w:num>
  <w:num w:numId="5">
    <w:abstractNumId w:val="25"/>
  </w:num>
  <w:num w:numId="6">
    <w:abstractNumId w:val="19"/>
  </w:num>
  <w:num w:numId="7">
    <w:abstractNumId w:val="30"/>
  </w:num>
  <w:num w:numId="8">
    <w:abstractNumId w:val="15"/>
  </w:num>
  <w:num w:numId="9">
    <w:abstractNumId w:val="20"/>
  </w:num>
  <w:num w:numId="10">
    <w:abstractNumId w:val="14"/>
  </w:num>
  <w:num w:numId="11">
    <w:abstractNumId w:val="0"/>
  </w:num>
  <w:num w:numId="12">
    <w:abstractNumId w:val="10"/>
  </w:num>
  <w:num w:numId="13">
    <w:abstractNumId w:val="24"/>
  </w:num>
  <w:num w:numId="14">
    <w:abstractNumId w:val="6"/>
  </w:num>
  <w:num w:numId="15">
    <w:abstractNumId w:val="12"/>
  </w:num>
  <w:num w:numId="16">
    <w:abstractNumId w:val="21"/>
  </w:num>
  <w:num w:numId="17">
    <w:abstractNumId w:val="1"/>
  </w:num>
  <w:num w:numId="18">
    <w:abstractNumId w:val="2"/>
  </w:num>
  <w:num w:numId="19">
    <w:abstractNumId w:val="9"/>
  </w:num>
  <w:num w:numId="20">
    <w:abstractNumId w:val="18"/>
  </w:num>
  <w:num w:numId="21">
    <w:abstractNumId w:val="27"/>
  </w:num>
  <w:num w:numId="22">
    <w:abstractNumId w:val="11"/>
  </w:num>
  <w:num w:numId="23">
    <w:abstractNumId w:val="8"/>
  </w:num>
  <w:num w:numId="24">
    <w:abstractNumId w:val="4"/>
  </w:num>
  <w:num w:numId="25">
    <w:abstractNumId w:val="1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 w:numId="29">
    <w:abstractNumId w:val="28"/>
  </w:num>
  <w:num w:numId="30">
    <w:abstractNumId w:val="23"/>
  </w:num>
  <w:num w:numId="3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1100"/>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83274"/>
    <w:rsid w:val="0018610C"/>
    <w:rsid w:val="00190DC4"/>
    <w:rsid w:val="0019446E"/>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97"/>
    <w:rsid w:val="00244EF7"/>
    <w:rsid w:val="00247746"/>
    <w:rsid w:val="00252B24"/>
    <w:rsid w:val="00255E36"/>
    <w:rsid w:val="00280CD3"/>
    <w:rsid w:val="002869AA"/>
    <w:rsid w:val="00290CB9"/>
    <w:rsid w:val="00291E69"/>
    <w:rsid w:val="00294FD3"/>
    <w:rsid w:val="002A02C2"/>
    <w:rsid w:val="002A074E"/>
    <w:rsid w:val="002A0EB4"/>
    <w:rsid w:val="002A649B"/>
    <w:rsid w:val="002B01F2"/>
    <w:rsid w:val="002B2562"/>
    <w:rsid w:val="002B3749"/>
    <w:rsid w:val="002B7144"/>
    <w:rsid w:val="002D1829"/>
    <w:rsid w:val="002D3B6D"/>
    <w:rsid w:val="002D7E26"/>
    <w:rsid w:val="002E070F"/>
    <w:rsid w:val="002E35D5"/>
    <w:rsid w:val="002F160D"/>
    <w:rsid w:val="002F67D4"/>
    <w:rsid w:val="002F7192"/>
    <w:rsid w:val="00302E1E"/>
    <w:rsid w:val="0031271A"/>
    <w:rsid w:val="00313693"/>
    <w:rsid w:val="003150C5"/>
    <w:rsid w:val="003268F0"/>
    <w:rsid w:val="00326D48"/>
    <w:rsid w:val="003338F6"/>
    <w:rsid w:val="003432EF"/>
    <w:rsid w:val="00343AD0"/>
    <w:rsid w:val="003460AA"/>
    <w:rsid w:val="00353528"/>
    <w:rsid w:val="003674A3"/>
    <w:rsid w:val="00375E3D"/>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7F9"/>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961D6"/>
    <w:rsid w:val="004A1797"/>
    <w:rsid w:val="004A4C44"/>
    <w:rsid w:val="004A61DA"/>
    <w:rsid w:val="004B29A4"/>
    <w:rsid w:val="004B312E"/>
    <w:rsid w:val="004B3F2B"/>
    <w:rsid w:val="004B52AD"/>
    <w:rsid w:val="004B7DAE"/>
    <w:rsid w:val="004C2C07"/>
    <w:rsid w:val="004C751F"/>
    <w:rsid w:val="004C7753"/>
    <w:rsid w:val="004D0D90"/>
    <w:rsid w:val="004D190E"/>
    <w:rsid w:val="004D22C9"/>
    <w:rsid w:val="004D433A"/>
    <w:rsid w:val="004E0D74"/>
    <w:rsid w:val="004F0035"/>
    <w:rsid w:val="004F1154"/>
    <w:rsid w:val="004F1F55"/>
    <w:rsid w:val="005077FD"/>
    <w:rsid w:val="0050783D"/>
    <w:rsid w:val="00513E9B"/>
    <w:rsid w:val="005144A3"/>
    <w:rsid w:val="00515FED"/>
    <w:rsid w:val="00520C51"/>
    <w:rsid w:val="005211AC"/>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53BFE"/>
    <w:rsid w:val="00560D18"/>
    <w:rsid w:val="00563C60"/>
    <w:rsid w:val="00571018"/>
    <w:rsid w:val="0057163E"/>
    <w:rsid w:val="00571E83"/>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35FC4"/>
    <w:rsid w:val="00642188"/>
    <w:rsid w:val="00645389"/>
    <w:rsid w:val="006458DC"/>
    <w:rsid w:val="00650886"/>
    <w:rsid w:val="0065138E"/>
    <w:rsid w:val="00651957"/>
    <w:rsid w:val="0065340B"/>
    <w:rsid w:val="00655F45"/>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52D9"/>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3808"/>
    <w:rsid w:val="007B4201"/>
    <w:rsid w:val="007C086C"/>
    <w:rsid w:val="007C1273"/>
    <w:rsid w:val="007C2810"/>
    <w:rsid w:val="007C3725"/>
    <w:rsid w:val="007D3575"/>
    <w:rsid w:val="007E1C3F"/>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075"/>
    <w:rsid w:val="00840271"/>
    <w:rsid w:val="008463C4"/>
    <w:rsid w:val="008467B9"/>
    <w:rsid w:val="00847E69"/>
    <w:rsid w:val="00853B53"/>
    <w:rsid w:val="00857836"/>
    <w:rsid w:val="00861493"/>
    <w:rsid w:val="00862812"/>
    <w:rsid w:val="00863F7F"/>
    <w:rsid w:val="0086467F"/>
    <w:rsid w:val="00864C29"/>
    <w:rsid w:val="0086585B"/>
    <w:rsid w:val="00866531"/>
    <w:rsid w:val="008665B6"/>
    <w:rsid w:val="0086771D"/>
    <w:rsid w:val="008747B2"/>
    <w:rsid w:val="00876476"/>
    <w:rsid w:val="008769DA"/>
    <w:rsid w:val="00884142"/>
    <w:rsid w:val="008A0973"/>
    <w:rsid w:val="008A129B"/>
    <w:rsid w:val="008A5EEE"/>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35122"/>
    <w:rsid w:val="00941393"/>
    <w:rsid w:val="0094556F"/>
    <w:rsid w:val="00945F74"/>
    <w:rsid w:val="00961B96"/>
    <w:rsid w:val="009621FA"/>
    <w:rsid w:val="00964DC3"/>
    <w:rsid w:val="00966578"/>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22028"/>
    <w:rsid w:val="00A24F0D"/>
    <w:rsid w:val="00A30CB9"/>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867A5"/>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068A9"/>
    <w:rsid w:val="00B102A1"/>
    <w:rsid w:val="00B104E7"/>
    <w:rsid w:val="00B14A2C"/>
    <w:rsid w:val="00B17F29"/>
    <w:rsid w:val="00B21ECD"/>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06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5B48"/>
    <w:rsid w:val="00D77B89"/>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0BA9"/>
    <w:rsid w:val="00DD25E6"/>
    <w:rsid w:val="00DD3412"/>
    <w:rsid w:val="00DD406D"/>
    <w:rsid w:val="00DD623A"/>
    <w:rsid w:val="00DD6311"/>
    <w:rsid w:val="00DD6CBD"/>
    <w:rsid w:val="00DD6DE7"/>
    <w:rsid w:val="00DF0441"/>
    <w:rsid w:val="00DF2364"/>
    <w:rsid w:val="00DF2F60"/>
    <w:rsid w:val="00DF5FDD"/>
    <w:rsid w:val="00E016C3"/>
    <w:rsid w:val="00E0348E"/>
    <w:rsid w:val="00E0399B"/>
    <w:rsid w:val="00E1659C"/>
    <w:rsid w:val="00E17B9C"/>
    <w:rsid w:val="00E30619"/>
    <w:rsid w:val="00E30A2D"/>
    <w:rsid w:val="00E313B1"/>
    <w:rsid w:val="00E36DC2"/>
    <w:rsid w:val="00E37C3F"/>
    <w:rsid w:val="00E40E65"/>
    <w:rsid w:val="00E42ADF"/>
    <w:rsid w:val="00E44BB1"/>
    <w:rsid w:val="00E53BE7"/>
    <w:rsid w:val="00E54719"/>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BC"/>
    <w:rsid w:val="00EF7EFA"/>
    <w:rsid w:val="00EF7F63"/>
    <w:rsid w:val="00F06B5D"/>
    <w:rsid w:val="00F11800"/>
    <w:rsid w:val="00F16F16"/>
    <w:rsid w:val="00F20A8C"/>
    <w:rsid w:val="00F25383"/>
    <w:rsid w:val="00F30BCF"/>
    <w:rsid w:val="00F4374F"/>
    <w:rsid w:val="00F473E5"/>
    <w:rsid w:val="00F522E6"/>
    <w:rsid w:val="00F53BFE"/>
    <w:rsid w:val="00F6172C"/>
    <w:rsid w:val="00F6182A"/>
    <w:rsid w:val="00F62999"/>
    <w:rsid w:val="00F66072"/>
    <w:rsid w:val="00F716A1"/>
    <w:rsid w:val="00F72559"/>
    <w:rsid w:val="00F73030"/>
    <w:rsid w:val="00F83D41"/>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table" w:customStyle="1" w:styleId="TableGrid0">
    <w:name w:val="Table Grid_0"/>
    <w:basedOn w:val="Normlntabulka"/>
    <w:uiPriority w:val="39"/>
    <w:rsid w:val="000011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31271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280379570">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1911888694">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spi.cz/products/lawText/1/74907/1/ASPI%253A/89/2012%20Sb.%252319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spi.cz/products/lawText/1/74907/1/ASPI%253A/89/2012%20Sb.%25232107"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spi.cz/products/lawText/1/74907/1/ASPI%253A/89/2012%20Sb.%25232106"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712D64D-9BF9-4688-93A6-E5BA0B88B45C}">
  <ds:schemaRefs>
    <ds:schemaRef ds:uri="http://schemas.openxmlformats.org/officeDocument/2006/bibliography"/>
  </ds:schemaRefs>
</ds:datastoreItem>
</file>

<file path=customXml/itemProps6.xml><?xml version="1.0" encoding="utf-8"?>
<ds:datastoreItem xmlns:ds="http://schemas.openxmlformats.org/officeDocument/2006/customXml" ds:itemID="{690CEAB7-2676-43C2-957D-CB63F3ED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6</TotalTime>
  <Pages>9</Pages>
  <Words>3002</Words>
  <Characters>17311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20273</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Dupkaničová Zdeňka</cp:lastModifiedBy>
  <cp:revision>4</cp:revision>
  <cp:lastPrinted>2025-09-15T12:28:00Z</cp:lastPrinted>
  <dcterms:created xsi:type="dcterms:W3CDTF">2025-09-26T11:07:00Z</dcterms:created>
  <dcterms:modified xsi:type="dcterms:W3CDTF">2025-09-26T11:13:00Z</dcterms:modified>
</cp:coreProperties>
</file>