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FA" w:rsidRDefault="005566C2">
      <w:pPr>
        <w:pStyle w:val="Nadpis10"/>
        <w:keepNext/>
        <w:keepLines/>
        <w:spacing w:after="0"/>
      </w:pPr>
      <w:bookmarkStart w:id="0" w:name="bookmark0"/>
      <w:r>
        <w:rPr>
          <w:rStyle w:val="Nadpis1"/>
          <w:rFonts w:ascii="Arial" w:eastAsia="Arial" w:hAnsi="Arial" w:cs="Arial"/>
          <w:b/>
          <w:bCs/>
        </w:rPr>
        <w:t xml:space="preserve">SMLOUVA O DÍLO </w:t>
      </w:r>
      <w:r>
        <w:rPr>
          <w:rStyle w:val="Nadpis1"/>
          <w:rFonts w:ascii="Arial" w:eastAsia="Arial" w:hAnsi="Arial" w:cs="Arial"/>
          <w:b/>
          <w:bCs/>
          <w:smallCaps/>
          <w:sz w:val="24"/>
          <w:szCs w:val="24"/>
        </w:rPr>
        <w:t>č.</w:t>
      </w:r>
      <w:r>
        <w:rPr>
          <w:rStyle w:val="Nadpis1"/>
          <w:rFonts w:ascii="Arial" w:eastAsia="Arial" w:hAnsi="Arial" w:cs="Arial"/>
          <w:b/>
          <w:bCs/>
        </w:rPr>
        <w:t xml:space="preserve"> E/30/2025</w:t>
      </w:r>
      <w:bookmarkEnd w:id="0"/>
    </w:p>
    <w:p w:rsidR="00A76DFA" w:rsidRDefault="005566C2">
      <w:pPr>
        <w:pStyle w:val="Zkladntext1"/>
        <w:spacing w:after="500"/>
        <w:jc w:val="both"/>
      </w:pPr>
      <w:r>
        <w:rPr>
          <w:rStyle w:val="Zkladntext"/>
        </w:rPr>
        <w:t>uzavřená dle ustanovení § 2586 a násl. Zákona č. 89/2012 Sb. (občanského zákoníku) smluvními stranami:</w:t>
      </w:r>
    </w:p>
    <w:p w:rsidR="00A76DFA" w:rsidRDefault="005566C2">
      <w:pPr>
        <w:pStyle w:val="Nadpis10"/>
        <w:keepNext/>
        <w:keepLines/>
        <w:spacing w:after="0"/>
      </w:pPr>
      <w:bookmarkStart w:id="1" w:name="bookmark2"/>
      <w:r>
        <w:rPr>
          <w:rStyle w:val="Nadpis1"/>
          <w:b/>
          <w:bCs/>
        </w:rPr>
        <w:t>Článek I.</w:t>
      </w:r>
      <w:bookmarkEnd w:id="1"/>
    </w:p>
    <w:p w:rsidR="00A76DFA" w:rsidRDefault="005566C2">
      <w:pPr>
        <w:pStyle w:val="Nadpis10"/>
        <w:keepNext/>
        <w:keepLines/>
      </w:pPr>
      <w:r>
        <w:rPr>
          <w:rStyle w:val="Nadpis1"/>
          <w:b/>
          <w:bCs/>
        </w:rPr>
        <w:t>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6461"/>
      </w:tblGrid>
      <w:tr w:rsidR="00A76DF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A76DFA" w:rsidRDefault="005566C2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Zhotovitel:</w:t>
            </w:r>
          </w:p>
        </w:tc>
        <w:tc>
          <w:tcPr>
            <w:tcW w:w="6461" w:type="dxa"/>
            <w:shd w:val="clear" w:color="auto" w:fill="auto"/>
            <w:vAlign w:val="bottom"/>
          </w:tcPr>
          <w:p w:rsidR="00A76DFA" w:rsidRDefault="005566C2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Správa a údržba silnic Kroměřížska, s.r.o.</w:t>
            </w: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669" w:type="dxa"/>
            <w:shd w:val="clear" w:color="auto" w:fill="auto"/>
          </w:tcPr>
          <w:p w:rsidR="00A76DFA" w:rsidRDefault="005566C2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se sídlem:</w:t>
            </w:r>
          </w:p>
        </w:tc>
        <w:tc>
          <w:tcPr>
            <w:tcW w:w="6461" w:type="dxa"/>
            <w:shd w:val="clear" w:color="auto" w:fill="auto"/>
          </w:tcPr>
          <w:p w:rsidR="00A76DFA" w:rsidRDefault="005566C2">
            <w:pPr>
              <w:pStyle w:val="Jin0"/>
              <w:ind w:firstLine="180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Kotojedy 56, 767 01 Kroměříž</w:t>
            </w:r>
          </w:p>
        </w:tc>
      </w:tr>
    </w:tbl>
    <w:p w:rsidR="00A76DFA" w:rsidRDefault="005566C2">
      <w:pPr>
        <w:pStyle w:val="Titulektabulky0"/>
        <w:spacing w:line="240" w:lineRule="auto"/>
      </w:pPr>
      <w:r>
        <w:rPr>
          <w:rStyle w:val="Titulektabulky"/>
        </w:rPr>
        <w:t>zastoupená: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6326"/>
      </w:tblGrid>
      <w:tr w:rsidR="00A76D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03" w:type="dxa"/>
            <w:shd w:val="clear" w:color="auto" w:fill="auto"/>
            <w:vAlign w:val="bottom"/>
          </w:tcPr>
          <w:p w:rsidR="00A76DFA" w:rsidRDefault="005566C2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ve věcech smluvních:</w:t>
            </w:r>
          </w:p>
        </w:tc>
        <w:tc>
          <w:tcPr>
            <w:tcW w:w="6326" w:type="dxa"/>
            <w:shd w:val="clear" w:color="auto" w:fill="auto"/>
            <w:vAlign w:val="bottom"/>
          </w:tcPr>
          <w:p w:rsidR="00A76DFA" w:rsidRDefault="005566C2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Ing. Vladimírem Kutým, jednatelem společnosti</w:t>
            </w: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803" w:type="dxa"/>
            <w:shd w:val="clear" w:color="auto" w:fill="auto"/>
          </w:tcPr>
          <w:p w:rsidR="00A76DFA" w:rsidRDefault="005566C2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ve věcech technických:</w:t>
            </w:r>
          </w:p>
        </w:tc>
        <w:tc>
          <w:tcPr>
            <w:tcW w:w="6326" w:type="dxa"/>
            <w:shd w:val="clear" w:color="auto" w:fill="auto"/>
            <w:vAlign w:val="bottom"/>
          </w:tcPr>
          <w:p w:rsidR="00A76DFA" w:rsidRDefault="005566C2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Petrem Šimkem, vedoucím stavebního střediska Ladislavem Váňou, výrobním náměstkem</w:t>
            </w: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03" w:type="dxa"/>
            <w:shd w:val="clear" w:color="auto" w:fill="auto"/>
            <w:vAlign w:val="bottom"/>
          </w:tcPr>
          <w:p w:rsidR="00A76DFA" w:rsidRDefault="005566C2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IČ:</w:t>
            </w:r>
          </w:p>
          <w:p w:rsidR="00A76DFA" w:rsidRDefault="005566C2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DIČ:</w:t>
            </w:r>
          </w:p>
        </w:tc>
        <w:tc>
          <w:tcPr>
            <w:tcW w:w="6326" w:type="dxa"/>
            <w:shd w:val="clear" w:color="auto" w:fill="auto"/>
            <w:vAlign w:val="bottom"/>
          </w:tcPr>
          <w:p w:rsidR="00A76DFA" w:rsidRDefault="005566C2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26908298</w:t>
            </w:r>
          </w:p>
          <w:p w:rsidR="00A76DFA" w:rsidRDefault="005566C2">
            <w:pPr>
              <w:pStyle w:val="Jin0"/>
              <w:spacing w:line="233" w:lineRule="auto"/>
              <w:rPr>
                <w:sz w:val="22"/>
                <w:szCs w:val="22"/>
              </w:rPr>
            </w:pPr>
            <w:r>
              <w:rPr>
                <w:rStyle w:val="Jin"/>
                <w:rFonts w:ascii="Century Gothic" w:eastAsia="Century Gothic" w:hAnsi="Century Gothic" w:cs="Century Gothic"/>
                <w:sz w:val="22"/>
                <w:szCs w:val="22"/>
              </w:rPr>
              <w:t>CZ26908298</w:t>
            </w:r>
          </w:p>
        </w:tc>
      </w:tr>
    </w:tbl>
    <w:p w:rsidR="00A76DFA" w:rsidRDefault="005566C2">
      <w:pPr>
        <w:pStyle w:val="Titulektabulky0"/>
        <w:tabs>
          <w:tab w:val="left" w:pos="2846"/>
        </w:tabs>
        <w:ind w:left="5"/>
      </w:pPr>
      <w:r>
        <w:rPr>
          <w:rStyle w:val="Titulektabulky"/>
        </w:rPr>
        <w:t>bankovní spojení:</w:t>
      </w:r>
      <w:r>
        <w:rPr>
          <w:rStyle w:val="Titulektabulky"/>
        </w:rPr>
        <w:tab/>
      </w:r>
    </w:p>
    <w:p w:rsidR="00A76DFA" w:rsidRDefault="005566C2">
      <w:pPr>
        <w:pStyle w:val="Titulektabulky0"/>
        <w:ind w:left="5"/>
      </w:pPr>
      <w:r>
        <w:rPr>
          <w:rStyle w:val="Titulektabulky"/>
        </w:rPr>
        <w:t>Zapsaná v obchodním rejstříku vedeném Krajským soudem v Brně, oddíl C, vložka č. 44644.</w:t>
      </w:r>
    </w:p>
    <w:p w:rsidR="00A76DFA" w:rsidRDefault="00A76DFA">
      <w:pPr>
        <w:spacing w:after="499" w:line="1" w:lineRule="exact"/>
      </w:pPr>
    </w:p>
    <w:p w:rsidR="00A76DFA" w:rsidRDefault="005566C2">
      <w:pPr>
        <w:pStyle w:val="Nadpis10"/>
        <w:keepNext/>
        <w:keepLines/>
        <w:tabs>
          <w:tab w:val="left" w:pos="2801"/>
        </w:tabs>
        <w:spacing w:after="0"/>
        <w:jc w:val="left"/>
      </w:pPr>
      <w:bookmarkStart w:id="2" w:name="bookmark5"/>
      <w:r>
        <w:rPr>
          <w:rStyle w:val="Nadpis1"/>
          <w:b/>
          <w:bCs/>
        </w:rPr>
        <w:t>Objednatel:</w:t>
      </w:r>
      <w:r>
        <w:rPr>
          <w:rStyle w:val="Nadpis1"/>
          <w:b/>
          <w:bCs/>
        </w:rPr>
        <w:tab/>
        <w:t>Kroměřížské technické služby, s.r.o.</w:t>
      </w:r>
      <w:bookmarkEnd w:id="2"/>
    </w:p>
    <w:p w:rsidR="00A76DFA" w:rsidRDefault="005566C2">
      <w:pPr>
        <w:pStyle w:val="Zkladntext1"/>
        <w:tabs>
          <w:tab w:val="left" w:pos="2801"/>
        </w:tabs>
      </w:pPr>
      <w:r>
        <w:rPr>
          <w:rStyle w:val="Zkladntext"/>
        </w:rPr>
        <w:t>se sídlem:</w:t>
      </w:r>
      <w:r>
        <w:rPr>
          <w:rStyle w:val="Zkladntext"/>
        </w:rPr>
        <w:tab/>
        <w:t xml:space="preserve">Kaplanova </w:t>
      </w:r>
      <w:r>
        <w:rPr>
          <w:rStyle w:val="Zkladntext"/>
          <w:i/>
          <w:iCs/>
        </w:rPr>
        <w:t>2959/6, 767</w:t>
      </w:r>
      <w:r>
        <w:rPr>
          <w:rStyle w:val="Zkladntext"/>
        </w:rPr>
        <w:t xml:space="preserve"> 01 Kroměříž</w:t>
      </w:r>
    </w:p>
    <w:p w:rsidR="00A76DFA" w:rsidRDefault="005566C2">
      <w:pPr>
        <w:pStyle w:val="Zkladntext1"/>
      </w:pPr>
      <w:r>
        <w:rPr>
          <w:rStyle w:val="Zkladntext"/>
        </w:rPr>
        <w:t>zastoupená:</w:t>
      </w:r>
    </w:p>
    <w:p w:rsidR="00A76DFA" w:rsidRDefault="005566C2">
      <w:pPr>
        <w:pStyle w:val="Zkladntext1"/>
      </w:pPr>
      <w:r>
        <w:rPr>
          <w:rStyle w:val="Zkladntext"/>
        </w:rPr>
        <w:t>ve věcech smluvních:</w:t>
      </w:r>
    </w:p>
    <w:p w:rsidR="00A76DFA" w:rsidRDefault="005566C2">
      <w:pPr>
        <w:pStyle w:val="Zkladntext1"/>
      </w:pPr>
      <w:r>
        <w:rPr>
          <w:rStyle w:val="Zkladntext"/>
        </w:rPr>
        <w:t xml:space="preserve">Mgr. Bc. </w:t>
      </w:r>
      <w:r>
        <w:rPr>
          <w:rStyle w:val="Zkladntext"/>
        </w:rPr>
        <w:t>Karlem Holíkem BA, MBA - jednatelem společnosti</w:t>
      </w:r>
    </w:p>
    <w:p w:rsidR="00A76DFA" w:rsidRDefault="005566C2">
      <w:pPr>
        <w:pStyle w:val="Zkladntext1"/>
      </w:pPr>
      <w:r>
        <w:rPr>
          <w:rStyle w:val="Zkladntext"/>
        </w:rPr>
        <w:t>Mgr. Bc. Janem Hebnarem, MBA - jednatelem společnosti</w:t>
      </w:r>
    </w:p>
    <w:p w:rsidR="00A76DFA" w:rsidRDefault="005566C2">
      <w:pPr>
        <w:pStyle w:val="Zkladntext1"/>
        <w:tabs>
          <w:tab w:val="right" w:pos="7814"/>
        </w:tabs>
      </w:pPr>
      <w:r>
        <w:rPr>
          <w:rStyle w:val="Zkladntext"/>
        </w:rPr>
        <w:t>ve věcech technických: Petrem Kolajou,</w:t>
      </w:r>
      <w:r>
        <w:rPr>
          <w:rStyle w:val="Zkladntext"/>
        </w:rPr>
        <w:tab/>
        <w:t>vedoucím střediska komunikací</w:t>
      </w:r>
    </w:p>
    <w:p w:rsidR="00A76DFA" w:rsidRDefault="005566C2">
      <w:pPr>
        <w:pStyle w:val="Zkladntext1"/>
        <w:tabs>
          <w:tab w:val="left" w:pos="2801"/>
        </w:tabs>
      </w:pPr>
      <w:r>
        <w:rPr>
          <w:rStyle w:val="Zkladntext"/>
        </w:rPr>
        <w:t>IČ:</w:t>
      </w:r>
      <w:r>
        <w:rPr>
          <w:rStyle w:val="Zkladntext"/>
        </w:rPr>
        <w:tab/>
        <w:t>26276437</w:t>
      </w:r>
    </w:p>
    <w:p w:rsidR="00A76DFA" w:rsidRDefault="005566C2">
      <w:pPr>
        <w:pStyle w:val="Zkladntext1"/>
        <w:tabs>
          <w:tab w:val="left" w:pos="2801"/>
        </w:tabs>
      </w:pPr>
      <w:r>
        <w:rPr>
          <w:rStyle w:val="Zkladntext"/>
        </w:rPr>
        <w:t>DIČ:</w:t>
      </w:r>
      <w:r>
        <w:rPr>
          <w:rStyle w:val="Zkladntext"/>
        </w:rPr>
        <w:tab/>
        <w:t>CZ26276437</w:t>
      </w:r>
    </w:p>
    <w:p w:rsidR="00A76DFA" w:rsidRDefault="005566C2">
      <w:pPr>
        <w:pStyle w:val="Zkladntext1"/>
        <w:tabs>
          <w:tab w:val="left" w:pos="2801"/>
          <w:tab w:val="right" w:pos="5242"/>
        </w:tabs>
      </w:pPr>
      <w:r>
        <w:rPr>
          <w:rStyle w:val="Zkladntext"/>
        </w:rPr>
        <w:t>bankovní spojení:</w:t>
      </w:r>
      <w:r>
        <w:rPr>
          <w:rStyle w:val="Zkladntext"/>
        </w:rPr>
        <w:tab/>
      </w:r>
    </w:p>
    <w:p w:rsidR="00A76DFA" w:rsidRDefault="005566C2">
      <w:pPr>
        <w:pStyle w:val="Zkladntext1"/>
        <w:spacing w:after="800"/>
        <w:jc w:val="both"/>
      </w:pPr>
      <w:r>
        <w:rPr>
          <w:rStyle w:val="Zkladntext"/>
        </w:rPr>
        <w:t xml:space="preserve">Zapsaná v </w:t>
      </w:r>
      <w:r>
        <w:rPr>
          <w:rStyle w:val="Zkladntext"/>
        </w:rPr>
        <w:t>obchodním rejstříku vedeném Krajským soudem v Brně, oddíl C, vložka č 41059.</w:t>
      </w:r>
    </w:p>
    <w:p w:rsidR="00A76DFA" w:rsidRDefault="005566C2">
      <w:pPr>
        <w:pStyle w:val="Nadpis10"/>
        <w:keepNext/>
        <w:keepLines/>
        <w:spacing w:after="0"/>
      </w:pPr>
      <w:bookmarkStart w:id="3" w:name="bookmark7"/>
      <w:r>
        <w:rPr>
          <w:rStyle w:val="Nadpis1"/>
          <w:b/>
          <w:bCs/>
        </w:rPr>
        <w:t>Článek II.</w:t>
      </w:r>
      <w:bookmarkEnd w:id="3"/>
    </w:p>
    <w:p w:rsidR="00A76DFA" w:rsidRDefault="005566C2">
      <w:pPr>
        <w:pStyle w:val="Nadpis10"/>
        <w:keepNext/>
        <w:keepLines/>
      </w:pPr>
      <w:r>
        <w:rPr>
          <w:rStyle w:val="Nadpis1"/>
          <w:b/>
          <w:bCs/>
        </w:rPr>
        <w:t>Základní ustanovení</w:t>
      </w:r>
    </w:p>
    <w:p w:rsidR="00A76DFA" w:rsidRDefault="005566C2">
      <w:pPr>
        <w:pStyle w:val="Zkladntext1"/>
        <w:numPr>
          <w:ilvl w:val="0"/>
          <w:numId w:val="1"/>
        </w:numPr>
        <w:tabs>
          <w:tab w:val="left" w:pos="339"/>
        </w:tabs>
        <w:ind w:left="360" w:hanging="360"/>
        <w:jc w:val="both"/>
      </w:pPr>
      <w:r>
        <w:rPr>
          <w:rStyle w:val="Zkladntext"/>
        </w:rPr>
        <w:t>Smluvní strany prohlašují, že údaje uvedené včl. I této smlouvy jsou v souladu s právní skutečností v době uzavření smlouvy. Smluvní strany se zavaz</w:t>
      </w:r>
      <w:r>
        <w:rPr>
          <w:rStyle w:val="Zkladntext"/>
        </w:rPr>
        <w:t>ují, že změny dotčených údajů oznámí bez prodlení písemně druhé smluvní straně. V případě změny účtu zhotovitele je zhotovitel povinen rovněž doložit vlastnictví k novému účtu, a to kopií příslušné smlouvy nebo potvrzením peněžního ústavu. Při změně identi</w:t>
      </w:r>
      <w:r>
        <w:rPr>
          <w:rStyle w:val="Zkladntext"/>
        </w:rPr>
        <w:t>fikačních údajů smluvních stran včetně změny účtu není nutné uzavírat ke smlouvě dodatek.</w:t>
      </w:r>
    </w:p>
    <w:p w:rsidR="00A76DFA" w:rsidRDefault="005566C2">
      <w:pPr>
        <w:pStyle w:val="Zkladntext1"/>
        <w:numPr>
          <w:ilvl w:val="0"/>
          <w:numId w:val="1"/>
        </w:numPr>
        <w:tabs>
          <w:tab w:val="left" w:pos="358"/>
        </w:tabs>
        <w:ind w:left="360" w:hanging="360"/>
        <w:jc w:val="both"/>
      </w:pPr>
      <w:r>
        <w:rPr>
          <w:rStyle w:val="Zkladntext"/>
        </w:rPr>
        <w:t>Smlouvou o dílo se zhotovitel zavazuje na svůj náklad a nebezpečí provést pro objednatele dílo specifikované v či. III této smlouvy.</w:t>
      </w:r>
    </w:p>
    <w:p w:rsidR="00A76DFA" w:rsidRDefault="005566C2">
      <w:pPr>
        <w:pStyle w:val="Zkladntext1"/>
        <w:numPr>
          <w:ilvl w:val="0"/>
          <w:numId w:val="1"/>
        </w:numPr>
        <w:tabs>
          <w:tab w:val="left" w:pos="358"/>
        </w:tabs>
      </w:pPr>
      <w:r>
        <w:rPr>
          <w:rStyle w:val="Zkladntext"/>
        </w:rPr>
        <w:t xml:space="preserve">Objednatel se zavazuje dílo </w:t>
      </w:r>
      <w:r>
        <w:rPr>
          <w:rStyle w:val="Zkladntext"/>
        </w:rPr>
        <w:t>převzít a zaplatit cenu.</w:t>
      </w:r>
    </w:p>
    <w:p w:rsidR="00A76DFA" w:rsidRDefault="005566C2">
      <w:pPr>
        <w:pStyle w:val="Zkladntext1"/>
        <w:numPr>
          <w:ilvl w:val="0"/>
          <w:numId w:val="1"/>
        </w:numPr>
        <w:tabs>
          <w:tab w:val="left" w:pos="358"/>
        </w:tabs>
        <w:spacing w:after="260"/>
      </w:pPr>
      <w:r>
        <w:rPr>
          <w:rStyle w:val="Zkladntext"/>
        </w:rPr>
        <w:t>Objednatel se zavazuje, že předmět plnění poskytne řádně a včas.</w:t>
      </w:r>
    </w:p>
    <w:p w:rsidR="00A76DFA" w:rsidRDefault="005566C2">
      <w:pPr>
        <w:pStyle w:val="Nadpis10"/>
        <w:keepNext/>
        <w:keepLines/>
        <w:spacing w:after="0"/>
      </w:pPr>
      <w:bookmarkStart w:id="4" w:name="bookmark10"/>
      <w:r>
        <w:rPr>
          <w:rStyle w:val="Nadpis1"/>
          <w:b/>
          <w:bCs/>
        </w:rPr>
        <w:lastRenderedPageBreak/>
        <w:t>Článek III.</w:t>
      </w:r>
      <w:bookmarkEnd w:id="4"/>
    </w:p>
    <w:p w:rsidR="00A76DFA" w:rsidRDefault="005566C2">
      <w:pPr>
        <w:pStyle w:val="Nadpis10"/>
        <w:keepNext/>
        <w:keepLines/>
      </w:pPr>
      <w:r>
        <w:rPr>
          <w:rStyle w:val="Nadpis1"/>
          <w:b/>
          <w:bCs/>
        </w:rPr>
        <w:t>Předmět smlouvy</w:t>
      </w:r>
    </w:p>
    <w:p w:rsidR="00A76DFA" w:rsidRDefault="005566C2">
      <w:pPr>
        <w:pStyle w:val="Zkladntext1"/>
        <w:numPr>
          <w:ilvl w:val="0"/>
          <w:numId w:val="2"/>
        </w:numPr>
        <w:tabs>
          <w:tab w:val="left" w:pos="339"/>
        </w:tabs>
        <w:spacing w:after="260"/>
      </w:pPr>
      <w:r>
        <w:rPr>
          <w:rStyle w:val="Zkladntext"/>
        </w:rPr>
        <w:t>Zhotovitel se touto smlouvou zavazuje provádět:</w:t>
      </w:r>
    </w:p>
    <w:p w:rsidR="00A76DFA" w:rsidRDefault="005566C2">
      <w:pPr>
        <w:pStyle w:val="Zkladntext1"/>
      </w:pPr>
      <w:r>
        <w:rPr>
          <w:rStyle w:val="Zkladntext"/>
        </w:rPr>
        <w:t>• Oprava komunikace na ul. Braunerova - Kroměříž</w:t>
      </w:r>
    </w:p>
    <w:p w:rsidR="00A76DFA" w:rsidRDefault="005566C2">
      <w:pPr>
        <w:pStyle w:val="Zkladntext1"/>
        <w:spacing w:after="260"/>
        <w:ind w:left="2240"/>
        <w:jc w:val="both"/>
      </w:pPr>
      <w:r>
        <w:rPr>
          <w:rStyle w:val="Zkladntext"/>
        </w:rPr>
        <w:t>■ II. etapa - úsek mezi ulice Nová - Karl</w:t>
      </w:r>
      <w:r>
        <w:rPr>
          <w:rStyle w:val="Zkladntext"/>
        </w:rPr>
        <w:t>a Rajnocha</w:t>
      </w:r>
    </w:p>
    <w:p w:rsidR="00A76DFA" w:rsidRDefault="005566C2">
      <w:pPr>
        <w:pStyle w:val="Zkladntext1"/>
        <w:spacing w:after="540" w:line="230" w:lineRule="auto"/>
        <w:jc w:val="both"/>
      </w:pPr>
      <w:r>
        <w:rPr>
          <w:rStyle w:val="Zkladntext"/>
        </w:rPr>
        <w:t>Práce bude provedena dle položkového rozpočtu, který je přílohou č. 1 této smlouvy.</w:t>
      </w:r>
    </w:p>
    <w:p w:rsidR="00A76DFA" w:rsidRDefault="005566C2">
      <w:pPr>
        <w:pStyle w:val="Zkladntext1"/>
        <w:numPr>
          <w:ilvl w:val="0"/>
          <w:numId w:val="2"/>
        </w:numPr>
        <w:tabs>
          <w:tab w:val="left" w:pos="358"/>
        </w:tabs>
        <w:spacing w:after="260"/>
      </w:pPr>
      <w:r>
        <w:rPr>
          <w:rStyle w:val="Zkladntext"/>
        </w:rPr>
        <w:t>Místo provedení:</w:t>
      </w:r>
    </w:p>
    <w:p w:rsidR="00A76DFA" w:rsidRDefault="005566C2">
      <w:pPr>
        <w:pStyle w:val="Nadpis10"/>
        <w:keepNext/>
        <w:keepLines/>
        <w:jc w:val="left"/>
      </w:pPr>
      <w:bookmarkStart w:id="5" w:name="bookmark13"/>
      <w:r>
        <w:rPr>
          <w:rStyle w:val="Nadpis1"/>
          <w:b/>
          <w:bCs/>
        </w:rPr>
        <w:t>• ulice Braunerova, Kroměříž</w:t>
      </w:r>
      <w:bookmarkEnd w:id="5"/>
    </w:p>
    <w:p w:rsidR="00A76DFA" w:rsidRDefault="005566C2">
      <w:pPr>
        <w:pStyle w:val="Zkladntext1"/>
        <w:spacing w:after="540"/>
        <w:ind w:left="760"/>
        <w:jc w:val="both"/>
      </w:pPr>
      <w:r>
        <w:rPr>
          <w:rStyle w:val="Zkladntext"/>
        </w:rPr>
        <w:t>Objednatel prohlašuje, že je vlastníkem místa realizace nebo že mu svědčí taková práva, která ho plně opravňují k p</w:t>
      </w:r>
      <w:r>
        <w:rPr>
          <w:rStyle w:val="Zkladntext"/>
        </w:rPr>
        <w:t>oskytnutí místa realizace a k podpisu této smlouvy.</w:t>
      </w:r>
    </w:p>
    <w:p w:rsidR="00A76DFA" w:rsidRDefault="005566C2">
      <w:pPr>
        <w:pStyle w:val="Zkladntext1"/>
        <w:numPr>
          <w:ilvl w:val="0"/>
          <w:numId w:val="2"/>
        </w:numPr>
        <w:tabs>
          <w:tab w:val="left" w:pos="363"/>
        </w:tabs>
        <w:spacing w:after="260"/>
        <w:jc w:val="both"/>
      </w:pPr>
      <w:r>
        <w:rPr>
          <w:rStyle w:val="Zkladntext"/>
        </w:rPr>
        <w:t>Termín provedení díla:</w:t>
      </w:r>
    </w:p>
    <w:p w:rsidR="00A76DFA" w:rsidRDefault="005566C2">
      <w:pPr>
        <w:pStyle w:val="Nadpis10"/>
        <w:keepNext/>
        <w:keepLines/>
        <w:spacing w:after="0"/>
      </w:pPr>
      <w:bookmarkStart w:id="6" w:name="bookmark15"/>
      <w:r>
        <w:rPr>
          <w:rStyle w:val="Nadpis1"/>
          <w:b/>
          <w:bCs/>
        </w:rPr>
        <w:t>Článek IV.</w:t>
      </w:r>
      <w:bookmarkEnd w:id="6"/>
    </w:p>
    <w:p w:rsidR="00A76DFA" w:rsidRDefault="005566C2">
      <w:pPr>
        <w:pStyle w:val="Nadpis10"/>
        <w:keepNext/>
        <w:keepLines/>
      </w:pPr>
      <w:r>
        <w:rPr>
          <w:rStyle w:val="Nadpis1"/>
          <w:b/>
          <w:bCs/>
        </w:rPr>
        <w:t>Cena</w:t>
      </w:r>
    </w:p>
    <w:p w:rsidR="00A76DFA" w:rsidRDefault="005566C2">
      <w:pPr>
        <w:pStyle w:val="Zkladntext1"/>
        <w:numPr>
          <w:ilvl w:val="0"/>
          <w:numId w:val="3"/>
        </w:numPr>
        <w:tabs>
          <w:tab w:val="left" w:pos="339"/>
        </w:tabs>
        <w:spacing w:after="260"/>
      </w:pPr>
      <w:r>
        <w:rPr>
          <w:rStyle w:val="Zkladntext"/>
        </w:rPr>
        <w:t>Cena za provedení díla podle čl. III. této smlouvy je stanovena:</w:t>
      </w:r>
    </w:p>
    <w:p w:rsidR="00A76DFA" w:rsidRDefault="005566C2">
      <w:pPr>
        <w:pStyle w:val="Nadpis10"/>
        <w:keepNext/>
        <w:keepLines/>
        <w:tabs>
          <w:tab w:val="left" w:pos="3754"/>
        </w:tabs>
        <w:jc w:val="left"/>
      </w:pPr>
      <w:bookmarkStart w:id="7" w:name="bookmark18"/>
      <w:r>
        <w:rPr>
          <w:rStyle w:val="Nadpis1"/>
          <w:b/>
          <w:bCs/>
        </w:rPr>
        <w:t>Cena celková bez DPH:</w:t>
      </w:r>
      <w:r>
        <w:rPr>
          <w:rStyle w:val="Nadpis1"/>
          <w:b/>
          <w:bCs/>
        </w:rPr>
        <w:tab/>
        <w:t>3.457.606,73 Kč</w:t>
      </w:r>
      <w:bookmarkEnd w:id="7"/>
    </w:p>
    <w:p w:rsidR="00A76DFA" w:rsidRDefault="005566C2">
      <w:pPr>
        <w:pStyle w:val="Zkladntext1"/>
        <w:spacing w:after="260"/>
        <w:jc w:val="both"/>
      </w:pPr>
      <w:r>
        <w:rPr>
          <w:rStyle w:val="Zkladntext"/>
        </w:rPr>
        <w:t xml:space="preserve">(slovy: </w:t>
      </w:r>
      <w:r>
        <w:rPr>
          <w:rStyle w:val="Zkladntext"/>
        </w:rPr>
        <w:t>třimilionyčtyřistapadesátsedmtisícšestsetšest, 73 Kč)</w:t>
      </w:r>
    </w:p>
    <w:p w:rsidR="00A76DFA" w:rsidRDefault="005566C2">
      <w:pPr>
        <w:pStyle w:val="Zkladntext1"/>
        <w:numPr>
          <w:ilvl w:val="0"/>
          <w:numId w:val="3"/>
        </w:numPr>
        <w:tabs>
          <w:tab w:val="left" w:pos="358"/>
        </w:tabs>
        <w:ind w:left="380" w:hanging="380"/>
        <w:jc w:val="both"/>
      </w:pPr>
      <w:r>
        <w:rPr>
          <w:rStyle w:val="Zkladntext"/>
        </w:rPr>
        <w:t>Součástí sjednané ceny jsou veškeré práce a dodávky, poplatky, náklady zhotovitele nutné pro vybudování, provoz a demontáž zařízení staveniště a jiné náklady nezbytné pro řádné a úplné provedení díla.</w:t>
      </w:r>
    </w:p>
    <w:p w:rsidR="00A76DFA" w:rsidRDefault="005566C2">
      <w:pPr>
        <w:pStyle w:val="Zkladntext1"/>
        <w:numPr>
          <w:ilvl w:val="0"/>
          <w:numId w:val="3"/>
        </w:numPr>
        <w:tabs>
          <w:tab w:val="left" w:pos="363"/>
        </w:tabs>
        <w:ind w:left="380" w:hanging="380"/>
        <w:jc w:val="both"/>
      </w:pPr>
      <w:r>
        <w:rPr>
          <w:rStyle w:val="Zkladntext"/>
        </w:rPr>
        <w:t>C</w:t>
      </w:r>
      <w:r>
        <w:rPr>
          <w:rStyle w:val="Zkladntext"/>
        </w:rPr>
        <w:t>ena za dílo uvedená v odst. 1 tohoto článku je cenou nejvýše přípustnou a může být změněna pouze z objektivních a nepředvídatelných důvodů, a to za níže uvedených podmínek:</w:t>
      </w:r>
    </w:p>
    <w:p w:rsidR="00A76DFA" w:rsidRDefault="005566C2">
      <w:pPr>
        <w:pStyle w:val="Zkladntext1"/>
        <w:numPr>
          <w:ilvl w:val="0"/>
          <w:numId w:val="4"/>
        </w:numPr>
        <w:tabs>
          <w:tab w:val="left" w:pos="1487"/>
        </w:tabs>
        <w:ind w:left="1440" w:hanging="340"/>
        <w:jc w:val="both"/>
      </w:pPr>
      <w:r>
        <w:rPr>
          <w:rStyle w:val="Zkladntext"/>
        </w:rPr>
        <w:t>pokud se při provádění předmětu plnění díla vyskytnou skutečnosti, které nebyly v d</w:t>
      </w:r>
      <w:r>
        <w:rPr>
          <w:rStyle w:val="Zkladntext"/>
        </w:rPr>
        <w:t>obě sjednání smlouvy známé, a zhotovitel je nezavinil ani nemohl předvídat a tyto skutečnosti mají prokazatelný vliv na sjednanou cenu,</w:t>
      </w:r>
    </w:p>
    <w:p w:rsidR="00A76DFA" w:rsidRDefault="005566C2">
      <w:pPr>
        <w:pStyle w:val="Zkladntext1"/>
        <w:numPr>
          <w:ilvl w:val="0"/>
          <w:numId w:val="4"/>
        </w:numPr>
        <w:tabs>
          <w:tab w:val="left" w:pos="1482"/>
        </w:tabs>
        <w:ind w:left="1440" w:hanging="340"/>
        <w:jc w:val="both"/>
      </w:pPr>
      <w:r>
        <w:rPr>
          <w:rStyle w:val="Zkladntext"/>
        </w:rPr>
        <w:t>nebude-li některá část díla v důsledku sjednaných méněprací provedena, bude cena za dílo snížena, a to odečtením veškerý</w:t>
      </w:r>
      <w:r>
        <w:rPr>
          <w:rStyle w:val="Zkladntext"/>
        </w:rPr>
        <w:t>ch nákladů na provedení těch částí díla, které v rámci méněprací nebudou provedeny.</w:t>
      </w:r>
    </w:p>
    <w:p w:rsidR="00A76DFA" w:rsidRDefault="005566C2">
      <w:pPr>
        <w:pStyle w:val="Zkladntext1"/>
        <w:numPr>
          <w:ilvl w:val="0"/>
          <w:numId w:val="4"/>
        </w:numPr>
        <w:tabs>
          <w:tab w:val="left" w:pos="1461"/>
        </w:tabs>
        <w:ind w:left="1480" w:hanging="360"/>
        <w:jc w:val="both"/>
      </w:pPr>
      <w:r>
        <w:rPr>
          <w:rStyle w:val="Zkladntext"/>
        </w:rPr>
        <w:t>přičtením veškerých nákladů na provedení těch částí díla, které objednatel nařídil formou víceprací provádět nad rámec množství nebo kvality uvedené v projektové dokumentac</w:t>
      </w:r>
      <w:r>
        <w:rPr>
          <w:rStyle w:val="Zkladntext"/>
        </w:rPr>
        <w:t>i nebo položkovém rozpočtu. Náklady na vícepráce budou účtovány podle odpovídajících jednotkových cen položek a nákladů dle položkového rozpočtu a množství odsouhlaseného objednatelem.</w:t>
      </w:r>
    </w:p>
    <w:p w:rsidR="00A76DFA" w:rsidRDefault="005566C2">
      <w:pPr>
        <w:pStyle w:val="Zkladntext1"/>
        <w:numPr>
          <w:ilvl w:val="0"/>
          <w:numId w:val="3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>Rozsah případných méněprací nebo víceprací musí být zapsán ve stavebním</w:t>
      </w:r>
      <w:r>
        <w:rPr>
          <w:rStyle w:val="Zkladntext"/>
        </w:rPr>
        <w:t xml:space="preserve"> </w:t>
      </w:r>
      <w:r>
        <w:rPr>
          <w:rStyle w:val="Zkladntext"/>
        </w:rPr>
        <w:lastRenderedPageBreak/>
        <w:t>deníku a cena za jejich realizaci bude zpracována formou položkového rozpočtu. Vše bude odsouhlaseno a podepsáno osobami oprávněnými jednat ve věcech technických jako podklad pro vznik dodatku k této smlouvě.</w:t>
      </w:r>
    </w:p>
    <w:p w:rsidR="00A76DFA" w:rsidRDefault="005566C2">
      <w:pPr>
        <w:pStyle w:val="Zkladntext1"/>
        <w:numPr>
          <w:ilvl w:val="0"/>
          <w:numId w:val="3"/>
        </w:numPr>
        <w:tabs>
          <w:tab w:val="left" w:pos="343"/>
        </w:tabs>
        <w:spacing w:after="520"/>
        <w:ind w:left="360" w:hanging="360"/>
        <w:jc w:val="both"/>
      </w:pPr>
      <w:r>
        <w:rPr>
          <w:rStyle w:val="Zkladntext"/>
        </w:rPr>
        <w:t xml:space="preserve">Smluvní strany se dohodly, že v případě změny </w:t>
      </w:r>
      <w:r>
        <w:rPr>
          <w:rStyle w:val="Zkladntext"/>
        </w:rPr>
        <w:t>zákonné výše daně z přidané hodnoty nebudou uzavírat dodatek ke smlouvě.</w:t>
      </w:r>
    </w:p>
    <w:p w:rsidR="00A76DFA" w:rsidRDefault="005566C2">
      <w:pPr>
        <w:pStyle w:val="Nadpis10"/>
        <w:keepNext/>
        <w:keepLines/>
        <w:spacing w:after="0"/>
      </w:pPr>
      <w:bookmarkStart w:id="8" w:name="bookmark20"/>
      <w:r>
        <w:rPr>
          <w:rStyle w:val="Nadpis1"/>
          <w:b/>
          <w:bCs/>
        </w:rPr>
        <w:t>Článek V.</w:t>
      </w:r>
      <w:bookmarkEnd w:id="8"/>
    </w:p>
    <w:p w:rsidR="00A76DFA" w:rsidRDefault="005566C2">
      <w:pPr>
        <w:pStyle w:val="Nadpis10"/>
        <w:keepNext/>
        <w:keepLines/>
      </w:pPr>
      <w:r>
        <w:rPr>
          <w:rStyle w:val="Nadpis1"/>
          <w:b/>
          <w:bCs/>
        </w:rPr>
        <w:t>Fakturace a platební podmínky</w:t>
      </w:r>
    </w:p>
    <w:p w:rsidR="00A76DFA" w:rsidRDefault="005566C2">
      <w:pPr>
        <w:pStyle w:val="Zkladntext1"/>
        <w:numPr>
          <w:ilvl w:val="0"/>
          <w:numId w:val="5"/>
        </w:numPr>
        <w:tabs>
          <w:tab w:val="left" w:pos="343"/>
        </w:tabs>
        <w:ind w:left="360" w:hanging="360"/>
      </w:pPr>
      <w:r>
        <w:rPr>
          <w:rStyle w:val="Zkladntext"/>
        </w:rPr>
        <w:t>Úhrada bude provedena na základě zhotovitelem vystavené faktury. Fakturovány budou skutečně provedené výměry a spotřebovaný materiál. Práce bud</w:t>
      </w:r>
      <w:r>
        <w:rPr>
          <w:rStyle w:val="Zkladntext"/>
        </w:rPr>
        <w:t>ou specifikovány v soupisu provedených prací jako nedílná součást faktury. Tento soupis prací bude odsouhlasen osobou pověřenou objednatelem jednat ve věcech technických.</w:t>
      </w:r>
    </w:p>
    <w:p w:rsidR="00A76DFA" w:rsidRDefault="005566C2">
      <w:pPr>
        <w:pStyle w:val="Zkladntext1"/>
        <w:ind w:left="360" w:firstLine="20"/>
        <w:jc w:val="both"/>
      </w:pPr>
      <w:r>
        <w:rPr>
          <w:rStyle w:val="Zkladntext"/>
        </w:rPr>
        <w:t xml:space="preserve">Fakturu zašle zhotovitel do 15 dnů po vzniku práva fakturovat na adresu: </w:t>
      </w:r>
      <w:r>
        <w:rPr>
          <w:rStyle w:val="Zkladntext"/>
          <w:b/>
          <w:bCs/>
        </w:rPr>
        <w:t xml:space="preserve">Kroměřížské </w:t>
      </w:r>
      <w:r>
        <w:rPr>
          <w:rStyle w:val="Zkladntext"/>
          <w:b/>
          <w:bCs/>
        </w:rPr>
        <w:t>technické služby, s.r.o., Kaplanova 2959/6, 767 01 Kroměříž</w:t>
      </w:r>
    </w:p>
    <w:p w:rsidR="00A76DFA" w:rsidRDefault="005566C2">
      <w:pPr>
        <w:pStyle w:val="Zkladntext1"/>
        <w:numPr>
          <w:ilvl w:val="0"/>
          <w:numId w:val="5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>Objednatel uhradí fakturu do 30 dní ode dne jejího doručení. Faktura musí splňovat náležitosti daňového dokladu dle § 29 Zákona o DPH č. 235/2004 Sb.</w:t>
      </w:r>
    </w:p>
    <w:p w:rsidR="00A76DFA" w:rsidRDefault="005566C2">
      <w:pPr>
        <w:pStyle w:val="Zkladntext1"/>
        <w:numPr>
          <w:ilvl w:val="0"/>
          <w:numId w:val="5"/>
        </w:numPr>
        <w:tabs>
          <w:tab w:val="left" w:pos="343"/>
        </w:tabs>
        <w:jc w:val="both"/>
      </w:pPr>
      <w:r>
        <w:rPr>
          <w:rStyle w:val="Zkladntext"/>
        </w:rPr>
        <w:t>Bude uplatněn režim přenesené daňové povinnost</w:t>
      </w:r>
      <w:r>
        <w:rPr>
          <w:rStyle w:val="Zkladntext"/>
        </w:rPr>
        <w:t>i.</w:t>
      </w:r>
    </w:p>
    <w:p w:rsidR="00A76DFA" w:rsidRDefault="005566C2">
      <w:pPr>
        <w:pStyle w:val="Zkladntext1"/>
        <w:numPr>
          <w:ilvl w:val="0"/>
          <w:numId w:val="5"/>
        </w:numPr>
        <w:tabs>
          <w:tab w:val="left" w:pos="343"/>
        </w:tabs>
        <w:spacing w:after="520"/>
        <w:ind w:left="360" w:hanging="360"/>
        <w:jc w:val="both"/>
      </w:pPr>
      <w:r>
        <w:rPr>
          <w:rStyle w:val="Zkladntext"/>
        </w:rPr>
        <w:t>Smluvní strany sjednaly, že předmět díla zůstává vlastnictvím zhotovitele až do převzetí díla.</w:t>
      </w:r>
    </w:p>
    <w:p w:rsidR="00A76DFA" w:rsidRDefault="005566C2">
      <w:pPr>
        <w:pStyle w:val="Nadpis10"/>
        <w:keepNext/>
        <w:keepLines/>
      </w:pPr>
      <w:bookmarkStart w:id="9" w:name="bookmark23"/>
      <w:r>
        <w:rPr>
          <w:rStyle w:val="Nadpis1"/>
          <w:b/>
          <w:bCs/>
        </w:rPr>
        <w:t>Článek VI.</w:t>
      </w:r>
      <w:r>
        <w:rPr>
          <w:rStyle w:val="Nadpis1"/>
          <w:b/>
          <w:bCs/>
        </w:rPr>
        <w:br/>
        <w:t>Záruka</w:t>
      </w:r>
      <w:bookmarkEnd w:id="9"/>
    </w:p>
    <w:p w:rsidR="00A76DFA" w:rsidRDefault="005566C2">
      <w:pPr>
        <w:pStyle w:val="Zkladntext1"/>
        <w:numPr>
          <w:ilvl w:val="0"/>
          <w:numId w:val="6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 xml:space="preserve">Záruka za jakost byla sjednána dohodou stran a činí </w:t>
      </w:r>
      <w:r>
        <w:rPr>
          <w:rStyle w:val="Zkladntext"/>
          <w:b/>
          <w:bCs/>
        </w:rPr>
        <w:t xml:space="preserve">60 měsíců na celé dílo </w:t>
      </w:r>
      <w:r>
        <w:rPr>
          <w:rStyle w:val="Zkladntext"/>
        </w:rPr>
        <w:t>ode dne předání a převzetí díla. U dodávek a zařízení, kde je zár</w:t>
      </w:r>
      <w:r>
        <w:rPr>
          <w:rStyle w:val="Zkladntext"/>
        </w:rPr>
        <w:t>uka výrobcem poskytována kratší, platí záruka dle jejich záručních listů. Tyto dodávky a zařízení, jakož i díly, které jsou vyloučeny ze záruky, budou uvedeny v zápise o předání a převzetí díla. Vady zjevné je objednatel povinen označit ihned při předání a</w:t>
      </w:r>
      <w:r>
        <w:rPr>
          <w:rStyle w:val="Zkladntext"/>
        </w:rPr>
        <w:t xml:space="preserve"> převzetí a uplatnit nárok z vad. Nebudou-li nároky ze zjevných vad uplatněny při předání a převzetí díla, zanikají.</w:t>
      </w:r>
    </w:p>
    <w:p w:rsidR="00A76DFA" w:rsidRDefault="005566C2">
      <w:pPr>
        <w:pStyle w:val="Zkladntext1"/>
        <w:numPr>
          <w:ilvl w:val="0"/>
          <w:numId w:val="6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>Záruka za jakost nezahrnuje odpovědnost za vady mající původ ve zhotovitelem nezaviněných skutečnostech tj. např. ve vnějších událostech, v</w:t>
      </w:r>
      <w:r>
        <w:rPr>
          <w:rStyle w:val="Zkladntext"/>
        </w:rPr>
        <w:t xml:space="preserve"> nedostatečné údržbě, v poruše stávajících (zhotovitelem v rámci díla neprovedených) ložních nebo podložních vrstev nebo tělesa komunikace, v nadměrném dopravním zatížení apod.</w:t>
      </w:r>
    </w:p>
    <w:p w:rsidR="00A76DFA" w:rsidRDefault="005566C2">
      <w:pPr>
        <w:pStyle w:val="Zkladntext1"/>
        <w:numPr>
          <w:ilvl w:val="0"/>
          <w:numId w:val="6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>Zhotovitel neodpovídá za vady způsobené použitím nevhodných podkladů poskytnutý</w:t>
      </w:r>
      <w:r>
        <w:rPr>
          <w:rStyle w:val="Zkladntext"/>
        </w:rPr>
        <w:t>ch objednatelem, jejichž nevhodnost nemohl ani při vynaložení odborné péče zjistit, nebo tím, že objednatel na jejich použití přes upozornění zhotovitele trval.</w:t>
      </w:r>
    </w:p>
    <w:p w:rsidR="00A76DFA" w:rsidRDefault="005566C2">
      <w:pPr>
        <w:pStyle w:val="Zkladntext1"/>
        <w:numPr>
          <w:ilvl w:val="0"/>
          <w:numId w:val="6"/>
        </w:numPr>
        <w:tabs>
          <w:tab w:val="left" w:pos="335"/>
        </w:tabs>
        <w:ind w:left="360" w:hanging="360"/>
        <w:jc w:val="both"/>
      </w:pPr>
      <w:r>
        <w:rPr>
          <w:rStyle w:val="Zkladntext"/>
        </w:rPr>
        <w:t xml:space="preserve">Objednatel reklamuje vady zjištěné v rámci záruční doby bez zbytečného odkladu po jejich zjištění. Reklamaci provádí zásadně písemným způsobem, za který se považuje i reklamace emailem na adresu </w:t>
      </w:r>
      <w:hyperlink r:id="rId7" w:history="1">
        <w:r>
          <w:rPr>
            <w:rStyle w:val="Zkladntext"/>
            <w:u w:val="single"/>
            <w:lang w:val="en-US" w:eastAsia="en-US" w:bidi="en-US"/>
          </w:rPr>
          <w:t>suskm@suskm.cz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a spojení </w:t>
      </w:r>
      <w:r>
        <w:rPr>
          <w:rStyle w:val="Zkladntext"/>
        </w:rPr>
        <w:t>dle této smlouvy.</w:t>
      </w:r>
    </w:p>
    <w:p w:rsidR="00A76DFA" w:rsidRDefault="005566C2">
      <w:pPr>
        <w:pStyle w:val="Zkladntext1"/>
        <w:numPr>
          <w:ilvl w:val="0"/>
          <w:numId w:val="6"/>
        </w:numPr>
        <w:tabs>
          <w:tab w:val="left" w:pos="335"/>
        </w:tabs>
        <w:ind w:left="360" w:hanging="360"/>
        <w:jc w:val="both"/>
      </w:pPr>
      <w:r>
        <w:rPr>
          <w:rStyle w:val="Zkladntext"/>
        </w:rPr>
        <w:t>Zhotovitel je povinen nejpozději do 3 dnů po obdržení oznámení vad díla písemně oznámit objednateli, zda vady díla uznává či neuznává. Pokud tak neučiní, má se za to, že reklamované vady uznává. Dojde-li k uznání vad díla, je zhotovitel p</w:t>
      </w:r>
      <w:r>
        <w:rPr>
          <w:rStyle w:val="Zkladntext"/>
        </w:rPr>
        <w:t xml:space="preserve">ovinen písemně sdělit, v jaké lhůtě či termínu nastoupí k odstranění vady (vad). Tato lhůta nesmí být delší než 5 dnů ode dne obdržení reklamace vad díla. Zhotovitel je </w:t>
      </w:r>
      <w:r>
        <w:rPr>
          <w:rStyle w:val="Zkladntext"/>
        </w:rPr>
        <w:lastRenderedPageBreak/>
        <w:t>povinen vadu (vady) odstranit nejpozději do 5 dnů ode dne, kdy k jejímu (jejich) odstra</w:t>
      </w:r>
      <w:r>
        <w:rPr>
          <w:rStyle w:val="Zkladntext"/>
        </w:rPr>
        <w:t>nění nastoupil.</w:t>
      </w:r>
    </w:p>
    <w:p w:rsidR="00A76DFA" w:rsidRDefault="005566C2">
      <w:pPr>
        <w:pStyle w:val="Zkladntext1"/>
        <w:numPr>
          <w:ilvl w:val="0"/>
          <w:numId w:val="6"/>
        </w:numPr>
        <w:tabs>
          <w:tab w:val="left" w:pos="335"/>
        </w:tabs>
        <w:spacing w:after="540"/>
        <w:ind w:left="360" w:hanging="360"/>
        <w:jc w:val="both"/>
      </w:pPr>
      <w:r>
        <w:rPr>
          <w:rStyle w:val="Zkladntext"/>
        </w:rPr>
        <w:t>Nenastoupí-li zhotovitel k odstranění reklamované vady, příp. reklamovaných vad, ve sjednané lhůtě, je objednatel oprávněn pověřit odstraněním vady (vad) jinou odbornou právnickou nebo fyzickou osobu. Veškeré takto vzniklé náklady je povine</w:t>
      </w:r>
      <w:r>
        <w:rPr>
          <w:rStyle w:val="Zkladntext"/>
        </w:rPr>
        <w:t>n uhradit objednateli zhotovitel.</w:t>
      </w:r>
    </w:p>
    <w:p w:rsidR="00A76DFA" w:rsidRDefault="005566C2">
      <w:pPr>
        <w:pStyle w:val="Nadpis10"/>
        <w:keepNext/>
        <w:keepLines/>
        <w:spacing w:after="0"/>
      </w:pPr>
      <w:bookmarkStart w:id="10" w:name="bookmark25"/>
      <w:r>
        <w:rPr>
          <w:rStyle w:val="Nadpis1"/>
          <w:b/>
          <w:bCs/>
        </w:rPr>
        <w:t>Článek VII.</w:t>
      </w:r>
      <w:bookmarkEnd w:id="10"/>
    </w:p>
    <w:p w:rsidR="00A76DFA" w:rsidRDefault="005566C2">
      <w:pPr>
        <w:pStyle w:val="Nadpis10"/>
        <w:keepNext/>
        <w:keepLines/>
        <w:ind w:left="1080"/>
        <w:jc w:val="both"/>
      </w:pPr>
      <w:r>
        <w:rPr>
          <w:rStyle w:val="Nadpis1"/>
          <w:b/>
          <w:bCs/>
        </w:rPr>
        <w:t>Spolupůsobení objednatele, nutné ke splnění závazku zhotovitele</w:t>
      </w:r>
    </w:p>
    <w:p w:rsidR="00A76DFA" w:rsidRDefault="005566C2">
      <w:pPr>
        <w:pStyle w:val="Zkladntext1"/>
        <w:numPr>
          <w:ilvl w:val="0"/>
          <w:numId w:val="7"/>
        </w:numPr>
        <w:tabs>
          <w:tab w:val="left" w:pos="335"/>
        </w:tabs>
        <w:jc w:val="both"/>
      </w:pPr>
      <w:r>
        <w:rPr>
          <w:rStyle w:val="Zkladntext"/>
        </w:rPr>
        <w:t>Staveniště:</w:t>
      </w:r>
    </w:p>
    <w:p w:rsidR="00A76DFA" w:rsidRDefault="005566C2">
      <w:pPr>
        <w:pStyle w:val="Zkladntext1"/>
        <w:numPr>
          <w:ilvl w:val="0"/>
          <w:numId w:val="8"/>
        </w:numPr>
        <w:tabs>
          <w:tab w:val="left" w:pos="1098"/>
        </w:tabs>
        <w:ind w:left="1080" w:hanging="340"/>
        <w:jc w:val="both"/>
      </w:pPr>
      <w:r>
        <w:rPr>
          <w:rStyle w:val="Zkladntext"/>
        </w:rPr>
        <w:t>Staveništěm je prostor, určený plochou opravované komunikace s technickým a manipulačním prostorem.</w:t>
      </w:r>
    </w:p>
    <w:p w:rsidR="00A76DFA" w:rsidRDefault="005566C2">
      <w:pPr>
        <w:pStyle w:val="Zkladntext1"/>
        <w:numPr>
          <w:ilvl w:val="0"/>
          <w:numId w:val="8"/>
        </w:numPr>
        <w:tabs>
          <w:tab w:val="left" w:pos="1098"/>
        </w:tabs>
        <w:ind w:left="1080" w:hanging="340"/>
        <w:jc w:val="both"/>
      </w:pPr>
      <w:r>
        <w:rPr>
          <w:rStyle w:val="Zkladntext"/>
        </w:rPr>
        <w:t>Objednatel odevzdá zhotoviteli sta</w:t>
      </w:r>
      <w:r>
        <w:rPr>
          <w:rStyle w:val="Zkladntext"/>
        </w:rPr>
        <w:t>veniště v celém rozsahu a bez právních a faktických závad, o kterém bude sepsán zápis a bude podepsán oběma stranami.</w:t>
      </w:r>
    </w:p>
    <w:p w:rsidR="00A76DFA" w:rsidRDefault="005566C2">
      <w:pPr>
        <w:pStyle w:val="Zkladntext1"/>
        <w:numPr>
          <w:ilvl w:val="0"/>
          <w:numId w:val="7"/>
        </w:numPr>
        <w:tabs>
          <w:tab w:val="left" w:pos="335"/>
        </w:tabs>
        <w:jc w:val="both"/>
      </w:pPr>
      <w:r>
        <w:rPr>
          <w:rStyle w:val="Zkladntext"/>
        </w:rPr>
        <w:t>Doklady, potřebné k provedení díla:</w:t>
      </w:r>
    </w:p>
    <w:p w:rsidR="00A76DFA" w:rsidRDefault="005566C2">
      <w:pPr>
        <w:pStyle w:val="Zkladntext1"/>
        <w:ind w:left="1080" w:hanging="340"/>
        <w:jc w:val="both"/>
      </w:pPr>
      <w:r>
        <w:rPr>
          <w:rStyle w:val="Zkladntext"/>
        </w:rPr>
        <w:t>a. Objednatel obstará na své náklady veškeré doklady, potřebné dle platných právních předpisů k proved</w:t>
      </w:r>
      <w:r>
        <w:rPr>
          <w:rStyle w:val="Zkladntext"/>
        </w:rPr>
        <w:t>ení smluveného díla, u kterých právní předpisy nebo příslušné orgány požadují, aby je objednatel opatřil svým jménem (zejména stavební povolení). Tyto doklady předá objednatel zhotoviteli nejpozději při jednání o odevzdání staveniště.</w:t>
      </w:r>
    </w:p>
    <w:p w:rsidR="00A76DFA" w:rsidRDefault="005566C2">
      <w:pPr>
        <w:pStyle w:val="Zkladntext1"/>
        <w:numPr>
          <w:ilvl w:val="0"/>
          <w:numId w:val="7"/>
        </w:numPr>
        <w:tabs>
          <w:tab w:val="left" w:pos="335"/>
        </w:tabs>
        <w:jc w:val="both"/>
      </w:pPr>
      <w:r>
        <w:rPr>
          <w:rStyle w:val="Zkladntext"/>
        </w:rPr>
        <w:t>Další spolupůsobení o</w:t>
      </w:r>
      <w:r>
        <w:rPr>
          <w:rStyle w:val="Zkladntext"/>
        </w:rPr>
        <w:t>bjednatele:</w:t>
      </w:r>
    </w:p>
    <w:p w:rsidR="00A76DFA" w:rsidRDefault="005566C2">
      <w:pPr>
        <w:pStyle w:val="Zkladntext1"/>
        <w:numPr>
          <w:ilvl w:val="0"/>
          <w:numId w:val="9"/>
        </w:numPr>
        <w:tabs>
          <w:tab w:val="left" w:pos="1098"/>
        </w:tabs>
        <w:ind w:left="1080" w:hanging="340"/>
        <w:jc w:val="both"/>
      </w:pPr>
      <w:r>
        <w:rPr>
          <w:rStyle w:val="Zkladntext"/>
        </w:rPr>
        <w:t>Objednatel zajistí možnost příjezdu nákladních automobilů a mechanizmů zhotovitele do prostoru staveniště a zařízení staveniště.</w:t>
      </w:r>
    </w:p>
    <w:p w:rsidR="00A76DFA" w:rsidRDefault="005566C2">
      <w:pPr>
        <w:pStyle w:val="Zkladntext1"/>
        <w:numPr>
          <w:ilvl w:val="0"/>
          <w:numId w:val="9"/>
        </w:numPr>
        <w:tabs>
          <w:tab w:val="left" w:pos="1098"/>
        </w:tabs>
        <w:ind w:left="1080" w:hanging="340"/>
        <w:jc w:val="both"/>
      </w:pPr>
      <w:r>
        <w:rPr>
          <w:rStyle w:val="Zkladntext"/>
        </w:rPr>
        <w:t>Objednatel se postará o to, aby práce zhotovitele nebyly omezovány třetími osobami, vyjma vozidel IZS.</w:t>
      </w:r>
    </w:p>
    <w:p w:rsidR="00A76DFA" w:rsidRDefault="005566C2">
      <w:pPr>
        <w:pStyle w:val="Zkladntext1"/>
        <w:spacing w:after="260"/>
        <w:ind w:firstLine="360"/>
        <w:jc w:val="both"/>
      </w:pPr>
      <w:r>
        <w:rPr>
          <w:rStyle w:val="Zkladntext"/>
        </w:rPr>
        <w:t xml:space="preserve">Veškerá </w:t>
      </w:r>
      <w:r>
        <w:rPr>
          <w:rStyle w:val="Zkladntext"/>
        </w:rPr>
        <w:t>spolupůsobení uvedená v bodě 3. poskytne objednatel na své náklady.</w:t>
      </w:r>
    </w:p>
    <w:p w:rsidR="00A76DFA" w:rsidRDefault="005566C2">
      <w:pPr>
        <w:pStyle w:val="Nadpis10"/>
        <w:keepNext/>
        <w:keepLines/>
        <w:spacing w:after="0"/>
      </w:pPr>
      <w:bookmarkStart w:id="11" w:name="bookmark28"/>
      <w:r>
        <w:rPr>
          <w:rStyle w:val="Nadpis1"/>
          <w:b/>
          <w:bCs/>
        </w:rPr>
        <w:t>Článek Vlil.</w:t>
      </w:r>
      <w:bookmarkEnd w:id="11"/>
    </w:p>
    <w:p w:rsidR="00A76DFA" w:rsidRDefault="005566C2">
      <w:pPr>
        <w:pStyle w:val="Nadpis10"/>
        <w:keepNext/>
        <w:keepLines/>
      </w:pPr>
      <w:r>
        <w:rPr>
          <w:rStyle w:val="Nadpis1"/>
          <w:b/>
          <w:bCs/>
        </w:rPr>
        <w:t>Způsob provedení díla, předání a převzetí díla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35"/>
        </w:tabs>
        <w:ind w:left="360" w:hanging="360"/>
        <w:jc w:val="both"/>
      </w:pPr>
      <w:r>
        <w:rPr>
          <w:rStyle w:val="Zkladntext"/>
        </w:rPr>
        <w:t>Objednatel je oprávněn průběžně kontrolovat provádění díla ve smyslu § 2626 občanského zákoníku. Dílo provede zhotovitel v soula</w:t>
      </w:r>
      <w:r>
        <w:rPr>
          <w:rStyle w:val="Zkladntext"/>
        </w:rPr>
        <w:t>du se zák. č. 114/1992 Sb. v platném znění.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35"/>
        </w:tabs>
        <w:ind w:left="360" w:hanging="360"/>
        <w:jc w:val="both"/>
      </w:pPr>
      <w:r>
        <w:rPr>
          <w:rStyle w:val="Zkladntext"/>
        </w:rPr>
        <w:t>Zhotovitel zodpovídá za to, že předmět této smlouvy bude zhotovený podle uzavřené smlouvy a že po dobu záruky bude mít vlastnosti dojednané v této smlouvě. Odpovědnost za vady bude řešena podle § 2629 a násl. obč</w:t>
      </w:r>
      <w:r>
        <w:rPr>
          <w:rStyle w:val="Zkladntext"/>
        </w:rPr>
        <w:t>anského zákoníku.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41"/>
        </w:tabs>
        <w:ind w:left="380" w:hanging="380"/>
        <w:jc w:val="both"/>
      </w:pPr>
      <w:r>
        <w:rPr>
          <w:rStyle w:val="Zkladntext"/>
        </w:rPr>
        <w:t>Zhotovitel zodpovídá za bezpečnost a ochranu zdraví všech osob v prostoru provádění činností, dodržování bezpečnostních, hygienických a požárních předpisů, včetně bezpečnosti silničního provozu.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41"/>
        </w:tabs>
        <w:ind w:left="380" w:hanging="380"/>
        <w:jc w:val="both"/>
      </w:pPr>
      <w:r>
        <w:rPr>
          <w:rStyle w:val="Zkladntext"/>
        </w:rPr>
        <w:t>Zhotovitel se zavazuje udržovat pořádek a č</w:t>
      </w:r>
      <w:r>
        <w:rPr>
          <w:rStyle w:val="Zkladntext"/>
        </w:rPr>
        <w:t>istotu, na svůj náklad a na svou odpovědnost odstraňovat odpady a nečistoty vzniklé jeho činností, a to v souladu s příslušnými předpisy, zejména ekologickými a v souladu se zákonem o odpadech.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41"/>
        </w:tabs>
        <w:ind w:left="380" w:hanging="380"/>
        <w:jc w:val="both"/>
      </w:pPr>
      <w:r>
        <w:rPr>
          <w:rStyle w:val="Zkladntext"/>
        </w:rPr>
        <w:t>O provádění činnosti je zhotovitel povinen vést stavební deník</w:t>
      </w:r>
      <w:r>
        <w:rPr>
          <w:rStyle w:val="Zkladntext"/>
        </w:rPr>
        <w:t xml:space="preserve"> dle přílohy č. 5 vyhlášky č. 499/2006 Sb. Do stavebního deníku je pak povinen zapisovat všechny skutečnosti rozhodné pro plnění smlouvy. Žádný zápis ve stavebním deníku však není dohodou o změně podmínek sjednaných v této smlouvě.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41"/>
        </w:tabs>
        <w:ind w:left="380" w:hanging="380"/>
        <w:jc w:val="both"/>
      </w:pPr>
      <w:r>
        <w:rPr>
          <w:rStyle w:val="Zkladntext"/>
        </w:rPr>
        <w:t>Zhotovitel splní svoji p</w:t>
      </w:r>
      <w:r>
        <w:rPr>
          <w:rStyle w:val="Zkladntext"/>
        </w:rPr>
        <w:t>ovinnost provést plnění jeho řádným ukončením a předáním.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41"/>
        </w:tabs>
        <w:ind w:left="380" w:hanging="380"/>
        <w:jc w:val="both"/>
      </w:pPr>
      <w:r>
        <w:rPr>
          <w:rStyle w:val="Zkladntext"/>
        </w:rPr>
        <w:lastRenderedPageBreak/>
        <w:t>Zhotovitel oznámí termín dokončení plnění, určí datum a hodinu kdy plnění předá a za účasti obou smluvních stran bude provedena prohlídka díla. Po provedené prohlídce bude sepsán zápis o předání a p</w:t>
      </w:r>
      <w:r>
        <w:rPr>
          <w:rStyle w:val="Zkladntext"/>
        </w:rPr>
        <w:t>řevzetí dokončeného plnění, za objednatele plnění převezme osoba určená objednatelem jednat ve věcech technických.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41"/>
        </w:tabs>
        <w:jc w:val="both"/>
      </w:pPr>
      <w:r>
        <w:rPr>
          <w:rStyle w:val="Zkladntext"/>
        </w:rPr>
        <w:t>Dílo je dokončeno, je-li předvedena jeho způsobilost sloužit svému účelu.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41"/>
        </w:tabs>
        <w:jc w:val="both"/>
      </w:pPr>
      <w:r>
        <w:rPr>
          <w:rStyle w:val="Zkladntext"/>
        </w:rPr>
        <w:t>Objednatel převezme dokončené dílo s výhradami, nebo bez výhrad.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99"/>
        </w:tabs>
        <w:ind w:left="380" w:hanging="380"/>
        <w:jc w:val="both"/>
      </w:pPr>
      <w:r>
        <w:rPr>
          <w:rStyle w:val="Zkladntext"/>
        </w:rPr>
        <w:t>Ob</w:t>
      </w:r>
      <w:r>
        <w:rPr>
          <w:rStyle w:val="Zkladntext"/>
        </w:rPr>
        <w:t>jednatel nemá právo odmítnout převzetí stavby pro ojedinělé drobné vady, které samy o sobě ani ve spojení s jinými nebrání užívání stavby funkčně nebo esteticky, ani její užívání podstatným způsobem neomezují.</w:t>
      </w:r>
    </w:p>
    <w:p w:rsidR="00A76DFA" w:rsidRDefault="005566C2">
      <w:pPr>
        <w:pStyle w:val="Zkladntext1"/>
        <w:numPr>
          <w:ilvl w:val="0"/>
          <w:numId w:val="10"/>
        </w:numPr>
        <w:tabs>
          <w:tab w:val="left" w:pos="399"/>
        </w:tabs>
        <w:ind w:left="380" w:hanging="380"/>
        <w:jc w:val="both"/>
      </w:pPr>
      <w:r>
        <w:rPr>
          <w:rStyle w:val="Zkladntext"/>
        </w:rPr>
        <w:t>Další povinností zhotovitele je splnit body vi</w:t>
      </w:r>
      <w:r>
        <w:rPr>
          <w:rStyle w:val="Zkladntext"/>
        </w:rPr>
        <w:t>z níže a z nich vyplývající doklady (protokoly, prohlášení,...) předat objednateli v den předání díla:</w:t>
      </w:r>
    </w:p>
    <w:p w:rsidR="00A76DFA" w:rsidRDefault="005566C2">
      <w:pPr>
        <w:pStyle w:val="Zkladntext1"/>
        <w:spacing w:after="260"/>
        <w:ind w:left="720" w:hanging="340"/>
        <w:jc w:val="both"/>
      </w:pPr>
      <w:r>
        <w:rPr>
          <w:rStyle w:val="Zkladntext"/>
        </w:rPr>
        <w:t xml:space="preserve">a) zajištění dokladů o požadovaných vlastnostech výrobků ke kolaudaci (i dle zákona č. 22/1997 Sb. - prohlášení o shodě) a revizí veškerých elektrických </w:t>
      </w:r>
      <w:r>
        <w:rPr>
          <w:rStyle w:val="Zkladntext"/>
        </w:rPr>
        <w:t>zařízení s případným odstraněním uvedených závad.</w:t>
      </w:r>
    </w:p>
    <w:p w:rsidR="00A76DFA" w:rsidRDefault="005566C2">
      <w:pPr>
        <w:pStyle w:val="Nadpis10"/>
        <w:keepNext/>
        <w:keepLines/>
      </w:pPr>
      <w:bookmarkStart w:id="12" w:name="bookmark31"/>
      <w:r>
        <w:rPr>
          <w:rStyle w:val="Nadpis1"/>
          <w:b/>
          <w:bCs/>
        </w:rPr>
        <w:t>Článek IX.</w:t>
      </w:r>
      <w:r>
        <w:rPr>
          <w:rStyle w:val="Nadpis1"/>
          <w:b/>
          <w:bCs/>
        </w:rPr>
        <w:br/>
        <w:t>Sankce</w:t>
      </w:r>
      <w:bookmarkEnd w:id="12"/>
    </w:p>
    <w:p w:rsidR="00A76DFA" w:rsidRDefault="005566C2">
      <w:pPr>
        <w:pStyle w:val="Zkladntext1"/>
        <w:numPr>
          <w:ilvl w:val="0"/>
          <w:numId w:val="11"/>
        </w:numPr>
        <w:tabs>
          <w:tab w:val="left" w:pos="341"/>
        </w:tabs>
        <w:spacing w:after="260"/>
        <w:jc w:val="both"/>
      </w:pPr>
      <w:r>
        <w:rPr>
          <w:rStyle w:val="Zkladntext"/>
        </w:rPr>
        <w:t>Za nesplnění závazku z této smlouvy se sjednávají následující pokuty:</w:t>
      </w:r>
    </w:p>
    <w:p w:rsidR="00A76DFA" w:rsidRDefault="005566C2">
      <w:pPr>
        <w:pStyle w:val="Zkladntext1"/>
        <w:numPr>
          <w:ilvl w:val="0"/>
          <w:numId w:val="12"/>
        </w:numPr>
        <w:tabs>
          <w:tab w:val="left" w:pos="1090"/>
        </w:tabs>
        <w:ind w:left="1080" w:hanging="360"/>
        <w:jc w:val="both"/>
      </w:pPr>
      <w:r>
        <w:rPr>
          <w:rStyle w:val="Zkladntext"/>
        </w:rPr>
        <w:t xml:space="preserve">pro případ, že zhotovitel poruší svou povinnost řádně provést a dokončit dílo ve lhůtě uvedené v článku II. této </w:t>
      </w:r>
      <w:r>
        <w:rPr>
          <w:rStyle w:val="Zkladntext"/>
        </w:rPr>
        <w:t>smlouvy, sjednávají smluvní strany smluvní pokutu ve výši 2 000,-Kč (slovy: dva tisíce korun českých) za každý i započatý den prodlení.</w:t>
      </w:r>
    </w:p>
    <w:p w:rsidR="00A76DFA" w:rsidRDefault="005566C2">
      <w:pPr>
        <w:pStyle w:val="Zkladntext1"/>
        <w:numPr>
          <w:ilvl w:val="0"/>
          <w:numId w:val="12"/>
        </w:numPr>
        <w:tabs>
          <w:tab w:val="left" w:pos="1090"/>
        </w:tabs>
        <w:ind w:left="1080" w:hanging="360"/>
        <w:jc w:val="both"/>
      </w:pPr>
      <w:r>
        <w:rPr>
          <w:rStyle w:val="Zkladntext"/>
        </w:rPr>
        <w:t>úrok z prodlení s placením faktury činí 0,05 % z dlužné částky za každý den prodlení.</w:t>
      </w:r>
    </w:p>
    <w:p w:rsidR="00A76DFA" w:rsidRDefault="005566C2">
      <w:pPr>
        <w:pStyle w:val="Zkladntext1"/>
        <w:numPr>
          <w:ilvl w:val="0"/>
          <w:numId w:val="12"/>
        </w:numPr>
        <w:tabs>
          <w:tab w:val="left" w:pos="1090"/>
        </w:tabs>
        <w:ind w:left="1080" w:hanging="360"/>
        <w:jc w:val="both"/>
      </w:pPr>
      <w:r>
        <w:rPr>
          <w:rStyle w:val="Zkladntext"/>
        </w:rPr>
        <w:t>pro případ, že zhotovitel poruší s</w:t>
      </w:r>
      <w:r>
        <w:rPr>
          <w:rStyle w:val="Zkladntext"/>
        </w:rPr>
        <w:t>vou povinnost stanovenou v článku VI. odst. 5 této smlouvy, tedy nesdělí objednateli, v jaké lhůtě či termínu nastoupí k odstranění reklamované vady, sjednávají smluvní strany smluvní pokutu ve výši 2 000,-Kč (slovy: dva tisíce korun českých) za každý i za</w:t>
      </w:r>
      <w:r>
        <w:rPr>
          <w:rStyle w:val="Zkladntext"/>
        </w:rPr>
        <w:t>počatý den prodlení.</w:t>
      </w:r>
    </w:p>
    <w:p w:rsidR="00A76DFA" w:rsidRDefault="005566C2">
      <w:pPr>
        <w:pStyle w:val="Zkladntext1"/>
        <w:numPr>
          <w:ilvl w:val="0"/>
          <w:numId w:val="12"/>
        </w:numPr>
        <w:tabs>
          <w:tab w:val="left" w:pos="1090"/>
        </w:tabs>
        <w:spacing w:after="260"/>
        <w:ind w:left="1080" w:hanging="360"/>
        <w:jc w:val="both"/>
        <w:sectPr w:rsidR="00A76DFA">
          <w:footerReference w:type="default" r:id="rId8"/>
          <w:footerReference w:type="first" r:id="rId9"/>
          <w:pgSz w:w="11900" w:h="16840"/>
          <w:pgMar w:top="1464" w:right="1344" w:bottom="1395" w:left="135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>6. Pro případ, že zhotovitel poruší svou povinnost stanovenou v článku VI. odst. 5 této smlouvy, tedy</w:t>
      </w:r>
      <w:r>
        <w:rPr>
          <w:rStyle w:val="Zkladntext"/>
        </w:rPr>
        <w:t xml:space="preserve"> neodstraní vadu ve stanovené lhůtě, sjednávají smluvní strany smluvní pokutu ve výši 2 000,-Kč (slovy: dva tisíce korun českých) za každý i započatý den prodlení, přičemž takto sjednaná smluvní pokuta se nijak netýká práva na náhradu škody porušením povin</w:t>
      </w:r>
      <w:r>
        <w:rPr>
          <w:rStyle w:val="Zkladntext"/>
        </w:rPr>
        <w:t>nosti způsobené zhotovitelem.</w:t>
      </w:r>
    </w:p>
    <w:p w:rsidR="00A76DFA" w:rsidRDefault="005566C2">
      <w:pPr>
        <w:pStyle w:val="Nadpis10"/>
        <w:keepNext/>
        <w:keepLines/>
      </w:pPr>
      <w:bookmarkStart w:id="13" w:name="bookmark33"/>
      <w:r>
        <w:rPr>
          <w:rStyle w:val="Nadpis1"/>
          <w:b/>
          <w:bCs/>
        </w:rPr>
        <w:lastRenderedPageBreak/>
        <w:t>Článek X.</w:t>
      </w:r>
      <w:r>
        <w:rPr>
          <w:rStyle w:val="Nadpis1"/>
          <w:b/>
          <w:bCs/>
        </w:rPr>
        <w:br/>
        <w:t>Zánik smlouvy</w:t>
      </w:r>
      <w:bookmarkEnd w:id="13"/>
    </w:p>
    <w:p w:rsidR="00A76DFA" w:rsidRDefault="005566C2">
      <w:pPr>
        <w:pStyle w:val="Zkladntext1"/>
        <w:numPr>
          <w:ilvl w:val="0"/>
          <w:numId w:val="13"/>
        </w:numPr>
        <w:tabs>
          <w:tab w:val="left" w:pos="328"/>
        </w:tabs>
        <w:jc w:val="both"/>
      </w:pPr>
      <w:r>
        <w:rPr>
          <w:rStyle w:val="Zkladntext"/>
        </w:rPr>
        <w:t>Smluvní strany se dohodly, že tato smlouva zanikne:</w:t>
      </w:r>
    </w:p>
    <w:p w:rsidR="00A76DFA" w:rsidRDefault="005566C2">
      <w:pPr>
        <w:pStyle w:val="Zkladntext1"/>
        <w:numPr>
          <w:ilvl w:val="0"/>
          <w:numId w:val="14"/>
        </w:numPr>
        <w:tabs>
          <w:tab w:val="left" w:pos="1090"/>
        </w:tabs>
        <w:ind w:firstLine="720"/>
        <w:jc w:val="both"/>
      </w:pPr>
      <w:r>
        <w:rPr>
          <w:rStyle w:val="Zkladntext"/>
        </w:rPr>
        <w:t>dohodou smluvních stran při vzájemném vyrovnání</w:t>
      </w:r>
    </w:p>
    <w:p w:rsidR="00A76DFA" w:rsidRDefault="005566C2">
      <w:pPr>
        <w:pStyle w:val="Zkladntext1"/>
        <w:numPr>
          <w:ilvl w:val="0"/>
          <w:numId w:val="14"/>
        </w:numPr>
        <w:tabs>
          <w:tab w:val="left" w:pos="1090"/>
        </w:tabs>
        <w:ind w:firstLine="720"/>
        <w:jc w:val="both"/>
      </w:pPr>
      <w:r>
        <w:rPr>
          <w:rStyle w:val="Zkladntext"/>
        </w:rPr>
        <w:t>výpovědí, s výpovědní lhůtou 1 měsíc</w:t>
      </w:r>
    </w:p>
    <w:p w:rsidR="00A76DFA" w:rsidRDefault="005566C2">
      <w:pPr>
        <w:pStyle w:val="Zkladntext1"/>
        <w:numPr>
          <w:ilvl w:val="0"/>
          <w:numId w:val="13"/>
        </w:numPr>
        <w:tabs>
          <w:tab w:val="left" w:pos="333"/>
        </w:tabs>
        <w:spacing w:after="260"/>
        <w:ind w:left="360" w:hanging="360"/>
        <w:jc w:val="both"/>
      </w:pPr>
      <w:r>
        <w:rPr>
          <w:rStyle w:val="Zkladntext"/>
        </w:rPr>
        <w:t xml:space="preserve">Účinky odstoupení od této smlouvy se řídí ustanovením § 2001 </w:t>
      </w:r>
      <w:r>
        <w:rPr>
          <w:rStyle w:val="Zkladntext"/>
        </w:rPr>
        <w:t>občanského zákoníku.</w:t>
      </w:r>
    </w:p>
    <w:p w:rsidR="00A76DFA" w:rsidRDefault="005566C2">
      <w:pPr>
        <w:pStyle w:val="Nadpis10"/>
        <w:keepNext/>
        <w:keepLines/>
        <w:spacing w:after="0"/>
      </w:pPr>
      <w:bookmarkStart w:id="14" w:name="bookmark35"/>
      <w:r>
        <w:rPr>
          <w:rStyle w:val="Nadpis1"/>
          <w:b/>
          <w:bCs/>
        </w:rPr>
        <w:t>Článek XI.</w:t>
      </w:r>
      <w:bookmarkEnd w:id="14"/>
    </w:p>
    <w:p w:rsidR="00A76DFA" w:rsidRDefault="005566C2">
      <w:pPr>
        <w:pStyle w:val="Nadpis10"/>
        <w:keepNext/>
        <w:keepLines/>
      </w:pPr>
      <w:r>
        <w:rPr>
          <w:rStyle w:val="Nadpis1"/>
          <w:b/>
          <w:bCs/>
        </w:rPr>
        <w:t>Zvláštní ujednání</w:t>
      </w:r>
    </w:p>
    <w:p w:rsidR="00A76DFA" w:rsidRDefault="005566C2">
      <w:pPr>
        <w:pStyle w:val="Zkladntext1"/>
        <w:numPr>
          <w:ilvl w:val="0"/>
          <w:numId w:val="15"/>
        </w:numPr>
        <w:tabs>
          <w:tab w:val="left" w:pos="328"/>
        </w:tabs>
        <w:ind w:left="360" w:hanging="360"/>
        <w:jc w:val="both"/>
      </w:pPr>
      <w:r>
        <w:rPr>
          <w:rStyle w:val="Zkladntext"/>
        </w:rPr>
        <w:t>Smluvní strany se dohodli a prohlašují, že za podstatnou změnu okolností považují i vyšší moc, pandemii, karanténu u více než 20 % zaměstnanců zhotovitele, která zakládá hrubý nepoměr v právech a povinnoste</w:t>
      </w:r>
      <w:r>
        <w:rPr>
          <w:rStyle w:val="Zkladntext"/>
        </w:rPr>
        <w:t>ch stran. V tomto případě může kterákoliv strana žádat obnovení jednání o již uzavřené smlouvě (např. změna ceny, doby dodání). Pokud by k dohodě stran nedošlo ani do 10 dnů ode dne oznámení změny okolností druhé straně, jsou obě smluvní strany oprávněny o</w:t>
      </w:r>
      <w:r>
        <w:rPr>
          <w:rStyle w:val="Zkladntext"/>
        </w:rPr>
        <w:t>d smlouvy odstoupit. Dále účastníci shodně prohlašují, že v tomto případě se vzdávají veškerých práv z titulu náhrady škody a všech ostatních sankcí.</w:t>
      </w:r>
    </w:p>
    <w:p w:rsidR="00A76DFA" w:rsidRDefault="005566C2">
      <w:pPr>
        <w:pStyle w:val="Zkladntext1"/>
        <w:numPr>
          <w:ilvl w:val="0"/>
          <w:numId w:val="15"/>
        </w:numPr>
        <w:tabs>
          <w:tab w:val="left" w:pos="333"/>
        </w:tabs>
        <w:ind w:left="360" w:hanging="360"/>
        <w:jc w:val="both"/>
      </w:pPr>
      <w:r>
        <w:rPr>
          <w:rStyle w:val="Zkladntext"/>
        </w:rPr>
        <w:t xml:space="preserve">Všechny právní vztahy, které vzniknou při realizaci závazků vyplývajících z této smlouvy, se řídí právním </w:t>
      </w:r>
      <w:r>
        <w:rPr>
          <w:rStyle w:val="Zkladntext"/>
        </w:rPr>
        <w:t>řádem ČR. Právní vztahy neupravené touto smlouvou se řídí ustanovením zákonem č. 89/12 Sb.</w:t>
      </w:r>
    </w:p>
    <w:p w:rsidR="00A76DFA" w:rsidRDefault="005566C2">
      <w:pPr>
        <w:pStyle w:val="Zkladntext1"/>
        <w:numPr>
          <w:ilvl w:val="0"/>
          <w:numId w:val="15"/>
        </w:numPr>
        <w:tabs>
          <w:tab w:val="left" w:pos="328"/>
        </w:tabs>
        <w:ind w:left="360" w:hanging="360"/>
        <w:jc w:val="both"/>
      </w:pPr>
      <w:r>
        <w:rPr>
          <w:rStyle w:val="Zkladntext"/>
        </w:rPr>
        <w:t>Tuto smlouvu lze měnit pouze písemným oboustranně potvrzeným ujednáním - dodatkem ke smlouvě.</w:t>
      </w:r>
    </w:p>
    <w:p w:rsidR="00A76DFA" w:rsidRDefault="005566C2">
      <w:pPr>
        <w:pStyle w:val="Zkladntext1"/>
        <w:numPr>
          <w:ilvl w:val="0"/>
          <w:numId w:val="15"/>
        </w:numPr>
        <w:tabs>
          <w:tab w:val="left" w:pos="328"/>
        </w:tabs>
        <w:ind w:left="360" w:hanging="360"/>
        <w:jc w:val="both"/>
        <w:sectPr w:rsidR="00A76DFA">
          <w:footerReference w:type="default" r:id="rId10"/>
          <w:pgSz w:w="11900" w:h="16840"/>
          <w:pgMar w:top="1464" w:right="1344" w:bottom="1395" w:left="1359" w:header="1036" w:footer="967" w:gutter="0"/>
          <w:cols w:space="720"/>
          <w:noEndnote/>
          <w:docGrid w:linePitch="360"/>
        </w:sectPr>
      </w:pPr>
      <w:r>
        <w:rPr>
          <w:rStyle w:val="Zkladntext"/>
        </w:rPr>
        <w:t>Smlouva je vyhotove</w:t>
      </w:r>
      <w:bookmarkStart w:id="15" w:name="_GoBack"/>
      <w:bookmarkEnd w:id="15"/>
      <w:r>
        <w:rPr>
          <w:rStyle w:val="Zkladntext"/>
        </w:rPr>
        <w:t>na ve dvou vyhotoveních, z n</w:t>
      </w:r>
      <w:r>
        <w:rPr>
          <w:rStyle w:val="Zkladntext"/>
        </w:rPr>
        <w:t>ichž objednatel i zhotovitel obdrží po jednom výtisku.</w:t>
      </w:r>
    </w:p>
    <w:p w:rsidR="00A76DFA" w:rsidRDefault="00A76DFA">
      <w:pPr>
        <w:spacing w:before="119" w:after="119" w:line="240" w:lineRule="exact"/>
        <w:rPr>
          <w:sz w:val="19"/>
          <w:szCs w:val="19"/>
        </w:rPr>
      </w:pPr>
    </w:p>
    <w:p w:rsidR="00A76DFA" w:rsidRDefault="00A76DFA">
      <w:pPr>
        <w:spacing w:line="1" w:lineRule="exact"/>
        <w:sectPr w:rsidR="00A76DFA">
          <w:type w:val="continuous"/>
          <w:pgSz w:w="11900" w:h="16840"/>
          <w:pgMar w:top="2014" w:right="0" w:bottom="297" w:left="0" w:header="0" w:footer="3" w:gutter="0"/>
          <w:cols w:space="720"/>
          <w:noEndnote/>
          <w:docGrid w:linePitch="360"/>
        </w:sectPr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line="360" w:lineRule="exact"/>
      </w:pPr>
    </w:p>
    <w:p w:rsidR="00A76DFA" w:rsidRDefault="00A76DFA">
      <w:pPr>
        <w:spacing w:after="540" w:line="1" w:lineRule="exact"/>
      </w:pPr>
    </w:p>
    <w:p w:rsidR="00A76DFA" w:rsidRDefault="00A76DFA">
      <w:pPr>
        <w:spacing w:line="1" w:lineRule="exact"/>
        <w:sectPr w:rsidR="00A76DFA">
          <w:type w:val="continuous"/>
          <w:pgSz w:w="11900" w:h="16840"/>
          <w:pgMar w:top="2014" w:right="1332" w:bottom="297" w:left="1337" w:header="0" w:footer="3" w:gutter="0"/>
          <w:cols w:space="720"/>
          <w:noEndnote/>
          <w:docGrid w:linePitch="360"/>
        </w:sectPr>
      </w:pPr>
    </w:p>
    <w:p w:rsidR="00A76DFA" w:rsidRDefault="005566C2">
      <w:pPr>
        <w:pStyle w:val="Zkladntext1"/>
        <w:sectPr w:rsidR="00A76DFA">
          <w:pgSz w:w="11900" w:h="16840"/>
          <w:pgMar w:top="15858" w:right="5744" w:bottom="495" w:left="5710" w:header="15430" w:footer="67" w:gutter="0"/>
          <w:cols w:space="720"/>
          <w:noEndnote/>
          <w:docGrid w:linePitch="360"/>
        </w:sectPr>
      </w:pPr>
      <w:r>
        <w:rPr>
          <w:rStyle w:val="Zkladntext"/>
        </w:rPr>
        <w:lastRenderedPageBreak/>
        <w:t>-7 -</w:t>
      </w:r>
    </w:p>
    <w:p w:rsidR="00A76DFA" w:rsidRDefault="005566C2">
      <w:pPr>
        <w:pStyle w:val="Zkladntext30"/>
        <w:spacing w:after="80" w:line="240" w:lineRule="auto"/>
        <w:ind w:left="164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840740</wp:posOffset>
            </wp:positionH>
            <wp:positionV relativeFrom="paragraph">
              <wp:posOffset>12700</wp:posOffset>
            </wp:positionV>
            <wp:extent cx="2316480" cy="701040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1648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3"/>
          <w:b/>
          <w:bCs/>
        </w:rPr>
        <w:t>Kroméřížské technické služby s.r.o.</w:t>
      </w:r>
    </w:p>
    <w:p w:rsidR="00A76DFA" w:rsidRDefault="005566C2">
      <w:pPr>
        <w:pStyle w:val="Zkladntext20"/>
        <w:tabs>
          <w:tab w:val="left" w:pos="4818"/>
        </w:tabs>
        <w:spacing w:after="40"/>
        <w:ind w:left="1640"/>
      </w:pPr>
      <w:r>
        <w:rPr>
          <w:rStyle w:val="Zkladntext2"/>
        </w:rPr>
        <w:t>Kaplanova 2959/6</w:t>
      </w:r>
      <w:r>
        <w:rPr>
          <w:rStyle w:val="Zkladntext2"/>
        </w:rPr>
        <w:tab/>
        <w:t>ZC»Z 0 i</w:t>
      </w:r>
    </w:p>
    <w:p w:rsidR="00A76DFA" w:rsidRDefault="005566C2">
      <w:pPr>
        <w:pStyle w:val="Zkladntext20"/>
        <w:spacing w:after="860"/>
        <w:ind w:left="1640"/>
      </w:pPr>
      <w:r>
        <w:rPr>
          <w:rStyle w:val="Zkladntext2"/>
        </w:rPr>
        <w:t>Kromeríz</w:t>
      </w:r>
    </w:p>
    <w:p w:rsidR="00A76DFA" w:rsidRDefault="005566C2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13"/>
          <w:tab w:val="left" w:pos="6331"/>
          <w:tab w:val="left" w:pos="8337"/>
        </w:tabs>
        <w:spacing w:after="220"/>
        <w:rPr>
          <w:sz w:val="19"/>
          <w:szCs w:val="19"/>
        </w:rPr>
      </w:pPr>
      <w:r>
        <w:rPr>
          <w:rStyle w:val="Jin"/>
          <w:rFonts w:ascii="Calibri" w:eastAsia="Calibri" w:hAnsi="Calibri" w:cs="Calibri"/>
          <w:b/>
          <w:bCs/>
          <w:i/>
          <w:iCs/>
          <w:sz w:val="19"/>
          <w:szCs w:val="19"/>
        </w:rPr>
        <w:t>CENOVÁ NABÍDKA č.:</w:t>
      </w:r>
      <w:r>
        <w:rPr>
          <w:rStyle w:val="Jin"/>
          <w:rFonts w:ascii="Calibri" w:eastAsia="Calibri" w:hAnsi="Calibri" w:cs="Calibri"/>
          <w:b/>
          <w:bCs/>
          <w:i/>
          <w:iCs/>
          <w:sz w:val="19"/>
          <w:szCs w:val="19"/>
        </w:rPr>
        <w:tab/>
        <w:t>CN-113/04/2025</w:t>
      </w:r>
      <w:r>
        <w:rPr>
          <w:rStyle w:val="Jin"/>
          <w:rFonts w:ascii="Calibri" w:eastAsia="Calibri" w:hAnsi="Calibri" w:cs="Calibri"/>
          <w:b/>
          <w:bCs/>
          <w:i/>
          <w:iCs/>
          <w:sz w:val="19"/>
          <w:szCs w:val="19"/>
        </w:rPr>
        <w:tab/>
        <w:t>zc dne:</w:t>
      </w:r>
      <w:r>
        <w:rPr>
          <w:rStyle w:val="Jin"/>
          <w:rFonts w:ascii="Calibri" w:eastAsia="Calibri" w:hAnsi="Calibri" w:cs="Calibri"/>
          <w:b/>
          <w:bCs/>
          <w:i/>
          <w:iCs/>
          <w:sz w:val="19"/>
          <w:szCs w:val="19"/>
        </w:rPr>
        <w:tab/>
        <w:t>15.04.2025</w:t>
      </w:r>
    </w:p>
    <w:p w:rsidR="00A76DFA" w:rsidRDefault="005566C2">
      <w:pPr>
        <w:pStyle w:val="Zkladntext30"/>
        <w:spacing w:after="40" w:line="314" w:lineRule="auto"/>
        <w:rPr>
          <w:sz w:val="13"/>
          <w:szCs w:val="13"/>
        </w:rPr>
      </w:pPr>
      <w:r>
        <w:rPr>
          <w:rStyle w:val="Zkladntext3"/>
          <w:i/>
          <w:iCs/>
        </w:rPr>
        <w:t>Vážený</w:t>
      </w:r>
      <w:r>
        <w:rPr>
          <w:rStyle w:val="Zkladntext3"/>
        </w:rPr>
        <w:t xml:space="preserve"> obchodní partnere, na základě vzájemné dohody si váin dovolujeme zaslat následující cenovou nab</w:t>
      </w:r>
      <w:r>
        <w:rPr>
          <w:rStyle w:val="Zkladntext3"/>
        </w:rPr>
        <w:t xml:space="preserve">ídku, položkový rozpočet na akci </w:t>
      </w:r>
      <w:r>
        <w:rPr>
          <w:rStyle w:val="Zkladntext3"/>
          <w:b/>
          <w:bCs/>
          <w:sz w:val="13"/>
          <w:szCs w:val="13"/>
        </w:rPr>
        <w:t>KM ul.Braunerova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4"/>
        <w:gridCol w:w="720"/>
        <w:gridCol w:w="931"/>
        <w:gridCol w:w="1469"/>
        <w:gridCol w:w="1550"/>
      </w:tblGrid>
      <w:tr w:rsidR="00A76DF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Název položky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MJ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Počet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Kč/MJ</w:t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i/>
                <w:iCs/>
                <w:sz w:val="15"/>
                <w:szCs w:val="15"/>
              </w:rPr>
              <w:t>Cena celkem</w:t>
            </w: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KM ul.Braunerova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soubor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3 457 606,73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FA" w:rsidRDefault="005566C2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3 457 606.73 Kč</w:t>
            </w: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</w:tr>
      <w:tr w:rsidR="00A76DF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FA" w:rsidRDefault="00A76DFA">
            <w:pPr>
              <w:rPr>
                <w:sz w:val="10"/>
                <w:szCs w:val="10"/>
              </w:rPr>
            </w:pPr>
          </w:p>
        </w:tc>
      </w:tr>
    </w:tbl>
    <w:p w:rsidR="00A76DFA" w:rsidRDefault="00A76DFA">
      <w:pPr>
        <w:spacing w:after="79" w:line="1" w:lineRule="exact"/>
      </w:pPr>
    </w:p>
    <w:p w:rsidR="00A76DFA" w:rsidRDefault="005566C2">
      <w:pPr>
        <w:pStyle w:val="Zkladntext20"/>
        <w:tabs>
          <w:tab w:val="left" w:pos="4311"/>
        </w:tabs>
        <w:spacing w:after="40"/>
        <w:ind w:right="140"/>
        <w:jc w:val="right"/>
        <w:rPr>
          <w:sz w:val="13"/>
          <w:szCs w:val="13"/>
        </w:rPr>
      </w:pPr>
      <w:r>
        <w:rPr>
          <w:rStyle w:val="Zkladntext2"/>
          <w:b/>
          <w:bCs/>
          <w:sz w:val="13"/>
          <w:szCs w:val="13"/>
        </w:rPr>
        <w:t>CENA CELKEM BEZ DPH:</w:t>
      </w:r>
      <w:r>
        <w:rPr>
          <w:rStyle w:val="Zkladntext2"/>
          <w:b/>
          <w:bCs/>
          <w:sz w:val="13"/>
          <w:szCs w:val="13"/>
        </w:rPr>
        <w:tab/>
        <w:t>3 457 606,73 Kč</w:t>
      </w:r>
    </w:p>
    <w:p w:rsidR="00A76DFA" w:rsidRDefault="005566C2">
      <w:pPr>
        <w:pStyle w:val="Zkladntext20"/>
        <w:tabs>
          <w:tab w:val="left" w:leader="underscore" w:pos="3080"/>
          <w:tab w:val="left" w:leader="underscore" w:pos="4818"/>
          <w:tab w:val="left" w:leader="underscore" w:pos="6853"/>
          <w:tab w:val="left" w:leader="underscore" w:pos="7126"/>
          <w:tab w:val="left" w:leader="underscore" w:pos="8337"/>
        </w:tabs>
        <w:spacing w:after="40"/>
        <w:ind w:left="1280"/>
      </w:pPr>
      <w:r>
        <w:rPr>
          <w:rStyle w:val="Zkladntext2"/>
          <w:u w:val="single"/>
        </w:rPr>
        <w:t>Zaklad</w:t>
      </w:r>
      <w:r>
        <w:rPr>
          <w:rStyle w:val="Zkladntext2"/>
        </w:rPr>
        <w:tab/>
      </w:r>
      <w:r>
        <w:rPr>
          <w:rStyle w:val="Zkladntext2"/>
          <w:u w:val="single"/>
        </w:rPr>
        <w:t xml:space="preserve">DPH | </w:t>
      </w:r>
      <w:r>
        <w:rPr>
          <w:rStyle w:val="Zkladntext2"/>
          <w:color w:val="86929B"/>
          <w:u w:val="single"/>
        </w:rPr>
        <w:t xml:space="preserve">% </w:t>
      </w:r>
      <w:r>
        <w:rPr>
          <w:rStyle w:val="Zkladntext2"/>
          <w:u w:val="single"/>
        </w:rPr>
        <w:t>|</w:t>
      </w:r>
      <w:r>
        <w:rPr>
          <w:rStyle w:val="Zkladntext2"/>
        </w:rPr>
        <w:tab/>
        <w:t>v</w:t>
      </w:r>
      <w:r>
        <w:rPr>
          <w:rStyle w:val="Zkladntext2"/>
          <w:u w:val="single"/>
        </w:rPr>
        <w:t>ýše DPH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  <w:u w:val="single"/>
        </w:rPr>
        <w:t>Celkem vč. DPH</w:t>
      </w:r>
    </w:p>
    <w:p w:rsidR="00A76DFA" w:rsidRDefault="005566C2">
      <w:pPr>
        <w:pStyle w:val="Jin0"/>
        <w:tabs>
          <w:tab w:val="left" w:pos="3331"/>
          <w:tab w:val="left" w:pos="5036"/>
          <w:tab w:val="left" w:pos="8098"/>
        </w:tabs>
        <w:spacing w:after="220"/>
        <w:ind w:firstLine="980"/>
        <w:rPr>
          <w:sz w:val="18"/>
          <w:szCs w:val="18"/>
        </w:rPr>
      </w:pPr>
      <w:r>
        <w:rPr>
          <w:rStyle w:val="Jin"/>
          <w:sz w:val="18"/>
          <w:szCs w:val="18"/>
        </w:rPr>
        <w:t>3 457 606,73</w:t>
      </w:r>
      <w:r>
        <w:rPr>
          <w:rStyle w:val="Jin"/>
          <w:sz w:val="18"/>
          <w:szCs w:val="18"/>
        </w:rPr>
        <w:tab/>
        <w:t>21</w:t>
      </w:r>
      <w:r>
        <w:rPr>
          <w:rStyle w:val="Jin"/>
          <w:sz w:val="18"/>
          <w:szCs w:val="18"/>
        </w:rPr>
        <w:tab/>
        <w:t>726 097,41Kč</w:t>
      </w:r>
      <w:r>
        <w:rPr>
          <w:rStyle w:val="Jin"/>
          <w:sz w:val="18"/>
          <w:szCs w:val="18"/>
        </w:rPr>
        <w:tab/>
        <w:t>4183 704,14 Kč</w:t>
      </w:r>
    </w:p>
    <w:p w:rsidR="00A76DFA" w:rsidRDefault="005566C2">
      <w:pPr>
        <w:pStyle w:val="Zkladntext20"/>
        <w:spacing w:after="1080"/>
      </w:pPr>
      <w:r>
        <w:rPr>
          <w:rStyle w:val="Zkladntext2"/>
          <w:b/>
          <w:bCs/>
          <w:i/>
          <w:iCs/>
        </w:rPr>
        <w:t>NABÍDKA NEOBSAHUJE</w:t>
      </w:r>
    </w:p>
    <w:p w:rsidR="00A76DFA" w:rsidRDefault="005566C2">
      <w:pPr>
        <w:pStyle w:val="Zkladntext20"/>
        <w:spacing w:after="40"/>
      </w:pPr>
      <w:r>
        <w:rPr>
          <w:rStyle w:val="Zkladntext2"/>
          <w:b/>
          <w:bCs/>
          <w:i/>
          <w:iCs/>
        </w:rPr>
        <w:t>POZNÁMKA:</w:t>
      </w:r>
    </w:p>
    <w:p w:rsidR="00A76DFA" w:rsidRDefault="005566C2">
      <w:pPr>
        <w:pStyle w:val="Zkladntext20"/>
        <w:spacing w:after="40"/>
      </w:pPr>
      <w:r>
        <w:rPr>
          <w:rStyle w:val="Zkladntext2"/>
        </w:rPr>
        <w:t>Fakturovaný budou skutečné provedené výměry a spotřebovaný materiál.</w:t>
      </w:r>
    </w:p>
    <w:p w:rsidR="00A76DFA" w:rsidRDefault="005566C2">
      <w:pPr>
        <w:pStyle w:val="Zkladntext20"/>
        <w:spacing w:after="40"/>
      </w:pPr>
      <w:r>
        <w:rPr>
          <w:rStyle w:val="Zkladntext2"/>
        </w:rPr>
        <w:t>Případná nadspotreba živice bude účtována v ceně 3 545,00 Kč/tuna bez DPH.</w:t>
      </w:r>
    </w:p>
    <w:p w:rsidR="00A76DFA" w:rsidRDefault="005566C2">
      <w:pPr>
        <w:pStyle w:val="Zkladntext20"/>
        <w:spacing w:after="220"/>
      </w:pPr>
      <w:r>
        <w:rPr>
          <w:rStyle w:val="Zkladntext2"/>
        </w:rPr>
        <w:t xml:space="preserve">Cena je kalkulovánu </w:t>
      </w:r>
      <w:r>
        <w:rPr>
          <w:rStyle w:val="Zkladntext2"/>
        </w:rPr>
        <w:t>na jeden nájezd techniky, za každý další nájezd bude úctovana castka 5 000,00 Kč bez DPH,</w:t>
      </w:r>
    </w:p>
    <w:p w:rsidR="00A76DFA" w:rsidRDefault="005566C2">
      <w:pPr>
        <w:pStyle w:val="Zkladntext20"/>
        <w:spacing w:after="140"/>
      </w:pPr>
      <w:r>
        <w:rPr>
          <w:rStyle w:val="Zkladntext2"/>
        </w:rPr>
        <w:t>Jednotková cena je stanovena za uvedenou výměru, pokud dojde ke sníženi výměry, bude jednotková cena upravena.</w:t>
      </w:r>
    </w:p>
    <w:p w:rsidR="00A76DFA" w:rsidRDefault="005566C2">
      <w:pPr>
        <w:pStyle w:val="Zkladntext20"/>
        <w:tabs>
          <w:tab w:val="left" w:pos="1693"/>
        </w:tabs>
        <w:spacing w:after="40"/>
      </w:pPr>
      <w:r>
        <w:rPr>
          <w:rStyle w:val="Zkladntext2"/>
        </w:rPr>
        <w:t>Termín:</w:t>
      </w:r>
      <w:r>
        <w:rPr>
          <w:rStyle w:val="Zkladntext2"/>
        </w:rPr>
        <w:tab/>
        <w:t>Rok 2025 - dle vývoje klimatických podmínek poč</w:t>
      </w:r>
      <w:r>
        <w:rPr>
          <w:rStyle w:val="Zkladntext2"/>
        </w:rPr>
        <w:t>así</w:t>
      </w:r>
    </w:p>
    <w:p w:rsidR="00A76DFA" w:rsidRDefault="005566C2">
      <w:pPr>
        <w:pStyle w:val="Zkladntext20"/>
        <w:tabs>
          <w:tab w:val="left" w:pos="1693"/>
        </w:tabs>
        <w:spacing w:after="40"/>
      </w:pPr>
      <w:r>
        <w:rPr>
          <w:rStyle w:val="Zkladntext2"/>
        </w:rPr>
        <w:t>Platební podmínky:</w:t>
      </w:r>
      <w:r>
        <w:rPr>
          <w:rStyle w:val="Zkladntext2"/>
        </w:rPr>
        <w:tab/>
        <w:t>Splatnost faktur 30 dní od vystavení, fakturace měsíčně.</w:t>
      </w:r>
    </w:p>
    <w:p w:rsidR="00A76DFA" w:rsidRDefault="005566C2">
      <w:pPr>
        <w:pStyle w:val="Zkladntext20"/>
        <w:tabs>
          <w:tab w:val="left" w:pos="1693"/>
        </w:tabs>
        <w:spacing w:after="280"/>
      </w:pPr>
      <w:r>
        <w:rPr>
          <w:rStyle w:val="Zkladntext2"/>
        </w:rPr>
        <w:t>Záruka:</w:t>
      </w:r>
      <w:r>
        <w:rPr>
          <w:rStyle w:val="Zkladntext2"/>
        </w:rPr>
        <w:tab/>
        <w:t>36 měsíců od předání díla objednateli.</w:t>
      </w:r>
    </w:p>
    <w:p w:rsidR="00A76DFA" w:rsidRDefault="005566C2">
      <w:pPr>
        <w:pStyle w:val="Zkladntext20"/>
        <w:spacing w:after="140"/>
        <w:rPr>
          <w:sz w:val="13"/>
          <w:szCs w:val="13"/>
        </w:rPr>
      </w:pPr>
      <w:r>
        <w:rPr>
          <w:rStyle w:val="Zkladntext2"/>
          <w:sz w:val="13"/>
          <w:szCs w:val="13"/>
        </w:rPr>
        <w:t>Dodavatel neručí za vady vznikle nevhodným nebo neúnosným podkladem ci podložím.</w:t>
      </w:r>
    </w:p>
    <w:p w:rsidR="00A76DFA" w:rsidRDefault="005566C2">
      <w:pPr>
        <w:pStyle w:val="Zkladntext20"/>
        <w:spacing w:after="220"/>
        <w:rPr>
          <w:sz w:val="13"/>
          <w:szCs w:val="13"/>
        </w:rPr>
      </w:pPr>
      <w:r>
        <w:rPr>
          <w:rStyle w:val="Zkladntext2"/>
          <w:sz w:val="13"/>
          <w:szCs w:val="13"/>
        </w:rPr>
        <w:t>Akceptujete li naši renovou nabídku, očekáváme V</w:t>
      </w:r>
      <w:r>
        <w:rPr>
          <w:rStyle w:val="Zkladntext2"/>
          <w:sz w:val="13"/>
          <w:szCs w:val="13"/>
        </w:rPr>
        <w:t>aši objednávku min. 4 týdnů před požadovaným terminem provedeni.</w:t>
      </w:r>
    </w:p>
    <w:p w:rsidR="00A76DFA" w:rsidRDefault="005566C2">
      <w:pPr>
        <w:pStyle w:val="Zkladntext20"/>
        <w:spacing w:after="280"/>
        <w:rPr>
          <w:sz w:val="13"/>
          <w:szCs w:val="13"/>
        </w:rPr>
      </w:pPr>
      <w:r>
        <w:rPr>
          <w:rStyle w:val="Zkladntext2"/>
          <w:sz w:val="13"/>
          <w:szCs w:val="13"/>
        </w:rPr>
        <w:t>Platnost cenove nabídky je 30 kalendářních dni. Po uplynuti platnosti cenove nabídky si dodavatel vyhrazuje právo na novou kalkulaci</w:t>
      </w:r>
    </w:p>
    <w:p w:rsidR="00A76DFA" w:rsidRDefault="005566C2">
      <w:pPr>
        <w:pStyle w:val="Zkladntext30"/>
        <w:spacing w:after="280" w:line="240" w:lineRule="auto"/>
      </w:pPr>
      <w:r>
        <w:rPr>
          <w:rStyle w:val="Zkladntext3"/>
        </w:rPr>
        <w:t>Děkujeme a těšíme se na další spolupráci.</w:t>
      </w:r>
    </w:p>
    <w:p w:rsidR="00A76DFA" w:rsidRDefault="005566C2">
      <w:pPr>
        <w:pStyle w:val="Zkladntext30"/>
        <w:spacing w:after="1220" w:line="240" w:lineRule="auto"/>
      </w:pPr>
      <w:r>
        <w:rPr>
          <w:rStyle w:val="Zkladntext3"/>
        </w:rPr>
        <w:t>S pozdravem</w:t>
      </w:r>
    </w:p>
    <w:p w:rsidR="00A76DFA" w:rsidRDefault="005566C2">
      <w:pPr>
        <w:pStyle w:val="Zkladntext20"/>
        <w:spacing w:after="40"/>
        <w:rPr>
          <w:sz w:val="13"/>
          <w:szCs w:val="13"/>
        </w:rPr>
      </w:pPr>
      <w:r>
        <w:rPr>
          <w:rStyle w:val="Zkladntext2"/>
          <w:sz w:val="16"/>
          <w:szCs w:val="16"/>
        </w:rPr>
        <w:t xml:space="preserve">Správa a údržba silnic Kroměřižska, s.r.o. </w:t>
      </w:r>
      <w:r>
        <w:rPr>
          <w:rStyle w:val="Zkladntext2"/>
          <w:sz w:val="13"/>
          <w:szCs w:val="13"/>
        </w:rPr>
        <w:t xml:space="preserve">Kotojedy 56. </w:t>
      </w:r>
      <w:r>
        <w:rPr>
          <w:rStyle w:val="Zkladntext2"/>
          <w:i/>
          <w:iCs/>
          <w:sz w:val="13"/>
          <w:szCs w:val="13"/>
        </w:rPr>
        <w:t>Jbl</w:t>
      </w:r>
      <w:r>
        <w:rPr>
          <w:rStyle w:val="Zkladntext2"/>
          <w:sz w:val="13"/>
          <w:szCs w:val="13"/>
        </w:rPr>
        <w:t xml:space="preserve"> 01 Kroměříž l&lt; 26908298, DlC C/26908298 IDOS- px8)uzy tel. 5/3503 711. e</w:t>
      </w:r>
    </w:p>
    <w:p w:rsidR="005566C2" w:rsidRDefault="005566C2" w:rsidP="006E5F25">
      <w:pPr>
        <w:pStyle w:val="Zkladntext20"/>
        <w:spacing w:after="120"/>
      </w:pPr>
      <w:r>
        <w:rPr>
          <w:rStyle w:val="Zkladntext2"/>
        </w:rPr>
        <w:lastRenderedPageBreak/>
        <w:t>mail</w:t>
      </w:r>
    </w:p>
    <w:sectPr w:rsidR="005566C2">
      <w:headerReference w:type="default" r:id="rId12"/>
      <w:footerReference w:type="default" r:id="rId13"/>
      <w:pgSz w:w="11900" w:h="16840"/>
      <w:pgMar w:top="1472" w:right="848" w:bottom="1472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C2" w:rsidRDefault="005566C2">
      <w:r>
        <w:separator/>
      </w:r>
    </w:p>
  </w:endnote>
  <w:endnote w:type="continuationSeparator" w:id="0">
    <w:p w:rsidR="005566C2" w:rsidRDefault="0055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FA" w:rsidRDefault="005566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3641090</wp:posOffset>
              </wp:positionH>
              <wp:positionV relativeFrom="page">
                <wp:posOffset>10134600</wp:posOffset>
              </wp:positionV>
              <wp:extent cx="24701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6DFA" w:rsidRDefault="005566C2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5F25">
                            <w:rPr>
                              <w:rStyle w:val="Zhlavnebozpat2"/>
                              <w:rFonts w:ascii="Century Gothic" w:eastAsia="Century Gothic" w:hAnsi="Century Gothic" w:cs="Century Gothic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6.7pt;margin-top:798pt;width:19.4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vNlwEAACEDAAAOAAAAZHJzL2Uyb0RvYy54bWysUsFu2zAMvQ/YPwi6L7aDNguMOEGLokWB&#10;YRuQ7gMUWYoFWKIgKrHz96MUJynW29ALTZH04+MjV5vR9uyoAhpwDa9mJWfKSWiN2zf8z9vztyVn&#10;GIVrRQ9ONfykkG/WX7+sBl+rOXTQtyowAnFYD77hXYy+LgqUnbICZ+CVo6SGYEWkZ9gXbRADodu+&#10;mJflohggtD6AVIgUfTon+Trja61k/KU1qsj6hhO3mG3IdpdssV6Jeh+E74ycaIj/YGGFcdT0CvUk&#10;omCHYD5AWSMDIOg4k2AL0NpIlWegaaryn2m2nfAqz0LioL/KhJ8HK38efwdmWtodZ05YWlHuyqok&#10;zeCxpoqtp5o4PsKYyqY4UjBNPOpg05dmYZQnkU9XYdUYmaTg/O57Wd1zJilVlYvFMgtf3H72AeOL&#10;AsuS0/BAe8tyiuMPjNSQSi8lqZeDZ9P3KZ4YnpkkL467caK3g/ZErAdabcMd3R5n/asj5dIVXJxw&#10;cXaTk8DRPxwiNch9E+oZampGe8h0pptJi37/zlW3y17/BQAA//8DAFBLAwQUAAYACAAAACEAfrkQ&#10;ad8AAAANAQAADwAAAGRycy9kb3ducmV2LnhtbEyPQU/DMAyF70j8h8hI3Fi6jXWlNJ3QJC7c2BAS&#10;t6zxmorEqZqsa/895gQ32+/p+XvVbvJOjDjELpCC5SIDgdQE01Gr4OP4+lCAiEmT0S4QKpgxwq6+&#10;val0acKV3nE8pFZwCMVSK7Ap9aWUsbHodVyEHom1cxi8TrwOrTSDvnK4d3KVZbn0uiP+YHWPe4vN&#10;9+HiFWynz4B9xD1+ncdmsN1cuLdZqfu76eUZRMIp/ZnhF5/RoWamU7iQicIp2GzXj2xlYfOUcyu2&#10;5MvVGsSJTzwVIOtK/m9R/wAAAP//AwBQSwECLQAUAAYACAAAACEAtoM4kv4AAADhAQAAEwAAAAAA&#10;AAAAAAAAAAAAAAAAW0NvbnRlbnRfVHlwZXNdLnhtbFBLAQItABQABgAIAAAAIQA4/SH/1gAAAJQB&#10;AAALAAAAAAAAAAAAAAAAAC8BAABfcmVscy8ucmVsc1BLAQItABQABgAIAAAAIQC3b3vNlwEAACED&#10;AAAOAAAAAAAAAAAAAAAAAC4CAABkcnMvZTJvRG9jLnhtbFBLAQItABQABgAIAAAAIQB+uRBp3wAA&#10;AA0BAAAPAAAAAAAAAAAAAAAAAPEDAABkcnMvZG93bnJldi54bWxQSwUGAAAAAAQABADzAAAA/QQA&#10;AAAA&#10;" filled="f" stroked="f">
              <v:textbox style="mso-fit-shape-to-text:t" inset="0,0,0,0">
                <w:txbxContent>
                  <w:p w:rsidR="00A76DFA" w:rsidRDefault="005566C2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t>-</w:t>
                    </w: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fldChar w:fldCharType="separate"/>
                    </w:r>
                    <w:r w:rsidR="006E5F25">
                      <w:rPr>
                        <w:rStyle w:val="Zhlavnebozpat2"/>
                        <w:rFonts w:ascii="Century Gothic" w:eastAsia="Century Gothic" w:hAnsi="Century Gothic" w:cs="Century Gothic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FA" w:rsidRDefault="00A76DF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FA" w:rsidRDefault="00A76DF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FA" w:rsidRDefault="005566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10267950</wp:posOffset>
              </wp:positionV>
              <wp:extent cx="6803390" cy="12192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33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6DFA" w:rsidRDefault="005566C2">
                          <w:pPr>
                            <w:pStyle w:val="Zhlavnebozpat20"/>
                            <w:tabs>
                              <w:tab w:val="right" w:pos="10714"/>
                            </w:tabs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Zpracováno programem BUlLDpower S, © RTS,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separate"/>
                          </w:r>
                          <w:r w:rsidR="006E5F25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42.6pt;margin-top:808.5pt;width:535.7pt;height:9.6pt;z-index:-4404017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2TkAEAAB8DAAAOAAAAZHJzL2Uyb0RvYy54bWysUsFOwzAMvSPxD1HurF0RCKp1CIRASAiQ&#10;gA/I0mSN1MRRHNbu73GydSC4IS6pY7vP7z1ncTXanm1UQAOu4fNZyZlyElrj1g1/f7s7ueAMo3Ct&#10;6MGphm8V8qvl8dFi8LWqoIO+VYERiMN68A3vYvR1UaDslBU4A68cFTUEKyJdw7pogxgI3fZFVZbn&#10;xQCh9QGkQqTs7a7IlxlfayXjs9aoIusbTtxiPkM+V+kslgtRr4PwnZF7GuIPLKwwjoYeoG5FFOwj&#10;mF9Q1sgACDrOJNgCtDZSZQ2kZl7+UPPaCa+yFjIH/cEm/D9Y+bR5Ccy0Da/OOHPC0o7yWEZ3Mmfw&#10;WFPPq6euON7ASEue8kjJpHnUwaYvqWFUJ5u3B2vVGJmk5PlFeXp6SSVJtXk1v6yy98XX3z5gvFdg&#10;WQoaHmh12VGxecRITKh1aknDHNyZvk/5RHFHJUVxXI07PRPNFbRbYt8/OPItvYEpCFOw2gcJF/31&#10;RyTsPDIB7n7fz6EtZCb7F5PW/P2eu77e9fITAAD//wMAUEsDBBQABgAIAAAAIQAZ0WLm3gAAAA0B&#10;AAAPAAAAZHJzL2Rvd25yZXYueG1sTI89T8MwEIZ3JP6DdUgsqHUcVNOGOBVCsLBRWNjc+Egi7HMU&#10;u0nor8eZ6HjvPXo/yv3sLBtxCJ0nBWKdAUOqvemoUfD58braAgtRk9HWEyr4xQD76vqq1IXxE73j&#10;eIgNSyYUCq2gjbEvOA91i06Hte+R0u/bD07HdA4NN4OekrmzPM8yyZ3uKCW0usfnFuufw8kpkPNL&#10;f/e2w3w613akr7MQEYVStzfz0yOwiHP8h2Gpn6pDlTod/YlMYFbBdpMnMulSPKRRCyE2UgI7Ltq9&#10;zIFXJb9cUf0BAAD//wMAUEsBAi0AFAAGAAgAAAAhALaDOJL+AAAA4QEAABMAAAAAAAAAAAAAAAAA&#10;AAAAAFtDb250ZW50X1R5cGVzXS54bWxQSwECLQAUAAYACAAAACEAOP0h/9YAAACUAQAACwAAAAAA&#10;AAAAAAAAAAAvAQAAX3JlbHMvLnJlbHNQSwECLQAUAAYACAAAACEAkpt9k5ABAAAfAwAADgAAAAAA&#10;AAAAAAAAAAAuAgAAZHJzL2Uyb0RvYy54bWxQSwECLQAUAAYACAAAACEAGdFi5t4AAAANAQAADwAA&#10;AAAAAAAAAAAAAADqAwAAZHJzL2Rvd25yZXYueG1sUEsFBgAAAAAEAAQA8wAAAPUEAAAAAA==&#10;" filled="f" stroked="f">
              <v:textbox style="mso-fit-shape-to-text:t" inset="0,0,0,0">
                <w:txbxContent>
                  <w:p w:rsidR="00A76DFA" w:rsidRDefault="005566C2">
                    <w:pPr>
                      <w:pStyle w:val="Zhlavnebozpat20"/>
                      <w:tabs>
                        <w:tab w:val="right" w:pos="10714"/>
                      </w:tabs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Zpracováno programem BUlLDpower S, © RTS, a.s.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ab/>
                      <w:t xml:space="preserve">Stránka 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separate"/>
                    </w:r>
                    <w:r w:rsidR="006E5F25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9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C2" w:rsidRDefault="005566C2"/>
  </w:footnote>
  <w:footnote w:type="continuationSeparator" w:id="0">
    <w:p w:rsidR="005566C2" w:rsidRDefault="005566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FA" w:rsidRDefault="005566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3067685</wp:posOffset>
              </wp:positionH>
              <wp:positionV relativeFrom="page">
                <wp:posOffset>785495</wp:posOffset>
              </wp:positionV>
              <wp:extent cx="1423670" cy="14922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67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6DFA" w:rsidRDefault="00A76DFA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241.55pt;margin-top:61.85pt;width:112.1pt;height:11.75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yslwEAACsDAAAOAAAAZHJzL2Uyb0RvYy54bWysUttOwzAMfUfiH6K8s27lXq1DIARCQoA0&#10;+IAsTdZITRzF2dr9PU52AcEb4iVxbOf4HNvTm8F2bK0CGnA1n4zGnCknoTFuWfOP94eTK84wCteI&#10;Dpyq+UYhv5kdH017X6kSWugaFRiBOKx6X/M2Rl8VBcpWWYEj8MpRUEOwItIzLIsmiJ7QbVeU4/FF&#10;0UNofACpEMl7vw3yWcbXWsn4qjWqyLqaE7eYz5DPRTqL2VRUyyB8a+SOhvgDCyuMo6IHqHsRBVsF&#10;8wvKGhkAQceRBFuA1kaqrIHUTMY/1Mxb4VXWQs1Bf2gT/h+sfFm/BWaampennDlhaUa5LKM3Naf3&#10;WFHO3FNWHO5goCHv/UjOpHnQwaab1DCKU5s3h9aqITKZPp2VpxeXFJIUm5xdl+V5gim+fvuA8VGB&#10;ZcmoeaDR5Y6K9TPGbeo+JRVz8GC6LvkTxS2VZMVhMWQ9B5oLaDbEvqch19zRFnLWPTnqYdqHvRH2&#10;xmJnpBrob1eR6uTyCXwLtatJE8kCdtuTRv79nbO+dnz2CQAA//8DAFBLAwQUAAYACAAAACEAHxTx&#10;id0AAAALAQAADwAAAGRycy9kb3ducmV2LnhtbEyPy07DMBBF90j8gzVI7KjTpMJRiFOhSmzYURAS&#10;OzeexhF+RLabJn/PsILlzD26c6bdL86yGWMag5ew3RTA0PdBj36Q8PH+8lADS1l5rWzwKGHFBPvu&#10;9qZVjQ5X/4bzMQ+MSnxqlAST89RwnnqDTqVNmNBTdg7RqUxjHLiO6krlzvKyKB65U6OnC0ZNeDDY&#10;fx8vToJYPgNOCQ/4dZ77aMa1tq+rlPd3y/MTsIxL/oPhV5/UoSOnU7h4nZiVsKurLaEUlJUARoQo&#10;RAXsRJudKIF3Lf//Q/cDAAD//wMAUEsBAi0AFAAGAAgAAAAhALaDOJL+AAAA4QEAABMAAAAAAAAA&#10;AAAAAAAAAAAAAFtDb250ZW50X1R5cGVzXS54bWxQSwECLQAUAAYACAAAACEAOP0h/9YAAACUAQAA&#10;CwAAAAAAAAAAAAAAAAAvAQAAX3JlbHMvLnJlbHNQSwECLQAUAAYACAAAACEA2LZ8rJcBAAArAwAA&#10;DgAAAAAAAAAAAAAAAAAuAgAAZHJzL2Uyb0RvYy54bWxQSwECLQAUAAYACAAAACEAHxTxid0AAAAL&#10;AQAADwAAAAAAAAAAAAAAAADxAwAAZHJzL2Rvd25yZXYueG1sUEsFBgAAAAAEAAQA8wAAAPsEAAAA&#10;AA==&#10;" filled="f" stroked="f">
              <v:textbox style="mso-fit-shape-to-text:t" inset="0,0,0,0">
                <w:txbxContent>
                  <w:p w:rsidR="00A76DFA" w:rsidRDefault="00A76DFA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E8C"/>
    <w:multiLevelType w:val="multilevel"/>
    <w:tmpl w:val="83EED9C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36683"/>
    <w:multiLevelType w:val="multilevel"/>
    <w:tmpl w:val="EFA41F20"/>
    <w:lvl w:ilvl="0">
      <w:start w:val="1"/>
      <w:numFmt w:val="lowerLetter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41A18"/>
    <w:multiLevelType w:val="multilevel"/>
    <w:tmpl w:val="86225100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C012A"/>
    <w:multiLevelType w:val="multilevel"/>
    <w:tmpl w:val="C73CD2F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00E4B"/>
    <w:multiLevelType w:val="multilevel"/>
    <w:tmpl w:val="1C647C24"/>
    <w:lvl w:ilvl="0">
      <w:start w:val="1"/>
      <w:numFmt w:val="lowerLetter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A24B7"/>
    <w:multiLevelType w:val="multilevel"/>
    <w:tmpl w:val="60C4C05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616B5"/>
    <w:multiLevelType w:val="multilevel"/>
    <w:tmpl w:val="9886DB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FD4967"/>
    <w:multiLevelType w:val="multilevel"/>
    <w:tmpl w:val="717AC8D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8246A1"/>
    <w:multiLevelType w:val="multilevel"/>
    <w:tmpl w:val="BA9469B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A63611"/>
    <w:multiLevelType w:val="multilevel"/>
    <w:tmpl w:val="EFD8D2E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A24A08"/>
    <w:multiLevelType w:val="multilevel"/>
    <w:tmpl w:val="D80620C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467276"/>
    <w:multiLevelType w:val="multilevel"/>
    <w:tmpl w:val="B8620898"/>
    <w:lvl w:ilvl="0">
      <w:start w:val="1"/>
      <w:numFmt w:val="lowerLetter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01C51"/>
    <w:multiLevelType w:val="multilevel"/>
    <w:tmpl w:val="18968EB4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5E1C02"/>
    <w:multiLevelType w:val="multilevel"/>
    <w:tmpl w:val="5D88A47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492F62"/>
    <w:multiLevelType w:val="multilevel"/>
    <w:tmpl w:val="02F0239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4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FA"/>
    <w:rsid w:val="005566C2"/>
    <w:rsid w:val="006E5F25"/>
    <w:rsid w:val="00A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593FC7-2C77-4CE6-8F17-4B5E5D3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Century Gothic" w:eastAsia="Century Gothic" w:hAnsi="Century Gothic" w:cs="Century Gothic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pacing w:line="252" w:lineRule="auto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80" w:line="276" w:lineRule="auto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6E5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F2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E5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F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suskm@susk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2082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S25C-0i25080109070</vt:lpstr>
    </vt:vector>
  </TitlesOfParts>
  <Company/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S25C-0i25080109070</dc:title>
  <dc:subject/>
  <dc:creator>Kolaja</dc:creator>
  <cp:keywords/>
  <cp:lastModifiedBy>Ondřej Šabata</cp:lastModifiedBy>
  <cp:revision>2</cp:revision>
  <dcterms:created xsi:type="dcterms:W3CDTF">2025-09-26T11:56:00Z</dcterms:created>
  <dcterms:modified xsi:type="dcterms:W3CDTF">2025-09-26T11:58:00Z</dcterms:modified>
</cp:coreProperties>
</file>