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E6CF8AD" w14:textId="77777777" w:rsidR="0026626B" w:rsidRPr="00726B26" w:rsidRDefault="0026626B" w:rsidP="0026626B">
      <w:pPr>
        <w:rPr>
          <w:b/>
        </w:rPr>
      </w:pPr>
      <w:r>
        <w:rPr>
          <w:b/>
        </w:rPr>
        <w:t>BTL zdravotnická technika, a.s.</w:t>
      </w:r>
    </w:p>
    <w:p w14:paraId="258CE030" w14:textId="77777777" w:rsidR="0026626B" w:rsidRDefault="0026626B" w:rsidP="0026626B">
      <w:r>
        <w:t>IČ: 26884143</w:t>
      </w:r>
    </w:p>
    <w:p w14:paraId="28815506" w14:textId="77777777" w:rsidR="0026626B" w:rsidRPr="00512AB9" w:rsidRDefault="0026626B" w:rsidP="0026626B">
      <w:r>
        <w:t>DIČ: CZ26884143</w:t>
      </w:r>
    </w:p>
    <w:p w14:paraId="04A79AE1" w14:textId="77777777" w:rsidR="0026626B" w:rsidRPr="00512AB9" w:rsidRDefault="0026626B" w:rsidP="0026626B">
      <w:r>
        <w:t>se sídlem</w:t>
      </w:r>
      <w:r w:rsidRPr="00512AB9">
        <w:t xml:space="preserve">:  </w:t>
      </w:r>
      <w:r>
        <w:t>Makovského nám. 3147/2, 616 00 Brno</w:t>
      </w:r>
    </w:p>
    <w:p w14:paraId="2CED5918" w14:textId="77777777" w:rsidR="0026626B" w:rsidRPr="00512AB9" w:rsidRDefault="0026626B" w:rsidP="0026626B">
      <w:r>
        <w:t>zastoupena</w:t>
      </w:r>
      <w:r w:rsidRPr="00512AB9">
        <w:t xml:space="preserve">: </w:t>
      </w:r>
      <w:r>
        <w:t>Ing. Radovanem Sedlářem, prokuristou</w:t>
      </w:r>
    </w:p>
    <w:p w14:paraId="287FBFC4" w14:textId="77777777" w:rsidR="0026626B" w:rsidRPr="00512AB9" w:rsidRDefault="0026626B" w:rsidP="0026626B">
      <w:r w:rsidRPr="00512AB9">
        <w:t xml:space="preserve">bankovní spojení: </w:t>
      </w:r>
      <w:r>
        <w:t>ČSOB, a.s.</w:t>
      </w:r>
    </w:p>
    <w:p w14:paraId="47EC9812" w14:textId="77777777" w:rsidR="0026626B" w:rsidRPr="00512AB9" w:rsidRDefault="0026626B" w:rsidP="0026626B">
      <w:r w:rsidRPr="00512AB9">
        <w:t xml:space="preserve">číslo účtu: </w:t>
      </w:r>
      <w:r w:rsidRPr="00F64593">
        <w:t>478546723/0300</w:t>
      </w:r>
    </w:p>
    <w:p w14:paraId="5A92CA85" w14:textId="77777777" w:rsidR="0026626B" w:rsidRPr="00512AB9" w:rsidRDefault="0026626B" w:rsidP="0026626B">
      <w:r>
        <w:t>z</w:t>
      </w:r>
      <w:r w:rsidRPr="00512AB9">
        <w:t>apsán</w:t>
      </w:r>
      <w:r>
        <w:t>a</w:t>
      </w:r>
      <w:r w:rsidRPr="00512AB9">
        <w:t xml:space="preserve"> v obchodním rejstříku vedeném</w:t>
      </w:r>
      <w:r>
        <w:t xml:space="preserve"> Krajským </w:t>
      </w:r>
      <w:r w:rsidRPr="00652864">
        <w:t>soudem v </w:t>
      </w:r>
      <w:r>
        <w:t>Brně</w:t>
      </w:r>
      <w:r w:rsidRPr="00652864">
        <w:t xml:space="preserve">, oddíl </w:t>
      </w:r>
      <w:r w:rsidRPr="00F64593">
        <w:t>B,</w:t>
      </w:r>
      <w:r w:rsidRPr="00652864">
        <w:t xml:space="preserve"> vložka</w:t>
      </w:r>
      <w:r>
        <w:t xml:space="preserve"> 3889</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E71D7B8" w14:textId="123D25AE" w:rsidR="00A30012" w:rsidRPr="00AC54D8" w:rsidRDefault="00095C75" w:rsidP="00A30012">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A30012">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A30012">
        <w:t>Přístroje pro mobilizaci končetin III“,</w:t>
      </w:r>
      <w:r>
        <w:t>(dále jen „</w:t>
      </w:r>
      <w:r w:rsidRPr="00A30012">
        <w:rPr>
          <w:b/>
        </w:rPr>
        <w:t>Zadávací dokumentace</w:t>
      </w:r>
      <w:r>
        <w:t>“).</w:t>
      </w:r>
      <w:r w:rsidR="00CC6A8F" w:rsidRPr="00CC6A8F">
        <w:t xml:space="preserve"> </w:t>
      </w:r>
      <w:r w:rsidR="00A30012">
        <w:t>Plnění této smlouvy bude financováno</w:t>
      </w:r>
      <w:r w:rsidR="00A30012" w:rsidRPr="008C2D96">
        <w:t xml:space="preserve"> z projektu s</w:t>
      </w:r>
      <w:r w:rsidR="00A30012">
        <w:t> </w:t>
      </w:r>
      <w:r w:rsidR="00A30012" w:rsidRPr="008C2D96">
        <w:t>názvem</w:t>
      </w:r>
      <w:r w:rsidR="00A30012">
        <w:t xml:space="preserve"> </w:t>
      </w:r>
      <w:r w:rsidR="00A30012" w:rsidRPr="00AC54D8">
        <w:t>„</w:t>
      </w:r>
      <w:r w:rsidR="00A30012" w:rsidRPr="00BC3C36">
        <w:rPr>
          <w:shd w:val="clear" w:color="auto" w:fill="FFFFFF"/>
        </w:rPr>
        <w:t>Zvýšení kvality a dostupnosti léčebně rehabilitační péče o pacienty s popáleninami ve FN Brno</w:t>
      </w:r>
      <w:r w:rsidR="00A30012" w:rsidRPr="00BC3C36">
        <w:rPr>
          <w:rStyle w:val="normaltextrun"/>
          <w:color w:val="000000"/>
          <w:bdr w:val="none" w:sz="0" w:space="0" w:color="auto" w:frame="1"/>
        </w:rPr>
        <w:t xml:space="preserve">“ </w:t>
      </w:r>
      <w:r w:rsidR="00A30012" w:rsidRPr="00AC54D8">
        <w:t xml:space="preserve">registrační číslo projektu </w:t>
      </w:r>
      <w:r w:rsidR="00A30012" w:rsidRPr="00BC3C36">
        <w:rPr>
          <w:shd w:val="clear" w:color="auto" w:fill="FFFFFF"/>
        </w:rPr>
        <w:t>CZ.31.7.0/0.0/0.0/24_137/0010694</w:t>
      </w:r>
      <w:r w:rsidR="00A30012">
        <w:rPr>
          <w:shd w:val="clear" w:color="auto" w:fill="FFFFFF"/>
        </w:rPr>
        <w:t xml:space="preserve"> </w:t>
      </w:r>
      <w:r w:rsidR="00A30012" w:rsidRPr="00AC54D8">
        <w:t>(dále a výše jen „</w:t>
      </w:r>
      <w:r w:rsidR="00A30012" w:rsidRPr="00A30012">
        <w:rPr>
          <w:b/>
        </w:rPr>
        <w:t>Projekt</w:t>
      </w:r>
      <w:r w:rsidR="00A30012" w:rsidRPr="00AC54D8">
        <w:t>“ a „</w:t>
      </w:r>
      <w:r w:rsidR="00A30012" w:rsidRPr="00A30012">
        <w:rPr>
          <w:b/>
        </w:rPr>
        <w:t>Číslo Projektu</w:t>
      </w:r>
      <w:r w:rsidR="00A30012" w:rsidRPr="00AC54D8">
        <w:t>“), který je financován Evropskou unií z „Nástroje pro oživení a odolnost prostřednictvím Národního plánu obnovy ČR“.</w:t>
      </w:r>
    </w:p>
    <w:p w14:paraId="2D8C845B" w14:textId="4B88EC5E" w:rsidR="00271FDF" w:rsidRDefault="00271FDF" w:rsidP="00E426BB">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BB3871">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lastRenderedPageBreak/>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1167977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6626B">
        <w:t>2</w:t>
      </w:r>
      <w:r w:rsidR="0026626B" w:rsidRPr="00D859C2">
        <w:t>ks</w:t>
      </w:r>
      <w:r w:rsidR="0026626B">
        <w:t xml:space="preserve"> Kolenní motodlahy s kotníkovým modulem</w:t>
      </w:r>
      <w:r w:rsidR="0026626B" w:rsidRPr="00D859C2">
        <w:rPr>
          <w:b/>
        </w:rPr>
        <w:t>, typ:</w:t>
      </w:r>
      <w:r w:rsidR="0026626B">
        <w:rPr>
          <w:b/>
        </w:rPr>
        <w:t xml:space="preserve"> BTL-CPMotion K ELITE</w:t>
      </w:r>
      <w:r w:rsidR="0026626B" w:rsidRPr="00D859C2">
        <w:rPr>
          <w:b/>
        </w:rPr>
        <w:t>, výrobce</w:t>
      </w:r>
      <w:r w:rsidR="0026626B">
        <w:rPr>
          <w:b/>
        </w:rPr>
        <w:t>: BTL Industries Ltd.</w:t>
      </w:r>
      <w:r w:rsidR="0026626B"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40E698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A30012">
        <w:rPr>
          <w:b/>
        </w:rPr>
        <w:t xml:space="preserve"> </w:t>
      </w:r>
      <w:r w:rsidR="00A30012" w:rsidRPr="00A30012">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78C895F" w:rsidR="00BE2371" w:rsidRPr="00D859C2" w:rsidRDefault="003F7B02" w:rsidP="00D859C2">
      <w:pPr>
        <w:pStyle w:val="Odstavecsmlouvy"/>
      </w:pPr>
      <w:r w:rsidRPr="00D859C2">
        <w:t xml:space="preserve">Místem dodání Zboží </w:t>
      </w:r>
      <w:r w:rsidR="00A30012">
        <w:t xml:space="preserve">je </w:t>
      </w:r>
      <w:r w:rsidR="00A30012">
        <w:rPr>
          <w:rStyle w:val="normaltextrun"/>
          <w:color w:val="000000"/>
          <w:shd w:val="clear" w:color="auto" w:fill="FFFFFF"/>
        </w:rPr>
        <w:t>Klinika popálenin a plastické chirurgie, Fakultní nemocnice Brno, Jihlavská 20, 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54BA60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r w:rsidR="00A97FF8">
        <w:t>xxx</w:t>
      </w:r>
      <w:r w:rsidR="00A30012">
        <w:t xml:space="preserve"> </w:t>
      </w:r>
      <w:r w:rsidR="00DE3A3F">
        <w:t xml:space="preserve">tel.: </w:t>
      </w:r>
      <w:r w:rsidR="00A97FF8">
        <w:t>xxx</w:t>
      </w:r>
      <w:r w:rsidR="00A30012">
        <w:t xml:space="preserve"> </w:t>
      </w:r>
      <w:r w:rsidR="00DE3A3F" w:rsidRPr="00A30012">
        <w:t>a</w:t>
      </w:r>
      <w:r w:rsidR="00DE3A3F">
        <w:t xml:space="preserve"> písemně na e-mail</w:t>
      </w:r>
      <w:r w:rsidR="00DE3A3F" w:rsidRPr="00A30012">
        <w:t xml:space="preserve">: </w:t>
      </w:r>
      <w:r w:rsidR="00A97FF8">
        <w:t>xxx</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 xml:space="preserve">263/2016 Sb., atomový zákon, ve znění pozdějších předpisů, včetně prováděcích předpisů tohoto zákona, zejména vyhlášky č. 422/2016 Sb., o </w:t>
      </w:r>
      <w:r w:rsidR="003E4543">
        <w:lastRenderedPageBreak/>
        <w:t>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9"/>
        <w:gridCol w:w="3784"/>
      </w:tblGrid>
      <w:tr w:rsidR="0026626B" w:rsidRPr="005B49AA" w14:paraId="6B619276" w14:textId="77777777" w:rsidTr="0026626B">
        <w:tc>
          <w:tcPr>
            <w:tcW w:w="4700" w:type="dxa"/>
          </w:tcPr>
          <w:p w14:paraId="77C2CFA8" w14:textId="2597F31F" w:rsidR="0026626B" w:rsidRPr="005B49AA" w:rsidRDefault="0026626B" w:rsidP="00D859C2">
            <w:pPr>
              <w:pStyle w:val="Zkladntext3"/>
              <w:rPr>
                <w:b/>
                <w:sz w:val="22"/>
                <w:szCs w:val="22"/>
              </w:rPr>
            </w:pPr>
            <w:r w:rsidRPr="005B49AA">
              <w:rPr>
                <w:b/>
                <w:sz w:val="22"/>
                <w:szCs w:val="22"/>
              </w:rPr>
              <w:t>Kupní cena bez DPH:</w:t>
            </w:r>
          </w:p>
        </w:tc>
        <w:tc>
          <w:tcPr>
            <w:tcW w:w="3879" w:type="dxa"/>
          </w:tcPr>
          <w:p w14:paraId="07A54C02" w14:textId="06C195BB" w:rsidR="0026626B" w:rsidRPr="005B49AA" w:rsidRDefault="0026626B" w:rsidP="000E79CE">
            <w:pPr>
              <w:pStyle w:val="Zkladntext3"/>
              <w:rPr>
                <w:b/>
                <w:sz w:val="22"/>
                <w:szCs w:val="22"/>
              </w:rPr>
            </w:pPr>
            <w:r>
              <w:rPr>
                <w:b/>
                <w:sz w:val="22"/>
                <w:szCs w:val="22"/>
              </w:rPr>
              <w:t>467 000</w:t>
            </w:r>
            <w:r w:rsidRPr="005B49AA">
              <w:rPr>
                <w:b/>
                <w:sz w:val="22"/>
                <w:szCs w:val="22"/>
              </w:rPr>
              <w:t xml:space="preserve"> Kč</w:t>
            </w:r>
          </w:p>
        </w:tc>
      </w:tr>
      <w:tr w:rsidR="0026626B" w:rsidRPr="005B49AA" w14:paraId="33392E42" w14:textId="77777777" w:rsidTr="0026626B">
        <w:tc>
          <w:tcPr>
            <w:tcW w:w="4700" w:type="dxa"/>
          </w:tcPr>
          <w:p w14:paraId="193C9961" w14:textId="687C5E64" w:rsidR="0026626B" w:rsidRPr="005B49AA" w:rsidRDefault="0026626B" w:rsidP="000E79CE">
            <w:pPr>
              <w:pStyle w:val="Zkladntext3"/>
              <w:rPr>
                <w:b/>
                <w:sz w:val="22"/>
                <w:szCs w:val="22"/>
              </w:rPr>
            </w:pPr>
            <w:r w:rsidRPr="005B49AA">
              <w:rPr>
                <w:b/>
                <w:sz w:val="22"/>
                <w:szCs w:val="22"/>
              </w:rPr>
              <w:t xml:space="preserve">DPH </w:t>
            </w:r>
            <w:r>
              <w:rPr>
                <w:b/>
                <w:sz w:val="22"/>
                <w:szCs w:val="22"/>
              </w:rPr>
              <w:t>21</w:t>
            </w:r>
            <w:r w:rsidRPr="005B49AA">
              <w:rPr>
                <w:b/>
                <w:sz w:val="22"/>
                <w:szCs w:val="22"/>
              </w:rPr>
              <w:t>%:</w:t>
            </w:r>
          </w:p>
        </w:tc>
        <w:tc>
          <w:tcPr>
            <w:tcW w:w="3879" w:type="dxa"/>
          </w:tcPr>
          <w:p w14:paraId="44D4CFEA" w14:textId="17A2F9E2" w:rsidR="0026626B" w:rsidRPr="005B49AA" w:rsidRDefault="0026626B" w:rsidP="000E79CE">
            <w:pPr>
              <w:pStyle w:val="Zkladntext3"/>
              <w:rPr>
                <w:b/>
                <w:sz w:val="22"/>
                <w:szCs w:val="22"/>
              </w:rPr>
            </w:pPr>
            <w:r>
              <w:rPr>
                <w:b/>
                <w:sz w:val="22"/>
                <w:szCs w:val="22"/>
              </w:rPr>
              <w:t xml:space="preserve">  98 070 </w:t>
            </w:r>
            <w:r w:rsidRPr="005B49AA">
              <w:rPr>
                <w:b/>
                <w:sz w:val="22"/>
                <w:szCs w:val="22"/>
              </w:rPr>
              <w:t>Kč</w:t>
            </w:r>
          </w:p>
        </w:tc>
      </w:tr>
      <w:tr w:rsidR="0026626B" w:rsidRPr="005B49AA" w14:paraId="0DBFF53F" w14:textId="77777777" w:rsidTr="0026626B">
        <w:tc>
          <w:tcPr>
            <w:tcW w:w="4700" w:type="dxa"/>
          </w:tcPr>
          <w:p w14:paraId="33B0632F" w14:textId="0FF32430" w:rsidR="0026626B" w:rsidRPr="005B49AA" w:rsidRDefault="0026626B" w:rsidP="000E79CE">
            <w:pPr>
              <w:pStyle w:val="Zkladntext3"/>
              <w:rPr>
                <w:b/>
                <w:sz w:val="22"/>
                <w:szCs w:val="22"/>
              </w:rPr>
            </w:pPr>
            <w:r w:rsidRPr="005B49AA">
              <w:rPr>
                <w:b/>
                <w:sz w:val="22"/>
                <w:szCs w:val="22"/>
              </w:rPr>
              <w:t>Kupní cena včetně DPH:</w:t>
            </w:r>
          </w:p>
        </w:tc>
        <w:tc>
          <w:tcPr>
            <w:tcW w:w="3879" w:type="dxa"/>
          </w:tcPr>
          <w:p w14:paraId="10D9C750" w14:textId="4721ED2C" w:rsidR="0026626B" w:rsidRPr="005B49AA" w:rsidRDefault="0026626B" w:rsidP="000E79CE">
            <w:pPr>
              <w:pStyle w:val="Zkladntext3"/>
              <w:rPr>
                <w:b/>
                <w:sz w:val="22"/>
                <w:szCs w:val="22"/>
              </w:rPr>
            </w:pPr>
            <w:r>
              <w:rPr>
                <w:b/>
                <w:sz w:val="22"/>
                <w:szCs w:val="22"/>
              </w:rPr>
              <w:t>565 070</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w:t>
      </w:r>
      <w:r>
        <w:lastRenderedPageBreak/>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 xml:space="preserve">adávací dokumentací, právními předpisy, technickými </w:t>
      </w:r>
      <w:r w:rsidRPr="000A3995">
        <w:lastRenderedPageBreak/>
        <w:t>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p w14:paraId="2B4EE340" w14:textId="77777777" w:rsidR="00346D7A" w:rsidRDefault="00346D7A" w:rsidP="00346D7A">
      <w:pPr>
        <w:pStyle w:val="Odstavecsmlouvy"/>
        <w:numPr>
          <w:ilvl w:val="0"/>
          <w:numId w:val="0"/>
        </w:numPr>
      </w:pPr>
    </w:p>
    <w:p w14:paraId="5F684FD9" w14:textId="77777777" w:rsidR="00346D7A" w:rsidRDefault="00346D7A" w:rsidP="00346D7A">
      <w:pPr>
        <w:pStyle w:val="Odstavecsmlouvy"/>
        <w:numPr>
          <w:ilvl w:val="0"/>
          <w:numId w:val="0"/>
        </w:numPr>
      </w:pPr>
    </w:p>
    <w:p w14:paraId="1715F3E3" w14:textId="77777777" w:rsidR="00346D7A" w:rsidRDefault="00346D7A" w:rsidP="00346D7A">
      <w:pPr>
        <w:pStyle w:val="Odstavecsmlouvy"/>
        <w:numPr>
          <w:ilvl w:val="0"/>
          <w:numId w:val="0"/>
        </w:numPr>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BB3871">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BB3871">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BB3871">
        <w:t>VIII.2</w:t>
      </w:r>
      <w:r>
        <w:fldChar w:fldCharType="end"/>
      </w:r>
      <w:r>
        <w:t xml:space="preserve"> ani </w:t>
      </w:r>
      <w:r>
        <w:fldChar w:fldCharType="begin"/>
      </w:r>
      <w:r>
        <w:instrText xml:space="preserve"> REF _Ref171692445 \r \h </w:instrText>
      </w:r>
      <w:r>
        <w:fldChar w:fldCharType="separate"/>
      </w:r>
      <w:r w:rsidR="00BB3871">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BB3871">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BB3871">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BB3871">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w:t>
      </w:r>
      <w:r>
        <w:lastRenderedPageBreak/>
        <w:t>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BB3871">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lastRenderedPageBreak/>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12AEDCA" w:rsidR="00327588" w:rsidRPr="00D859C2" w:rsidRDefault="00497922" w:rsidP="00094B12">
      <w:pPr>
        <w:pStyle w:val="Odstavecsmlouvy"/>
        <w:rPr>
          <w:snapToGrid w:val="0"/>
        </w:rPr>
      </w:pPr>
      <w:r>
        <w:rPr>
          <w:snapToGrid w:val="0"/>
        </w:rPr>
        <w:t xml:space="preserve">Tato smlouva je sepsána ve </w:t>
      </w:r>
      <w:r w:rsidR="00A30012">
        <w:rPr>
          <w:snapToGrid w:val="0"/>
        </w:rPr>
        <w:t>dvou</w:t>
      </w:r>
      <w:r>
        <w:rPr>
          <w:snapToGrid w:val="0"/>
        </w:rPr>
        <w:t xml:space="preserve"> vyhotoveních stejné platnosti a závaznosti, přičemž Prodávající obdrží jedno vyhotovení a Kupující obdrží </w:t>
      </w:r>
      <w:r w:rsidR="00A30012">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Default="00D071E8" w:rsidP="00094B12">
      <w:pPr>
        <w:pStyle w:val="Odstavecsmlouvy"/>
      </w:pPr>
      <w:r w:rsidRPr="00D859C2">
        <w:t>Smluvní strany prohlašují, že se důkladně seznámily s obsahem této smlouvy, kterému zcela rozumí a plně vyjadřuje jejich svobodnou a vážnou vůli</w:t>
      </w:r>
    </w:p>
    <w:p w14:paraId="6E1FEDF5" w14:textId="77777777" w:rsidR="0026626B" w:rsidRPr="00D859C2" w:rsidRDefault="0026626B" w:rsidP="0026626B">
      <w:pPr>
        <w:pStyle w:val="Odstavecsmlouvy"/>
        <w:numPr>
          <w:ilvl w:val="0"/>
          <w:numId w:val="0"/>
        </w:numPr>
        <w:ind w:left="567"/>
      </w:pP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5"/>
        <w:gridCol w:w="999"/>
        <w:gridCol w:w="3791"/>
      </w:tblGrid>
      <w:tr w:rsidR="00094B12" w:rsidRPr="00D722DC" w14:paraId="3036FF83" w14:textId="77777777" w:rsidTr="00160D16">
        <w:tc>
          <w:tcPr>
            <w:tcW w:w="3802" w:type="dxa"/>
          </w:tcPr>
          <w:p w14:paraId="69B3B101" w14:textId="228CBB6A" w:rsidR="00094B12" w:rsidRPr="00D722DC" w:rsidRDefault="0026626B" w:rsidP="000E79CE">
            <w:pPr>
              <w:pStyle w:val="slovn"/>
              <w:numPr>
                <w:ilvl w:val="0"/>
                <w:numId w:val="0"/>
              </w:numPr>
              <w:tabs>
                <w:tab w:val="num" w:pos="567"/>
              </w:tabs>
              <w:spacing w:after="0" w:line="280" w:lineRule="atLeast"/>
              <w:jc w:val="left"/>
              <w:rPr>
                <w:sz w:val="22"/>
                <w:szCs w:val="22"/>
              </w:rPr>
            </w:pPr>
            <w:r w:rsidRPr="00D722DC">
              <w:rPr>
                <w:sz w:val="22"/>
                <w:szCs w:val="22"/>
              </w:rPr>
              <w:t>V </w:t>
            </w:r>
            <w:r>
              <w:rPr>
                <w:sz w:val="22"/>
                <w:szCs w:val="22"/>
              </w:rPr>
              <w:t>Praze</w:t>
            </w:r>
            <w:r w:rsidRPr="001150C5">
              <w:rPr>
                <w:sz w:val="22"/>
                <w:szCs w:val="22"/>
              </w:rPr>
              <w:t xml:space="preserve"> dne</w:t>
            </w:r>
            <w:r>
              <w:rPr>
                <w:sz w:val="22"/>
                <w:szCs w:val="22"/>
              </w:rPr>
              <w:t xml:space="preserve"> </w:t>
            </w:r>
            <w:r w:rsidR="00A97FF8">
              <w:rPr>
                <w:sz w:val="22"/>
                <w:szCs w:val="22"/>
              </w:rPr>
              <w:t>22</w:t>
            </w:r>
            <w:r>
              <w:rPr>
                <w:sz w:val="22"/>
                <w:szCs w:val="22"/>
              </w:rPr>
              <w:t xml:space="preserve">. </w:t>
            </w:r>
            <w:r w:rsidR="00A97FF8">
              <w:rPr>
                <w:sz w:val="22"/>
                <w:szCs w:val="22"/>
              </w:rPr>
              <w:t>9</w:t>
            </w:r>
            <w:r>
              <w:rPr>
                <w:sz w:val="22"/>
                <w:szCs w:val="22"/>
              </w:rPr>
              <w:t>.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0C43ECEB"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A97FF8">
              <w:rPr>
                <w:sz w:val="22"/>
                <w:szCs w:val="22"/>
              </w:rPr>
              <w:t xml:space="preserve"> 25. 9. 2025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0C4F5138" w14:textId="77777777" w:rsidR="00346D7A" w:rsidRDefault="00346D7A"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1BB05C7F" w14:textId="77777777" w:rsidR="0026626B" w:rsidRPr="001150C5" w:rsidRDefault="0026626B" w:rsidP="0026626B">
            <w:pPr>
              <w:pStyle w:val="slovn"/>
              <w:numPr>
                <w:ilvl w:val="0"/>
                <w:numId w:val="0"/>
              </w:numPr>
              <w:tabs>
                <w:tab w:val="num" w:pos="567"/>
              </w:tabs>
              <w:spacing w:after="0" w:line="280" w:lineRule="atLeast"/>
              <w:jc w:val="center"/>
              <w:rPr>
                <w:b/>
                <w:sz w:val="22"/>
                <w:szCs w:val="22"/>
              </w:rPr>
            </w:pPr>
            <w:r>
              <w:rPr>
                <w:b/>
                <w:sz w:val="22"/>
                <w:szCs w:val="22"/>
              </w:rPr>
              <w:t>BTL zdravotnická technika, a.s.</w:t>
            </w:r>
          </w:p>
          <w:p w14:paraId="17D23793" w14:textId="57D927FC" w:rsidR="00094B12" w:rsidRPr="00D722DC" w:rsidRDefault="0026626B" w:rsidP="0026626B">
            <w:pPr>
              <w:pStyle w:val="slovn"/>
              <w:numPr>
                <w:ilvl w:val="0"/>
                <w:numId w:val="0"/>
              </w:numPr>
              <w:tabs>
                <w:tab w:val="num" w:pos="567"/>
              </w:tabs>
              <w:spacing w:after="0" w:line="280" w:lineRule="atLeast"/>
              <w:jc w:val="center"/>
              <w:rPr>
                <w:sz w:val="22"/>
                <w:szCs w:val="22"/>
              </w:rPr>
            </w:pPr>
            <w:r>
              <w:rPr>
                <w:sz w:val="22"/>
                <w:szCs w:val="22"/>
              </w:rPr>
              <w:t>Ing. Radovan Sedlář, prokurista</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4113BA8E" w14:textId="65290DEC" w:rsidR="0026626B" w:rsidRPr="00F64593" w:rsidRDefault="0026626B" w:rsidP="0026626B">
      <w:pPr>
        <w:pBdr>
          <w:top w:val="single" w:sz="6" w:space="2" w:color="4F81BD"/>
          <w:left w:val="single" w:sz="6" w:space="2" w:color="4F81BD"/>
        </w:pBdr>
        <w:spacing w:before="300" w:line="276" w:lineRule="auto"/>
        <w:jc w:val="left"/>
        <w:outlineLvl w:val="2"/>
        <w:rPr>
          <w:rFonts w:ascii="Calibri" w:hAnsi="Calibri" w:cs="Times New Roman"/>
          <w:caps/>
          <w:color w:val="243F60"/>
          <w:spacing w:val="15"/>
          <w:lang w:val="en-US"/>
        </w:rPr>
      </w:pPr>
      <w:r>
        <w:rPr>
          <w:rFonts w:ascii="Calibri" w:hAnsi="Calibri" w:cs="Times New Roman"/>
          <w:caps/>
          <w:color w:val="243F60"/>
          <w:spacing w:val="15"/>
          <w:lang w:val="en-US"/>
        </w:rPr>
        <w:t>BTL–CPM</w:t>
      </w:r>
      <w:r w:rsidRPr="00223C72">
        <w:rPr>
          <w:rFonts w:ascii="Calibri" w:hAnsi="Calibri" w:cs="Times New Roman"/>
          <w:color w:val="243F60"/>
          <w:spacing w:val="15"/>
          <w:lang w:val="en-US"/>
        </w:rPr>
        <w:t>otion</w:t>
      </w:r>
      <w:r>
        <w:rPr>
          <w:rFonts w:ascii="Calibri" w:hAnsi="Calibri" w:cs="Times New Roman"/>
          <w:caps/>
          <w:color w:val="243F60"/>
          <w:spacing w:val="15"/>
          <w:lang w:val="en-US"/>
        </w:rPr>
        <w:t xml:space="preserve"> K </w:t>
      </w:r>
      <w:r w:rsidRPr="00F64593">
        <w:rPr>
          <w:rFonts w:ascii="Calibri" w:hAnsi="Calibri" w:cs="Times New Roman"/>
          <w:caps/>
          <w:color w:val="243F60"/>
          <w:spacing w:val="15"/>
          <w:lang w:val="en-US"/>
        </w:rPr>
        <w:t xml:space="preserve">elite </w:t>
      </w:r>
      <w:r w:rsidR="007B3156">
        <w:rPr>
          <w:rFonts w:ascii="Calibri" w:hAnsi="Calibri" w:cs="Times New Roman"/>
          <w:caps/>
          <w:color w:val="243F60"/>
          <w:spacing w:val="15"/>
          <w:lang w:val="en-US"/>
        </w:rPr>
        <w:t>– 2ks</w:t>
      </w:r>
    </w:p>
    <w:p w14:paraId="2CE8A677" w14:textId="77777777" w:rsidR="0026626B" w:rsidRPr="00F64593" w:rsidRDefault="0026626B" w:rsidP="0026626B">
      <w:pPr>
        <w:spacing w:before="240" w:line="276" w:lineRule="auto"/>
        <w:jc w:val="left"/>
        <w:rPr>
          <w:rFonts w:ascii="Calibri" w:hAnsi="Calibri" w:cs="Times New Roman"/>
          <w:b/>
          <w:sz w:val="20"/>
          <w:szCs w:val="20"/>
          <w:lang w:val="en-US"/>
        </w:rPr>
      </w:pPr>
      <w:r w:rsidRPr="00F64593">
        <w:rPr>
          <w:rFonts w:ascii="Calibri" w:hAnsi="Calibri" w:cs="Times New Roman"/>
          <w:b/>
          <w:sz w:val="20"/>
          <w:szCs w:val="20"/>
          <w:lang w:val="en-US"/>
        </w:rPr>
        <w:t>Programovatelná motodlaha kolenního a kyčelního kloubu s modulem pro hlezenní kloub a s dálkovým ovladačem a dotykovým displejem</w:t>
      </w:r>
      <w:r w:rsidRPr="00F64593">
        <w:rPr>
          <w:rFonts w:ascii="Calibri" w:hAnsi="Calibri" w:cs="Times New Roman"/>
          <w:b/>
          <w:sz w:val="20"/>
          <w:szCs w:val="20"/>
        </w:rPr>
        <w:t xml:space="preserve"> </w:t>
      </w:r>
    </w:p>
    <w:p w14:paraId="7446E4A4" w14:textId="77777777" w:rsidR="0026626B" w:rsidRPr="00F64593" w:rsidRDefault="0026626B" w:rsidP="0026626B">
      <w:pPr>
        <w:numPr>
          <w:ilvl w:val="0"/>
          <w:numId w:val="16"/>
        </w:numPr>
        <w:spacing w:before="240" w:line="240" w:lineRule="auto"/>
        <w:jc w:val="left"/>
        <w:rPr>
          <w:rFonts w:ascii="Calibri" w:hAnsi="Calibri" w:cs="Times New Roman"/>
          <w:sz w:val="20"/>
          <w:szCs w:val="20"/>
        </w:rPr>
      </w:pPr>
      <w:r w:rsidRPr="00F64593">
        <w:rPr>
          <w:rFonts w:ascii="Calibri" w:hAnsi="Calibri" w:cs="Times New Roman"/>
          <w:sz w:val="20"/>
          <w:szCs w:val="20"/>
        </w:rPr>
        <w:t>Možnost procvičení až 3 kloubů dolní končetiny v jedné terapii</w:t>
      </w:r>
    </w:p>
    <w:p w14:paraId="5EBE575F" w14:textId="77777777" w:rsidR="0026626B" w:rsidRPr="00F64593" w:rsidRDefault="0026626B" w:rsidP="0026626B">
      <w:pPr>
        <w:numPr>
          <w:ilvl w:val="0"/>
          <w:numId w:val="16"/>
        </w:numPr>
        <w:spacing w:line="240" w:lineRule="auto"/>
        <w:jc w:val="left"/>
        <w:rPr>
          <w:rFonts w:ascii="Calibri" w:hAnsi="Calibri" w:cs="Times New Roman"/>
          <w:sz w:val="20"/>
          <w:szCs w:val="20"/>
        </w:rPr>
      </w:pPr>
      <w:r w:rsidRPr="00F64593">
        <w:rPr>
          <w:rFonts w:ascii="Calibri" w:hAnsi="Calibri" w:cs="Times New Roman"/>
          <w:sz w:val="20"/>
          <w:szCs w:val="20"/>
        </w:rPr>
        <w:t xml:space="preserve">Možnost záznamu rehabilitace bez nutnosti dodatečných paměťových karet. </w:t>
      </w:r>
    </w:p>
    <w:p w14:paraId="472AB1A6" w14:textId="77777777" w:rsidR="0026626B" w:rsidRPr="00F64593" w:rsidRDefault="0026626B" w:rsidP="0026626B">
      <w:pPr>
        <w:numPr>
          <w:ilvl w:val="0"/>
          <w:numId w:val="16"/>
        </w:numPr>
        <w:spacing w:line="240" w:lineRule="auto"/>
        <w:jc w:val="left"/>
        <w:rPr>
          <w:rFonts w:ascii="Calibri" w:hAnsi="Calibri" w:cs="Times New Roman"/>
          <w:sz w:val="20"/>
          <w:szCs w:val="20"/>
        </w:rPr>
      </w:pPr>
      <w:r w:rsidRPr="00F64593">
        <w:rPr>
          <w:rFonts w:ascii="Calibri" w:hAnsi="Calibri" w:cs="Times New Roman"/>
          <w:sz w:val="20"/>
          <w:szCs w:val="20"/>
        </w:rPr>
        <w:t xml:space="preserve">Perfektní anatomický tvar s mnoha možnostmi nastavení pro každého pacienta včetně pacientů dětských. </w:t>
      </w:r>
    </w:p>
    <w:p w14:paraId="4BEE1AD9" w14:textId="1AD57263" w:rsidR="0026626B" w:rsidRPr="00F64593" w:rsidRDefault="0026626B" w:rsidP="0026626B">
      <w:pPr>
        <w:numPr>
          <w:ilvl w:val="0"/>
          <w:numId w:val="16"/>
        </w:numPr>
        <w:spacing w:line="240" w:lineRule="auto"/>
        <w:jc w:val="left"/>
        <w:rPr>
          <w:rFonts w:ascii="Calibri" w:hAnsi="Calibri" w:cs="Times New Roman"/>
          <w:sz w:val="20"/>
          <w:szCs w:val="20"/>
        </w:rPr>
      </w:pPr>
      <w:r w:rsidRPr="00F64593">
        <w:rPr>
          <w:rFonts w:ascii="Calibri" w:hAnsi="Calibri" w:cs="Times New Roman"/>
          <w:sz w:val="20"/>
          <w:szCs w:val="20"/>
        </w:rPr>
        <w:t xml:space="preserve">Plastové vypodložení, které usnadňuje desinfekci. </w:t>
      </w:r>
    </w:p>
    <w:p w14:paraId="0888E61B" w14:textId="77777777" w:rsidR="0026626B" w:rsidRPr="00F64593" w:rsidRDefault="0026626B" w:rsidP="0026626B">
      <w:pPr>
        <w:numPr>
          <w:ilvl w:val="0"/>
          <w:numId w:val="16"/>
        </w:numPr>
        <w:spacing w:line="240" w:lineRule="auto"/>
        <w:jc w:val="left"/>
        <w:rPr>
          <w:rFonts w:ascii="Calibri" w:hAnsi="Calibri" w:cs="Times New Roman"/>
          <w:sz w:val="20"/>
          <w:szCs w:val="20"/>
        </w:rPr>
      </w:pPr>
      <w:r w:rsidRPr="00F64593">
        <w:rPr>
          <w:rFonts w:ascii="Calibri" w:hAnsi="Calibri" w:cs="Times New Roman"/>
          <w:sz w:val="20"/>
          <w:szCs w:val="20"/>
        </w:rPr>
        <w:t xml:space="preserve">Intuitivní ovládání s možností změny hodnot bez nutnosti zastavení přístroje. </w:t>
      </w:r>
    </w:p>
    <w:p w14:paraId="06F0432C" w14:textId="77777777" w:rsidR="0026626B" w:rsidRPr="00F64593" w:rsidRDefault="0026626B" w:rsidP="0026626B">
      <w:pPr>
        <w:keepNext/>
        <w:keepLines/>
        <w:spacing w:before="200" w:line="276" w:lineRule="auto"/>
        <w:jc w:val="left"/>
        <w:outlineLvl w:val="4"/>
        <w:rPr>
          <w:rFonts w:ascii="Calibri" w:hAnsi="Calibri" w:cs="Times New Roman"/>
          <w:b/>
          <w:sz w:val="20"/>
        </w:rPr>
      </w:pPr>
      <w:r w:rsidRPr="00F64593">
        <w:rPr>
          <w:rFonts w:ascii="Calibri" w:hAnsi="Calibri" w:cs="Times New Roman"/>
          <w:b/>
          <w:sz w:val="20"/>
        </w:rPr>
        <w:t>Rozsah pohybu:</w:t>
      </w:r>
      <w:r w:rsidRPr="00F64593">
        <w:rPr>
          <w:rFonts w:ascii="Calibri" w:hAnsi="Calibri" w:cs="Times New Roman"/>
          <w:b/>
          <w:sz w:val="20"/>
        </w:rPr>
        <w:tab/>
      </w:r>
    </w:p>
    <w:p w14:paraId="4A4DACA6" w14:textId="77777777" w:rsidR="0026626B" w:rsidRPr="00F64593" w:rsidRDefault="0026626B" w:rsidP="0026626B">
      <w:pPr>
        <w:spacing w:line="240" w:lineRule="auto"/>
        <w:jc w:val="left"/>
        <w:rPr>
          <w:rFonts w:ascii="Calibri" w:hAnsi="Calibri"/>
          <w:bCs/>
          <w:sz w:val="20"/>
        </w:rPr>
      </w:pPr>
      <w:r w:rsidRPr="00F64593">
        <w:rPr>
          <w:rFonts w:ascii="Calibri" w:hAnsi="Calibri"/>
          <w:bCs/>
          <w:sz w:val="20"/>
        </w:rPr>
        <w:t xml:space="preserve">extenze/flexe koleno </w:t>
      </w:r>
      <w:r w:rsidRPr="00F64593">
        <w:rPr>
          <w:rFonts w:ascii="Calibri" w:hAnsi="Calibri"/>
          <w:bCs/>
          <w:sz w:val="20"/>
        </w:rPr>
        <w:tab/>
        <w:t>-10° –  123°</w:t>
      </w:r>
    </w:p>
    <w:p w14:paraId="20E548F4" w14:textId="21DCEB2E" w:rsidR="0026626B" w:rsidRPr="00F64593" w:rsidRDefault="006B68F7" w:rsidP="0026626B">
      <w:pPr>
        <w:spacing w:line="240" w:lineRule="auto"/>
        <w:jc w:val="left"/>
        <w:rPr>
          <w:rFonts w:ascii="Calibri" w:hAnsi="Calibri"/>
          <w:bCs/>
          <w:sz w:val="20"/>
        </w:rPr>
      </w:pPr>
      <w:r>
        <w:rPr>
          <w:rFonts w:ascii="Calibri" w:hAnsi="Calibri"/>
          <w:bCs/>
          <w:sz w:val="20"/>
        </w:rPr>
        <w:t xml:space="preserve">v kyčelním kloubu </w:t>
      </w:r>
      <w:r>
        <w:rPr>
          <w:rFonts w:ascii="Calibri" w:hAnsi="Calibri"/>
          <w:bCs/>
          <w:sz w:val="20"/>
        </w:rPr>
        <w:tab/>
        <w:t xml:space="preserve"> 10° –  7</w:t>
      </w:r>
      <w:r w:rsidR="0026626B" w:rsidRPr="00F64593">
        <w:rPr>
          <w:rFonts w:ascii="Calibri" w:hAnsi="Calibri"/>
          <w:bCs/>
          <w:sz w:val="20"/>
        </w:rPr>
        <w:t>5°</w:t>
      </w:r>
    </w:p>
    <w:p w14:paraId="172C7AA8" w14:textId="77777777" w:rsidR="0026626B" w:rsidRPr="00F64593" w:rsidRDefault="0026626B" w:rsidP="0026626B">
      <w:pPr>
        <w:spacing w:line="240" w:lineRule="auto"/>
        <w:jc w:val="left"/>
        <w:rPr>
          <w:rFonts w:ascii="Calibri" w:hAnsi="Calibri"/>
          <w:bCs/>
          <w:sz w:val="20"/>
        </w:rPr>
      </w:pPr>
      <w:r w:rsidRPr="00F64593">
        <w:rPr>
          <w:rFonts w:ascii="Calibri" w:hAnsi="Calibri"/>
          <w:bCs/>
          <w:sz w:val="20"/>
        </w:rPr>
        <w:t xml:space="preserve">extenze/flexe hlezno </w:t>
      </w:r>
      <w:r w:rsidRPr="00F64593">
        <w:rPr>
          <w:rFonts w:ascii="Calibri" w:hAnsi="Calibri"/>
          <w:bCs/>
          <w:sz w:val="20"/>
        </w:rPr>
        <w:tab/>
        <w:t xml:space="preserve">-40° –  25° </w:t>
      </w:r>
    </w:p>
    <w:p w14:paraId="206A337C" w14:textId="77777777" w:rsidR="0026626B" w:rsidRPr="00F64593" w:rsidRDefault="0026626B" w:rsidP="0026626B">
      <w:pPr>
        <w:spacing w:line="240" w:lineRule="auto"/>
        <w:jc w:val="left"/>
        <w:rPr>
          <w:rFonts w:ascii="Calibri" w:hAnsi="Calibri"/>
          <w:bCs/>
          <w:sz w:val="20"/>
        </w:rPr>
      </w:pPr>
      <w:r w:rsidRPr="00F64593">
        <w:rPr>
          <w:rFonts w:ascii="Calibri" w:hAnsi="Calibri"/>
          <w:bCs/>
          <w:sz w:val="20"/>
        </w:rPr>
        <w:t xml:space="preserve">rychlost: </w:t>
      </w:r>
      <w:r w:rsidRPr="00F64593">
        <w:rPr>
          <w:rFonts w:ascii="Calibri" w:hAnsi="Calibri"/>
          <w:bCs/>
          <w:sz w:val="20"/>
        </w:rPr>
        <w:tab/>
      </w:r>
      <w:r w:rsidRPr="00F64593">
        <w:rPr>
          <w:rFonts w:ascii="Calibri" w:hAnsi="Calibri"/>
          <w:bCs/>
          <w:sz w:val="20"/>
        </w:rPr>
        <w:tab/>
        <w:t>380° za minutu</w:t>
      </w:r>
    </w:p>
    <w:p w14:paraId="2545D538" w14:textId="77777777" w:rsidR="0026626B" w:rsidRPr="00F64593" w:rsidRDefault="0026626B" w:rsidP="0026626B">
      <w:pPr>
        <w:spacing w:line="240" w:lineRule="auto"/>
        <w:rPr>
          <w:rFonts w:ascii="Calibri" w:hAnsi="Calibri"/>
          <w:bCs/>
          <w:sz w:val="20"/>
        </w:rPr>
      </w:pPr>
      <w:r w:rsidRPr="00F64593">
        <w:rPr>
          <w:rFonts w:ascii="Calibri" w:hAnsi="Calibri"/>
          <w:bCs/>
          <w:sz w:val="20"/>
        </w:rPr>
        <w:t xml:space="preserve">hmotnost: </w:t>
      </w:r>
      <w:r w:rsidRPr="00F64593">
        <w:rPr>
          <w:rFonts w:ascii="Calibri" w:hAnsi="Calibri"/>
          <w:bCs/>
          <w:sz w:val="20"/>
        </w:rPr>
        <w:tab/>
      </w:r>
      <w:r w:rsidRPr="00F64593">
        <w:rPr>
          <w:rFonts w:ascii="Calibri" w:hAnsi="Calibri"/>
          <w:bCs/>
          <w:sz w:val="20"/>
        </w:rPr>
        <w:tab/>
        <w:t>14</w:t>
      </w:r>
      <w:r>
        <w:rPr>
          <w:rFonts w:ascii="Calibri" w:hAnsi="Calibri"/>
          <w:bCs/>
          <w:sz w:val="20"/>
        </w:rPr>
        <w:t xml:space="preserve"> </w:t>
      </w:r>
      <w:r w:rsidRPr="00F64593">
        <w:rPr>
          <w:rFonts w:ascii="Calibri" w:hAnsi="Calibri"/>
          <w:bCs/>
          <w:sz w:val="20"/>
        </w:rPr>
        <w:t>kg</w:t>
      </w:r>
    </w:p>
    <w:p w14:paraId="03118F87" w14:textId="77777777" w:rsidR="0026626B" w:rsidRPr="00F64593" w:rsidRDefault="0026626B" w:rsidP="0026626B">
      <w:pPr>
        <w:keepNext/>
        <w:keepLines/>
        <w:spacing w:before="200" w:line="276" w:lineRule="auto"/>
        <w:jc w:val="left"/>
        <w:outlineLvl w:val="4"/>
        <w:rPr>
          <w:rFonts w:ascii="Calibri" w:hAnsi="Calibri" w:cs="Times New Roman"/>
          <w:b/>
          <w:color w:val="16505E"/>
          <w:sz w:val="20"/>
        </w:rPr>
      </w:pPr>
      <w:r w:rsidRPr="00F64593">
        <w:rPr>
          <w:rFonts w:ascii="Calibri" w:hAnsi="Calibri" w:cs="Times New Roman"/>
          <w:b/>
          <w:color w:val="16505E"/>
          <w:sz w:val="20"/>
        </w:rPr>
        <w:t>Speciální funkce:</w:t>
      </w:r>
    </w:p>
    <w:p w14:paraId="53BBDAC6"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Postupné rozšiřování rozsahu pohybu v  cyklech až do požadovaných hodnot</w:t>
      </w:r>
    </w:p>
    <w:p w14:paraId="68C4C8A1"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MODULACE: manuální nastavení rozsahu pohybu podle citlivosti pacienta</w:t>
      </w:r>
    </w:p>
    <w:p w14:paraId="6051AC24"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Zvětšení rozsahu pohybu v průběhu cvičení</w:t>
      </w:r>
    </w:p>
    <w:p w14:paraId="3845D13F"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Možnost nastavení pauzy samostatně pro extenzi a flexi od 1 sekundy</w:t>
      </w:r>
    </w:p>
    <w:p w14:paraId="69793480"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Bezpečností prvek– při nechtěném kontaktu motodlahy s jiným předmětem nebo při vyvinutí protisíly pacientem dojde k zastavení přístroje a následnému pohybu zpět.</w:t>
      </w:r>
    </w:p>
    <w:p w14:paraId="69E011CD" w14:textId="099212FD"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DOBA CVIČENÍ: programovatelné nastavení času.</w:t>
      </w:r>
    </w:p>
    <w:p w14:paraId="5417D69D"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Doba cvičení na motodlaze – slouží ke kontrole pacienta</w:t>
      </w:r>
    </w:p>
    <w:p w14:paraId="31912984"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PROGRAMY: 13 přednastavených programů cvičení s rychlým startem</w:t>
      </w:r>
    </w:p>
    <w:p w14:paraId="28F276AF"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 xml:space="preserve">Možnost nahrávaní vlastních programů terapie </w:t>
      </w:r>
      <w:r>
        <w:rPr>
          <w:rFonts w:ascii="Calibri" w:hAnsi="Calibri" w:cs="Times New Roman"/>
          <w:sz w:val="20"/>
          <w:szCs w:val="20"/>
        </w:rPr>
        <w:t xml:space="preserve">- </w:t>
      </w:r>
      <w:r w:rsidRPr="00F64593">
        <w:rPr>
          <w:rFonts w:ascii="Calibri" w:hAnsi="Calibri" w:cs="Times New Roman"/>
          <w:sz w:val="20"/>
          <w:szCs w:val="20"/>
        </w:rPr>
        <w:t>až 50 volných míst</w:t>
      </w:r>
    </w:p>
    <w:p w14:paraId="78BFE738"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Vyšší rychlost jednotlivých cyklů za minutu (2cykly)</w:t>
      </w:r>
    </w:p>
    <w:p w14:paraId="751652C4"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Unikátní CLICK SYSTÉM pro rychlé nastavení motodlahy</w:t>
      </w:r>
    </w:p>
    <w:p w14:paraId="74721A1E" w14:textId="77777777" w:rsidR="0026626B" w:rsidRPr="00F64593" w:rsidRDefault="0026626B" w:rsidP="0026626B">
      <w:pPr>
        <w:numPr>
          <w:ilvl w:val="0"/>
          <w:numId w:val="17"/>
        </w:numPr>
        <w:spacing w:line="240" w:lineRule="auto"/>
        <w:jc w:val="left"/>
        <w:rPr>
          <w:rFonts w:ascii="Calibri" w:hAnsi="Calibri" w:cs="Times New Roman"/>
          <w:sz w:val="20"/>
          <w:szCs w:val="20"/>
        </w:rPr>
      </w:pPr>
      <w:r w:rsidRPr="00F64593">
        <w:rPr>
          <w:rFonts w:ascii="Calibri" w:hAnsi="Calibri" w:cs="Times New Roman"/>
          <w:sz w:val="20"/>
          <w:szCs w:val="20"/>
        </w:rPr>
        <w:t>Dálkový ovladač s dotykovým displejem</w:t>
      </w:r>
    </w:p>
    <w:p w14:paraId="5860E6E9" w14:textId="77777777" w:rsidR="0026626B" w:rsidRPr="00F64593" w:rsidRDefault="0026626B" w:rsidP="0026626B">
      <w:pPr>
        <w:numPr>
          <w:ilvl w:val="0"/>
          <w:numId w:val="17"/>
        </w:numPr>
        <w:spacing w:line="240" w:lineRule="auto"/>
        <w:jc w:val="left"/>
        <w:rPr>
          <w:rFonts w:ascii="Calibri" w:hAnsi="Calibri" w:cs="Times New Roman"/>
          <w:b/>
          <w:sz w:val="20"/>
          <w:szCs w:val="20"/>
        </w:rPr>
      </w:pPr>
      <w:r w:rsidRPr="00F64593">
        <w:rPr>
          <w:rFonts w:ascii="Calibri" w:hAnsi="Calibri" w:cs="Times New Roman"/>
          <w:sz w:val="20"/>
          <w:szCs w:val="20"/>
        </w:rPr>
        <w:t>Hlezenní modul</w:t>
      </w:r>
    </w:p>
    <w:p w14:paraId="188755C8" w14:textId="77777777" w:rsidR="0026626B" w:rsidRDefault="0026626B" w:rsidP="0026626B">
      <w:pPr>
        <w:spacing w:line="240" w:lineRule="auto"/>
        <w:jc w:val="left"/>
        <w:rPr>
          <w:rFonts w:ascii="Calibri" w:hAnsi="Calibri" w:cs="Times New Roman"/>
          <w:sz w:val="20"/>
          <w:szCs w:val="20"/>
        </w:rPr>
      </w:pPr>
    </w:p>
    <w:p w14:paraId="6A980F6C" w14:textId="77777777" w:rsidR="0026626B" w:rsidRDefault="0026626B" w:rsidP="0026626B">
      <w:pPr>
        <w:spacing w:line="240" w:lineRule="auto"/>
        <w:jc w:val="left"/>
        <w:rPr>
          <w:rFonts w:ascii="Calibri" w:hAnsi="Calibri" w:cs="Times New Roman"/>
          <w:sz w:val="20"/>
          <w:szCs w:val="20"/>
        </w:rPr>
      </w:pPr>
    </w:p>
    <w:p w14:paraId="669480F1" w14:textId="43EF3147" w:rsidR="0026626B" w:rsidRPr="00F64593" w:rsidRDefault="0026626B" w:rsidP="0026626B">
      <w:pPr>
        <w:pBdr>
          <w:top w:val="single" w:sz="6" w:space="2" w:color="4F81BD"/>
          <w:left w:val="single" w:sz="6" w:space="2" w:color="4F81BD"/>
        </w:pBdr>
        <w:spacing w:line="276" w:lineRule="auto"/>
        <w:jc w:val="left"/>
        <w:outlineLvl w:val="2"/>
        <w:rPr>
          <w:rFonts w:ascii="Calibri" w:hAnsi="Calibri" w:cs="Times New Roman"/>
          <w:caps/>
          <w:color w:val="243F60"/>
          <w:spacing w:val="15"/>
        </w:rPr>
      </w:pPr>
      <w:r w:rsidRPr="00F64593">
        <w:rPr>
          <w:rFonts w:ascii="Calibri" w:hAnsi="Calibri" w:cs="Times New Roman"/>
          <w:caps/>
          <w:color w:val="243F60"/>
          <w:spacing w:val="15"/>
        </w:rPr>
        <w:t>Výškově nastavitelný a otočný stolek</w:t>
      </w:r>
      <w:r w:rsidR="007B3156">
        <w:rPr>
          <w:rFonts w:ascii="Calibri" w:hAnsi="Calibri" w:cs="Times New Roman"/>
          <w:caps/>
          <w:color w:val="243F60"/>
          <w:spacing w:val="15"/>
        </w:rPr>
        <w:t xml:space="preserve"> – 2ks</w:t>
      </w:r>
    </w:p>
    <w:p w14:paraId="6A238E2A" w14:textId="77777777" w:rsidR="0026626B" w:rsidRDefault="0026626B" w:rsidP="0026626B">
      <w:pPr>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240" w:line="240" w:lineRule="auto"/>
        <w:jc w:val="left"/>
        <w:rPr>
          <w:rFonts w:ascii="Calibri" w:hAnsi="Calibri" w:cs="Calibri"/>
          <w:sz w:val="20"/>
        </w:rPr>
      </w:pPr>
      <w:r>
        <w:rPr>
          <w:rFonts w:ascii="Calibri" w:hAnsi="Calibri" w:cs="Calibri"/>
          <w:sz w:val="20"/>
        </w:rPr>
        <w:t>Výškově nastavitelný a otočný stolek</w:t>
      </w:r>
    </w:p>
    <w:p w14:paraId="7111E1AF" w14:textId="77777777" w:rsidR="0026626B" w:rsidRPr="00F64593" w:rsidRDefault="0026626B" w:rsidP="0026626B">
      <w:pPr>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jc w:val="left"/>
        <w:rPr>
          <w:rFonts w:ascii="Calibri" w:hAnsi="Calibri" w:cs="Calibri"/>
          <w:sz w:val="20"/>
        </w:rPr>
      </w:pPr>
      <w:r>
        <w:rPr>
          <w:rFonts w:ascii="Calibri" w:hAnsi="Calibri" w:cs="Calibri"/>
          <w:sz w:val="20"/>
        </w:rPr>
        <w:t>Pro transport a použití na lůžku</w:t>
      </w:r>
    </w:p>
    <w:p w14:paraId="560BDD26" w14:textId="77777777" w:rsidR="0026626B" w:rsidRDefault="0026626B" w:rsidP="0026626B">
      <w:pPr>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jc w:val="left"/>
        <w:rPr>
          <w:rFonts w:ascii="Calibri" w:hAnsi="Calibri" w:cs="Calibri"/>
          <w:sz w:val="20"/>
        </w:rPr>
      </w:pPr>
      <w:r>
        <w:rPr>
          <w:rFonts w:ascii="Calibri" w:hAnsi="Calibri" w:cs="Calibri"/>
          <w:sz w:val="20"/>
        </w:rPr>
        <w:t>B</w:t>
      </w:r>
      <w:r w:rsidRPr="00F64593">
        <w:rPr>
          <w:rFonts w:ascii="Calibri" w:hAnsi="Calibri" w:cs="Calibri"/>
          <w:sz w:val="20"/>
        </w:rPr>
        <w:t xml:space="preserve">ez nutnosti sejmutí z vozíku při přestavbě </w:t>
      </w:r>
    </w:p>
    <w:p w14:paraId="202FEE45" w14:textId="77777777" w:rsidR="0026626B" w:rsidRDefault="0026626B" w:rsidP="0026626B">
      <w:pPr>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jc w:val="left"/>
        <w:rPr>
          <w:rFonts w:ascii="Calibri" w:hAnsi="Calibri" w:cs="Calibri"/>
          <w:sz w:val="20"/>
        </w:rPr>
      </w:pPr>
      <w:r>
        <w:rPr>
          <w:rFonts w:ascii="Calibri" w:hAnsi="Calibri" w:cs="Calibri"/>
          <w:sz w:val="20"/>
        </w:rPr>
        <w:t>Ocelová konstrukce</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69E236F2" w:rsidR="009730A2" w:rsidRPr="004120E8" w:rsidRDefault="0026626B" w:rsidP="009730A2">
      <w:pPr>
        <w:rPr>
          <w:b/>
          <w:color w:val="000000" w:themeColor="text1"/>
        </w:rPr>
      </w:pPr>
      <w:r w:rsidRPr="004120E8">
        <w:rPr>
          <w:b/>
          <w:color w:val="000000" w:themeColor="text1"/>
        </w:rPr>
        <w:t>ŽÁDNÁ KOMUNIKAČNÍ VAZBA MEZI SUBJEKTY.</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dodávka počítačů, fyzických serverů, virtuálních appliance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lastRenderedPageBreak/>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w:t>
      </w:r>
      <w:r w:rsidRPr="001D69CF">
        <w:rPr>
          <w:rFonts w:ascii="Arial" w:hAnsi="Arial"/>
        </w:rPr>
        <w:lastRenderedPageBreak/>
        <w:t>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63B17" w:rsidRPr="00B63B17">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51D" w14:textId="77777777" w:rsidR="00346D7A" w:rsidRDefault="00DF2B78">
    <w:pPr>
      <w:pStyle w:val="Zhlav"/>
      <w:rPr>
        <w:lang w:val="cs-CZ"/>
      </w:rPr>
    </w:pPr>
    <w:r>
      <w:tab/>
    </w:r>
    <w:r>
      <w:tab/>
    </w:r>
    <w:r>
      <w:rPr>
        <w:lang w:val="cs-CZ"/>
      </w:rPr>
      <w:t>P25V00000329</w:t>
    </w:r>
  </w:p>
  <w:p w14:paraId="5140265F" w14:textId="2DEA038B" w:rsidR="00DF2B78" w:rsidRPr="00DF2B78" w:rsidRDefault="00346D7A" w:rsidP="00346D7A">
    <w:pPr>
      <w:pStyle w:val="Zhlav"/>
      <w:jc w:val="right"/>
      <w:rPr>
        <w:lang w:val="cs-CZ"/>
      </w:rPr>
    </w:pPr>
    <w:r w:rsidRPr="00346D7A">
      <w:rPr>
        <w:lang w:val="cs-CZ"/>
      </w:rPr>
      <w:t>KP/3269/2025/Sch</w:t>
    </w:r>
  </w:p>
  <w:p w14:paraId="3D7E8D3D" w14:textId="77777777" w:rsidR="00DF2B78" w:rsidRDefault="00DF2B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DC5F0A"/>
    <w:multiLevelType w:val="hybridMultilevel"/>
    <w:tmpl w:val="B73CF688"/>
    <w:lvl w:ilvl="0" w:tplc="C9987510">
      <w:start w:val="1"/>
      <w:numFmt w:val="bullet"/>
      <w:lvlText w:val=""/>
      <w:lvlJc w:val="left"/>
      <w:pPr>
        <w:ind w:left="720" w:hanging="360"/>
      </w:pPr>
      <w:rPr>
        <w:rFonts w:ascii="Symbol" w:hAnsi="Symbol" w:hint="default"/>
        <w:color w:val="548DD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41595A"/>
    <w:multiLevelType w:val="hybridMultilevel"/>
    <w:tmpl w:val="4ADC2E34"/>
    <w:lvl w:ilvl="0" w:tplc="C9987510">
      <w:start w:val="1"/>
      <w:numFmt w:val="bullet"/>
      <w:lvlText w:val=""/>
      <w:lvlJc w:val="left"/>
      <w:pPr>
        <w:ind w:left="360" w:hanging="360"/>
      </w:pPr>
      <w:rPr>
        <w:rFonts w:ascii="Symbol" w:hAnsi="Symbol" w:hint="default"/>
        <w:color w:val="548DD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F236B9"/>
    <w:multiLevelType w:val="hybridMultilevel"/>
    <w:tmpl w:val="24760A5C"/>
    <w:lvl w:ilvl="0" w:tplc="C9987510">
      <w:start w:val="1"/>
      <w:numFmt w:val="bullet"/>
      <w:lvlText w:val=""/>
      <w:lvlJc w:val="left"/>
      <w:pPr>
        <w:ind w:left="720" w:hanging="360"/>
      </w:pPr>
      <w:rPr>
        <w:rFonts w:ascii="Symbol" w:hAnsi="Symbol" w:hint="default"/>
        <w:color w:val="548DD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7614709">
    <w:abstractNumId w:val="7"/>
  </w:num>
  <w:num w:numId="2" w16cid:durableId="1244025489">
    <w:abstractNumId w:val="8"/>
  </w:num>
  <w:num w:numId="3" w16cid:durableId="2085759589">
    <w:abstractNumId w:val="8"/>
  </w:num>
  <w:num w:numId="4" w16cid:durableId="716710373">
    <w:abstractNumId w:val="13"/>
  </w:num>
  <w:num w:numId="5" w16cid:durableId="1878353611">
    <w:abstractNumId w:val="9"/>
  </w:num>
  <w:num w:numId="6" w16cid:durableId="2067756797">
    <w:abstractNumId w:val="1"/>
  </w:num>
  <w:num w:numId="7" w16cid:durableId="1428817221">
    <w:abstractNumId w:val="4"/>
  </w:num>
  <w:num w:numId="8" w16cid:durableId="109708506">
    <w:abstractNumId w:val="14"/>
  </w:num>
  <w:num w:numId="9" w16cid:durableId="682053749">
    <w:abstractNumId w:val="3"/>
  </w:num>
  <w:num w:numId="10" w16cid:durableId="1515806876">
    <w:abstractNumId w:val="11"/>
  </w:num>
  <w:num w:numId="11" w16cid:durableId="1155531511">
    <w:abstractNumId w:val="12"/>
  </w:num>
  <w:num w:numId="12" w16cid:durableId="241254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7276503">
    <w:abstractNumId w:val="8"/>
  </w:num>
  <w:num w:numId="14" w16cid:durableId="704141678">
    <w:abstractNumId w:val="0"/>
  </w:num>
  <w:num w:numId="15" w16cid:durableId="238372629">
    <w:abstractNumId w:val="2"/>
  </w:num>
  <w:num w:numId="16" w16cid:durableId="1631977618">
    <w:abstractNumId w:val="6"/>
  </w:num>
  <w:num w:numId="17" w16cid:durableId="150368030">
    <w:abstractNumId w:val="5"/>
  </w:num>
  <w:num w:numId="18" w16cid:durableId="33484788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626B"/>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6D7A"/>
    <w:rsid w:val="003477DB"/>
    <w:rsid w:val="00351229"/>
    <w:rsid w:val="00355E79"/>
    <w:rsid w:val="003704D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20E8"/>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094E"/>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B68F7"/>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C86"/>
    <w:rsid w:val="00735D41"/>
    <w:rsid w:val="0073763C"/>
    <w:rsid w:val="00743435"/>
    <w:rsid w:val="00744E5D"/>
    <w:rsid w:val="0075205D"/>
    <w:rsid w:val="00775695"/>
    <w:rsid w:val="00787C20"/>
    <w:rsid w:val="00794661"/>
    <w:rsid w:val="0079592F"/>
    <w:rsid w:val="007A084F"/>
    <w:rsid w:val="007A70F3"/>
    <w:rsid w:val="007B3156"/>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0012"/>
    <w:rsid w:val="00A31178"/>
    <w:rsid w:val="00A36B03"/>
    <w:rsid w:val="00A4060F"/>
    <w:rsid w:val="00A47C2C"/>
    <w:rsid w:val="00A51741"/>
    <w:rsid w:val="00A51E29"/>
    <w:rsid w:val="00A52F13"/>
    <w:rsid w:val="00A71BE8"/>
    <w:rsid w:val="00A739A7"/>
    <w:rsid w:val="00A73C62"/>
    <w:rsid w:val="00A74BD6"/>
    <w:rsid w:val="00A75857"/>
    <w:rsid w:val="00A92F5B"/>
    <w:rsid w:val="00A9354F"/>
    <w:rsid w:val="00A937E1"/>
    <w:rsid w:val="00A97FF8"/>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3B17"/>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B3871"/>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36124"/>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2B78"/>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136A31"/>
  <w15:docId w15:val="{9661A58F-9AD6-4F6E-B85B-E91BB959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cc852e05-94eb-48de-a089-3a35c1dd6218"/>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f8073be8-ba4e-4991-92ef-8ca69007da56"/>
    <ds:schemaRef ds:uri="http://www.w3.org/XML/1998/namespace"/>
    <ds:schemaRef ds:uri="http://purl.org/dc/dcmitype/"/>
  </ds:schemaRefs>
</ds:datastoreItem>
</file>

<file path=customXml/itemProps3.xml><?xml version="1.0" encoding="utf-8"?>
<ds:datastoreItem xmlns:ds="http://schemas.openxmlformats.org/officeDocument/2006/customXml" ds:itemID="{398FD459-7A0D-4261-8AEF-5293CE9C6F78}">
  <ds:schemaRefs>
    <ds:schemaRef ds:uri="http://schemas.openxmlformats.org/officeDocument/2006/bibliography"/>
  </ds:schemaRefs>
</ds:datastoreItem>
</file>

<file path=customXml/itemProps4.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8656</Words>
  <Characters>51075</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Hrad</dc:creator>
  <dc:description>verze 7-7-2016
KS - zdravotnický prostředek</dc:description>
  <cp:lastModifiedBy>Štach Jiří</cp:lastModifiedBy>
  <cp:revision>3</cp:revision>
  <cp:lastPrinted>2025-07-16T09:37:00Z</cp:lastPrinted>
  <dcterms:created xsi:type="dcterms:W3CDTF">2025-09-26T05:43:00Z</dcterms:created>
  <dcterms:modified xsi:type="dcterms:W3CDTF">2025-09-26T05:47:00Z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