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490F" w:rsidRDefault="003C1E4A">
      <w:pPr>
        <w:jc w:val="center"/>
        <w:rPr>
          <w:rFonts w:ascii="Arial" w:eastAsia="Arial" w:hAnsi="Arial" w:cs="Arial"/>
          <w:b/>
          <w:sz w:val="24"/>
          <w:szCs w:val="24"/>
        </w:rPr>
      </w:pPr>
      <w:r>
        <w:rPr>
          <w:rFonts w:ascii="Arial" w:eastAsia="Arial" w:hAnsi="Arial" w:cs="Arial"/>
          <w:b/>
          <w:sz w:val="24"/>
          <w:szCs w:val="24"/>
        </w:rPr>
        <w:t>Rámcová smlouva o dodávce licencí SW Microsoft a souvisejících služeb</w:t>
      </w:r>
    </w:p>
    <w:p w14:paraId="00000002" w14:textId="77777777" w:rsidR="0003490F" w:rsidRDefault="003C1E4A">
      <w:pPr>
        <w:jc w:val="cente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w:t>
      </w:r>
      <w:r>
        <w:rPr>
          <w:rFonts w:ascii="Arial" w:eastAsia="Arial" w:hAnsi="Arial" w:cs="Arial"/>
          <w:i/>
          <w:sz w:val="20"/>
          <w:szCs w:val="20"/>
        </w:rPr>
        <w:t>uzavřená ve smyslu ustanovení § 1746 odst. 2 zákona č. 89/2012 Sb., občanského zákoníku, ve znění pozdějších předpisů</w:t>
      </w:r>
      <w:r>
        <w:rPr>
          <w:rFonts w:ascii="Arial" w:eastAsia="Arial" w:hAnsi="Arial" w:cs="Arial"/>
          <w:sz w:val="20"/>
          <w:szCs w:val="20"/>
        </w:rPr>
        <w:t xml:space="preserve">) </w:t>
      </w:r>
    </w:p>
    <w:p w14:paraId="00000003" w14:textId="77777777" w:rsidR="0003490F" w:rsidRDefault="0003490F">
      <w:pPr>
        <w:jc w:val="both"/>
        <w:rPr>
          <w:rFonts w:ascii="Arial" w:eastAsia="Arial" w:hAnsi="Arial" w:cs="Arial"/>
          <w:sz w:val="20"/>
          <w:szCs w:val="20"/>
        </w:rPr>
      </w:pPr>
    </w:p>
    <w:p w14:paraId="00000004" w14:textId="77777777" w:rsidR="0003490F" w:rsidRDefault="003C1E4A">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Univerzita Jana Evangelisty Purkyně v Ústí nad Labem</w:t>
      </w:r>
    </w:p>
    <w:p w14:paraId="00000005" w14:textId="77777777" w:rsidR="0003490F" w:rsidRDefault="003C1E4A">
      <w:pPr>
        <w:spacing w:after="0" w:line="240" w:lineRule="auto"/>
        <w:rPr>
          <w:rFonts w:ascii="Arial" w:eastAsia="Arial" w:hAnsi="Arial" w:cs="Arial"/>
          <w:sz w:val="20"/>
          <w:szCs w:val="20"/>
        </w:rPr>
      </w:pPr>
      <w:r>
        <w:rPr>
          <w:rFonts w:ascii="Arial" w:eastAsia="Arial" w:hAnsi="Arial" w:cs="Arial"/>
          <w:b/>
          <w:sz w:val="20"/>
          <w:szCs w:val="20"/>
        </w:rPr>
        <w:t>Sídlo</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ab/>
      </w:r>
      <w:r>
        <w:rPr>
          <w:rFonts w:ascii="Arial" w:eastAsia="Arial" w:hAnsi="Arial" w:cs="Arial"/>
          <w:sz w:val="20"/>
          <w:szCs w:val="20"/>
        </w:rPr>
        <w:t>Pasteurova 1, 400 96 Ústí nad Labem</w:t>
      </w:r>
      <w:r>
        <w:rPr>
          <w:rFonts w:ascii="Arial" w:eastAsia="Arial" w:hAnsi="Arial" w:cs="Arial"/>
          <w:color w:val="FF0000"/>
          <w:sz w:val="20"/>
          <w:szCs w:val="20"/>
        </w:rPr>
        <w:t xml:space="preserve"> </w:t>
      </w:r>
    </w:p>
    <w:p w14:paraId="00000006" w14:textId="77777777" w:rsidR="0003490F" w:rsidRDefault="003C1E4A">
      <w:pPr>
        <w:spacing w:after="0" w:line="240" w:lineRule="auto"/>
        <w:rPr>
          <w:rFonts w:ascii="Arial" w:eastAsia="Arial" w:hAnsi="Arial" w:cs="Arial"/>
          <w:sz w:val="20"/>
          <w:szCs w:val="20"/>
        </w:rPr>
      </w:pPr>
      <w:r>
        <w:rPr>
          <w:rFonts w:ascii="Arial" w:eastAsia="Arial" w:hAnsi="Arial" w:cs="Arial"/>
          <w:b/>
          <w:sz w:val="20"/>
          <w:szCs w:val="20"/>
        </w:rPr>
        <w:t>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44555601</w:t>
      </w:r>
    </w:p>
    <w:p w14:paraId="00000007" w14:textId="77777777" w:rsidR="0003490F" w:rsidRDefault="003C1E4A">
      <w:pPr>
        <w:spacing w:after="0" w:line="240" w:lineRule="auto"/>
        <w:rPr>
          <w:rFonts w:ascii="Arial" w:eastAsia="Arial" w:hAnsi="Arial" w:cs="Arial"/>
          <w:sz w:val="20"/>
          <w:szCs w:val="20"/>
        </w:rPr>
      </w:pPr>
      <w:r>
        <w:rPr>
          <w:rFonts w:ascii="Arial" w:eastAsia="Arial" w:hAnsi="Arial" w:cs="Arial"/>
          <w:b/>
          <w:sz w:val="20"/>
          <w:szCs w:val="20"/>
        </w:rPr>
        <w:t>DIČ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CZ44555601</w:t>
      </w:r>
    </w:p>
    <w:p w14:paraId="00000008" w14:textId="77777777" w:rsidR="0003490F" w:rsidRDefault="003C1E4A">
      <w:pPr>
        <w:spacing w:after="0" w:line="240" w:lineRule="auto"/>
        <w:rPr>
          <w:rFonts w:ascii="Arial" w:eastAsia="Arial" w:hAnsi="Arial" w:cs="Arial"/>
          <w:sz w:val="20"/>
          <w:szCs w:val="20"/>
        </w:rPr>
      </w:pPr>
      <w:r>
        <w:rPr>
          <w:rFonts w:ascii="Arial" w:eastAsia="Arial" w:hAnsi="Arial" w:cs="Arial"/>
          <w:b/>
          <w:sz w:val="20"/>
          <w:szCs w:val="20"/>
        </w:rPr>
        <w:t>Zastoupená</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doc. RNDr. Jaroslav Koutský, Ph.D., rektor</w:t>
      </w:r>
    </w:p>
    <w:p w14:paraId="00000009" w14:textId="77777777" w:rsidR="0003490F" w:rsidRDefault="003C1E4A">
      <w:pPr>
        <w:spacing w:after="0" w:line="240" w:lineRule="auto"/>
        <w:rPr>
          <w:rFonts w:ascii="Arial" w:eastAsia="Arial" w:hAnsi="Arial" w:cs="Arial"/>
          <w:b/>
          <w:sz w:val="20"/>
          <w:szCs w:val="20"/>
        </w:rPr>
      </w:pPr>
      <w:r>
        <w:rPr>
          <w:rFonts w:ascii="Arial" w:eastAsia="Arial" w:hAnsi="Arial" w:cs="Arial"/>
          <w:b/>
          <w:sz w:val="20"/>
          <w:szCs w:val="20"/>
        </w:rPr>
        <w:t>Bankovní spojení:</w:t>
      </w:r>
      <w:r>
        <w:rPr>
          <w:rFonts w:ascii="Arial" w:eastAsia="Arial" w:hAnsi="Arial" w:cs="Arial"/>
          <w:b/>
          <w:sz w:val="20"/>
          <w:szCs w:val="20"/>
        </w:rPr>
        <w:tab/>
      </w:r>
      <w:r>
        <w:rPr>
          <w:rFonts w:ascii="Arial" w:eastAsia="Arial" w:hAnsi="Arial" w:cs="Arial"/>
          <w:sz w:val="20"/>
          <w:szCs w:val="20"/>
        </w:rPr>
        <w:t>ČSOB, a.s., Ústí nad Labem</w:t>
      </w:r>
    </w:p>
    <w:p w14:paraId="0000000A" w14:textId="60805291" w:rsidR="0003490F" w:rsidRDefault="003C1E4A">
      <w:pPr>
        <w:spacing w:after="0" w:line="240" w:lineRule="auto"/>
        <w:rPr>
          <w:rFonts w:ascii="Arial" w:eastAsia="Arial" w:hAnsi="Arial" w:cs="Arial"/>
          <w:b/>
          <w:sz w:val="20"/>
          <w:szCs w:val="20"/>
        </w:rPr>
      </w:pPr>
      <w:r>
        <w:rPr>
          <w:rFonts w:ascii="Arial" w:eastAsia="Arial" w:hAnsi="Arial" w:cs="Arial"/>
          <w:b/>
          <w:sz w:val="20"/>
          <w:szCs w:val="20"/>
        </w:rPr>
        <w:t>Číslo účtu:</w:t>
      </w:r>
      <w:r>
        <w:rPr>
          <w:rFonts w:ascii="Arial" w:eastAsia="Arial" w:hAnsi="Arial" w:cs="Arial"/>
          <w:b/>
          <w:sz w:val="20"/>
          <w:szCs w:val="20"/>
        </w:rPr>
        <w:tab/>
      </w:r>
      <w:r>
        <w:rPr>
          <w:rFonts w:ascii="Arial" w:eastAsia="Arial" w:hAnsi="Arial" w:cs="Arial"/>
          <w:b/>
          <w:sz w:val="20"/>
          <w:szCs w:val="20"/>
        </w:rPr>
        <w:tab/>
      </w:r>
      <w:proofErr w:type="spellStart"/>
      <w:r w:rsidR="002F3F28">
        <w:rPr>
          <w:rFonts w:ascii="Arial" w:eastAsia="Arial" w:hAnsi="Arial" w:cs="Arial"/>
          <w:sz w:val="20"/>
          <w:szCs w:val="20"/>
        </w:rPr>
        <w:t>xxx</w:t>
      </w:r>
      <w:proofErr w:type="spellEnd"/>
    </w:p>
    <w:p w14:paraId="0000000B" w14:textId="77777777"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 (dále jen „</w:t>
      </w:r>
      <w:r>
        <w:rPr>
          <w:rFonts w:ascii="Arial" w:eastAsia="Arial" w:hAnsi="Arial" w:cs="Arial"/>
          <w:b/>
          <w:color w:val="000000"/>
          <w:sz w:val="20"/>
          <w:szCs w:val="20"/>
        </w:rPr>
        <w:t>objednatel</w:t>
      </w:r>
      <w:r>
        <w:rPr>
          <w:rFonts w:ascii="Arial" w:eastAsia="Arial" w:hAnsi="Arial" w:cs="Arial"/>
          <w:color w:val="000000"/>
          <w:sz w:val="20"/>
          <w:szCs w:val="20"/>
        </w:rPr>
        <w:t>“)</w:t>
      </w:r>
    </w:p>
    <w:p w14:paraId="0000000C" w14:textId="77777777" w:rsidR="0003490F" w:rsidRDefault="0003490F">
      <w:pPr>
        <w:pBdr>
          <w:top w:val="nil"/>
          <w:left w:val="nil"/>
          <w:bottom w:val="nil"/>
          <w:right w:val="nil"/>
          <w:between w:val="nil"/>
        </w:pBdr>
        <w:spacing w:after="0" w:line="276" w:lineRule="auto"/>
        <w:rPr>
          <w:rFonts w:ascii="Arial" w:eastAsia="Arial" w:hAnsi="Arial" w:cs="Arial"/>
          <w:color w:val="000000"/>
          <w:sz w:val="20"/>
          <w:szCs w:val="20"/>
        </w:rPr>
      </w:pPr>
    </w:p>
    <w:p w14:paraId="0000000D" w14:textId="77777777"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w:t>
      </w:r>
    </w:p>
    <w:p w14:paraId="0000000E" w14:textId="77777777" w:rsidR="0003490F" w:rsidRDefault="0003490F">
      <w:pPr>
        <w:pBdr>
          <w:top w:val="nil"/>
          <w:left w:val="nil"/>
          <w:bottom w:val="nil"/>
          <w:right w:val="nil"/>
          <w:between w:val="nil"/>
        </w:pBdr>
        <w:spacing w:after="0" w:line="276" w:lineRule="auto"/>
        <w:rPr>
          <w:rFonts w:ascii="Arial" w:eastAsia="Arial" w:hAnsi="Arial" w:cs="Arial"/>
          <w:color w:val="000000"/>
          <w:sz w:val="20"/>
          <w:szCs w:val="20"/>
        </w:rPr>
      </w:pPr>
    </w:p>
    <w:p w14:paraId="0000000F" w14:textId="622AA62D" w:rsidR="0003490F" w:rsidRDefault="003C1E4A">
      <w:pPr>
        <w:pBdr>
          <w:top w:val="nil"/>
          <w:left w:val="nil"/>
          <w:bottom w:val="nil"/>
          <w:right w:val="nil"/>
          <w:between w:val="nil"/>
        </w:pBdr>
        <w:spacing w:after="0" w:line="276" w:lineRule="auto"/>
        <w:rPr>
          <w:rFonts w:ascii="Arial" w:eastAsia="Arial" w:hAnsi="Arial" w:cs="Arial"/>
          <w:b/>
          <w:color w:val="000000"/>
          <w:sz w:val="20"/>
          <w:szCs w:val="20"/>
        </w:rPr>
      </w:pPr>
      <w:r>
        <w:rPr>
          <w:rFonts w:ascii="Arial" w:eastAsia="Arial" w:hAnsi="Arial" w:cs="Arial"/>
          <w:b/>
          <w:color w:val="000000"/>
          <w:sz w:val="20"/>
          <w:szCs w:val="20"/>
        </w:rPr>
        <w:t>Společnost:</w:t>
      </w:r>
      <w:r>
        <w:rPr>
          <w:rFonts w:ascii="Arial" w:eastAsia="Arial" w:hAnsi="Arial" w:cs="Arial"/>
          <w:b/>
          <w:color w:val="000000"/>
          <w:sz w:val="20"/>
          <w:szCs w:val="20"/>
        </w:rPr>
        <w:tab/>
      </w:r>
      <w:r>
        <w:rPr>
          <w:rFonts w:ascii="Arial" w:eastAsia="Arial" w:hAnsi="Arial" w:cs="Arial"/>
          <w:b/>
          <w:color w:val="000000"/>
          <w:sz w:val="20"/>
          <w:szCs w:val="20"/>
        </w:rPr>
        <w:tab/>
      </w:r>
      <w:r w:rsidR="00A7560D" w:rsidRPr="00A7560D">
        <w:rPr>
          <w:rFonts w:ascii="Arial" w:eastAsia="Arial" w:hAnsi="Arial" w:cs="Arial"/>
          <w:b/>
          <w:color w:val="000000"/>
          <w:sz w:val="20"/>
          <w:szCs w:val="20"/>
        </w:rPr>
        <w:t>T-Mobile Czech Republic a.s.</w:t>
      </w:r>
      <w:r>
        <w:rPr>
          <w:rFonts w:ascii="Arial" w:eastAsia="Arial" w:hAnsi="Arial" w:cs="Arial"/>
          <w:b/>
          <w:i/>
          <w:color w:val="C00000"/>
          <w:sz w:val="20"/>
          <w:szCs w:val="20"/>
        </w:rPr>
        <w:t xml:space="preserve"> </w:t>
      </w:r>
    </w:p>
    <w:p w14:paraId="00000010" w14:textId="50AE8402"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r>
      <w:r>
        <w:rPr>
          <w:rFonts w:ascii="Arial" w:eastAsia="Arial" w:hAnsi="Arial" w:cs="Arial"/>
          <w:color w:val="000000"/>
          <w:sz w:val="20"/>
          <w:szCs w:val="20"/>
        </w:rPr>
        <w:tab/>
      </w:r>
      <w:r w:rsidR="00A7560D" w:rsidRPr="00A7560D">
        <w:rPr>
          <w:rFonts w:ascii="Arial" w:eastAsia="Arial" w:hAnsi="Arial" w:cs="Arial"/>
          <w:color w:val="000000"/>
          <w:sz w:val="20"/>
          <w:szCs w:val="20"/>
        </w:rPr>
        <w:t>Tomíčkova 2144/1, Praha 4, 148 00</w:t>
      </w:r>
      <w:r>
        <w:rPr>
          <w:rFonts w:ascii="Arial" w:eastAsia="Arial" w:hAnsi="Arial" w:cs="Arial"/>
          <w:b/>
          <w:i/>
          <w:color w:val="C00000"/>
          <w:sz w:val="20"/>
          <w:szCs w:val="20"/>
        </w:rPr>
        <w:t xml:space="preserve"> </w:t>
      </w:r>
      <w:r>
        <w:rPr>
          <w:rFonts w:ascii="Arial" w:eastAsia="Arial" w:hAnsi="Arial" w:cs="Arial"/>
          <w:color w:val="000000"/>
          <w:sz w:val="20"/>
          <w:szCs w:val="20"/>
        </w:rPr>
        <w:tab/>
      </w:r>
    </w:p>
    <w:p w14:paraId="00000011" w14:textId="76150EBB"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IČO: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A7560D" w:rsidRPr="00A7560D">
        <w:rPr>
          <w:rFonts w:ascii="Arial" w:eastAsia="Arial" w:hAnsi="Arial" w:cs="Arial"/>
          <w:color w:val="000000"/>
          <w:sz w:val="20"/>
          <w:szCs w:val="20"/>
        </w:rPr>
        <w:t>649</w:t>
      </w:r>
      <w:r w:rsidR="00A7560D">
        <w:rPr>
          <w:rFonts w:ascii="Arial" w:eastAsia="Arial" w:hAnsi="Arial" w:cs="Arial"/>
          <w:color w:val="000000"/>
          <w:sz w:val="20"/>
          <w:szCs w:val="20"/>
        </w:rPr>
        <w:t xml:space="preserve"> </w:t>
      </w:r>
      <w:r w:rsidR="00A7560D" w:rsidRPr="00A7560D">
        <w:rPr>
          <w:rFonts w:ascii="Arial" w:eastAsia="Arial" w:hAnsi="Arial" w:cs="Arial"/>
          <w:color w:val="000000"/>
          <w:sz w:val="20"/>
          <w:szCs w:val="20"/>
        </w:rPr>
        <w:t>49</w:t>
      </w:r>
      <w:r w:rsidR="00A7560D">
        <w:rPr>
          <w:rFonts w:ascii="Arial" w:eastAsia="Arial" w:hAnsi="Arial" w:cs="Arial"/>
          <w:color w:val="000000"/>
          <w:sz w:val="20"/>
          <w:szCs w:val="20"/>
        </w:rPr>
        <w:t xml:space="preserve"> </w:t>
      </w:r>
      <w:r w:rsidR="00A7560D" w:rsidRPr="00A7560D">
        <w:rPr>
          <w:rFonts w:ascii="Arial" w:eastAsia="Arial" w:hAnsi="Arial" w:cs="Arial"/>
          <w:color w:val="000000"/>
          <w:sz w:val="20"/>
          <w:szCs w:val="20"/>
        </w:rPr>
        <w:t>681</w:t>
      </w:r>
    </w:p>
    <w:p w14:paraId="00000012" w14:textId="7547267F"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w:t>
      </w:r>
      <w:r w:rsidR="00A7560D" w:rsidRPr="00A7560D">
        <w:rPr>
          <w:rFonts w:ascii="Arial" w:eastAsia="Arial" w:hAnsi="Arial" w:cs="Arial"/>
          <w:color w:val="000000"/>
          <w:sz w:val="20"/>
          <w:szCs w:val="20"/>
        </w:rPr>
        <w:t>64949681</w:t>
      </w:r>
    </w:p>
    <w:p w14:paraId="00000013" w14:textId="109F227D"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zastoupená:</w:t>
      </w:r>
      <w:r>
        <w:rPr>
          <w:rFonts w:ascii="Arial" w:eastAsia="Arial" w:hAnsi="Arial" w:cs="Arial"/>
          <w:color w:val="000000"/>
          <w:sz w:val="20"/>
          <w:szCs w:val="20"/>
        </w:rPr>
        <w:tab/>
      </w:r>
      <w:r>
        <w:rPr>
          <w:rFonts w:ascii="Arial" w:eastAsia="Arial" w:hAnsi="Arial" w:cs="Arial"/>
          <w:color w:val="000000"/>
          <w:sz w:val="20"/>
          <w:szCs w:val="20"/>
        </w:rPr>
        <w:tab/>
      </w:r>
      <w:r w:rsidR="00166711">
        <w:rPr>
          <w:rFonts w:ascii="Arial" w:eastAsia="Arial" w:hAnsi="Arial" w:cs="Arial"/>
          <w:color w:val="000000"/>
          <w:sz w:val="20"/>
          <w:szCs w:val="20"/>
        </w:rPr>
        <w:t xml:space="preserve">Bc. </w:t>
      </w:r>
      <w:r w:rsidR="00A7560D" w:rsidRPr="00A7560D">
        <w:rPr>
          <w:rFonts w:ascii="Arial" w:eastAsia="Arial" w:hAnsi="Arial" w:cs="Arial"/>
          <w:color w:val="000000"/>
          <w:sz w:val="20"/>
          <w:szCs w:val="20"/>
        </w:rPr>
        <w:t xml:space="preserve">Dagmar </w:t>
      </w:r>
      <w:proofErr w:type="spellStart"/>
      <w:r w:rsidR="00A7560D" w:rsidRPr="00A7560D">
        <w:rPr>
          <w:rFonts w:ascii="Arial" w:eastAsia="Arial" w:hAnsi="Arial" w:cs="Arial"/>
          <w:color w:val="000000"/>
          <w:sz w:val="20"/>
          <w:szCs w:val="20"/>
        </w:rPr>
        <w:t>Elbastawisi</w:t>
      </w:r>
      <w:proofErr w:type="spellEnd"/>
      <w:r w:rsidR="00A7560D" w:rsidRPr="00A7560D">
        <w:rPr>
          <w:rFonts w:ascii="Arial" w:eastAsia="Arial" w:hAnsi="Arial" w:cs="Arial"/>
          <w:color w:val="000000"/>
          <w:sz w:val="20"/>
          <w:szCs w:val="20"/>
        </w:rPr>
        <w:t xml:space="preserve">, </w:t>
      </w:r>
      <w:proofErr w:type="spellStart"/>
      <w:r w:rsidR="00A7560D" w:rsidRPr="00A7560D">
        <w:rPr>
          <w:rFonts w:ascii="Arial" w:eastAsia="Arial" w:hAnsi="Arial" w:cs="Arial"/>
          <w:color w:val="000000"/>
          <w:sz w:val="20"/>
          <w:szCs w:val="20"/>
        </w:rPr>
        <w:t>Head</w:t>
      </w:r>
      <w:proofErr w:type="spellEnd"/>
      <w:r w:rsidR="00A7560D" w:rsidRPr="00A7560D">
        <w:rPr>
          <w:rFonts w:ascii="Arial" w:eastAsia="Arial" w:hAnsi="Arial" w:cs="Arial"/>
          <w:color w:val="000000"/>
          <w:sz w:val="20"/>
          <w:szCs w:val="20"/>
        </w:rPr>
        <w:t xml:space="preserve"> </w:t>
      </w:r>
      <w:proofErr w:type="spellStart"/>
      <w:r w:rsidR="00A7560D" w:rsidRPr="00A7560D">
        <w:rPr>
          <w:rFonts w:ascii="Arial" w:eastAsia="Arial" w:hAnsi="Arial" w:cs="Arial"/>
          <w:color w:val="000000"/>
          <w:sz w:val="20"/>
          <w:szCs w:val="20"/>
        </w:rPr>
        <w:t>of</w:t>
      </w:r>
      <w:proofErr w:type="spellEnd"/>
      <w:r w:rsidR="00A7560D" w:rsidRPr="00A7560D">
        <w:rPr>
          <w:rFonts w:ascii="Arial" w:eastAsia="Arial" w:hAnsi="Arial" w:cs="Arial"/>
          <w:color w:val="000000"/>
          <w:sz w:val="20"/>
          <w:szCs w:val="20"/>
        </w:rPr>
        <w:t xml:space="preserve"> LCC and MS </w:t>
      </w:r>
      <w:proofErr w:type="spellStart"/>
      <w:r w:rsidR="00A7560D" w:rsidRPr="00A7560D">
        <w:rPr>
          <w:rFonts w:ascii="Arial" w:eastAsia="Arial" w:hAnsi="Arial" w:cs="Arial"/>
          <w:color w:val="000000"/>
          <w:sz w:val="20"/>
          <w:szCs w:val="20"/>
        </w:rPr>
        <w:t>Consulting</w:t>
      </w:r>
      <w:proofErr w:type="spellEnd"/>
      <w:r w:rsidR="00A7560D" w:rsidRPr="00A7560D">
        <w:rPr>
          <w:rFonts w:ascii="Arial" w:eastAsia="Arial" w:hAnsi="Arial" w:cs="Arial"/>
          <w:color w:val="000000"/>
          <w:sz w:val="20"/>
          <w:szCs w:val="20"/>
        </w:rPr>
        <w:t xml:space="preserve">, </w:t>
      </w:r>
      <w:r w:rsidR="00166711">
        <w:rPr>
          <w:rFonts w:ascii="Arial" w:eastAsia="Arial" w:hAnsi="Arial" w:cs="Arial"/>
          <w:color w:val="000000"/>
          <w:sz w:val="20"/>
          <w:szCs w:val="20"/>
        </w:rPr>
        <w:br/>
        <w:t xml:space="preserve"> </w:t>
      </w:r>
      <w:r w:rsidR="00166711">
        <w:rPr>
          <w:rFonts w:ascii="Arial" w:eastAsia="Arial" w:hAnsi="Arial" w:cs="Arial"/>
          <w:color w:val="000000"/>
          <w:sz w:val="20"/>
          <w:szCs w:val="20"/>
        </w:rPr>
        <w:tab/>
      </w:r>
      <w:r w:rsidR="00166711">
        <w:rPr>
          <w:rFonts w:ascii="Arial" w:eastAsia="Arial" w:hAnsi="Arial" w:cs="Arial"/>
          <w:color w:val="000000"/>
          <w:sz w:val="20"/>
          <w:szCs w:val="20"/>
        </w:rPr>
        <w:tab/>
      </w:r>
      <w:r w:rsidR="00166711">
        <w:rPr>
          <w:rFonts w:ascii="Arial" w:eastAsia="Arial" w:hAnsi="Arial" w:cs="Arial"/>
          <w:color w:val="000000"/>
          <w:sz w:val="20"/>
          <w:szCs w:val="20"/>
        </w:rPr>
        <w:tab/>
      </w:r>
      <w:r w:rsidR="00A7560D" w:rsidRPr="00A7560D">
        <w:rPr>
          <w:rFonts w:ascii="Arial" w:eastAsia="Arial" w:hAnsi="Arial" w:cs="Arial"/>
          <w:color w:val="000000"/>
          <w:sz w:val="20"/>
          <w:szCs w:val="20"/>
        </w:rPr>
        <w:t>na základě pověření</w:t>
      </w:r>
    </w:p>
    <w:p w14:paraId="3A65BFE5" w14:textId="2AE91E4D" w:rsidR="00FC4FD6" w:rsidRDefault="00FC4FD6">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Referenční č. </w:t>
      </w:r>
      <w:r w:rsidR="00A46E43">
        <w:rPr>
          <w:rFonts w:ascii="Arial" w:eastAsia="Arial" w:hAnsi="Arial" w:cs="Arial"/>
          <w:color w:val="000000"/>
          <w:sz w:val="20"/>
          <w:szCs w:val="20"/>
        </w:rPr>
        <w:t>s</w:t>
      </w:r>
      <w:r>
        <w:rPr>
          <w:rFonts w:ascii="Arial" w:eastAsia="Arial" w:hAnsi="Arial" w:cs="Arial"/>
          <w:color w:val="000000"/>
          <w:sz w:val="20"/>
          <w:szCs w:val="20"/>
        </w:rPr>
        <w:t xml:space="preserve">mlouvy: </w:t>
      </w:r>
      <w:r w:rsidR="00A46E43" w:rsidRPr="00A46E43">
        <w:rPr>
          <w:rFonts w:ascii="Arial" w:eastAsia="Arial" w:hAnsi="Arial" w:cs="Arial"/>
          <w:color w:val="000000"/>
          <w:sz w:val="20"/>
          <w:szCs w:val="20"/>
        </w:rPr>
        <w:t>LIC_2024_0152</w:t>
      </w:r>
    </w:p>
    <w:p w14:paraId="44D21A5D" w14:textId="77777777" w:rsidR="00166711" w:rsidRPr="00927800" w:rsidRDefault="00166711" w:rsidP="00166711">
      <w:pPr>
        <w:rPr>
          <w:sz w:val="24"/>
        </w:rPr>
      </w:pPr>
      <w:r w:rsidRPr="00927800">
        <w:rPr>
          <w:sz w:val="24"/>
        </w:rPr>
        <w:t xml:space="preserve">zapsaná v obchodním rejstříku vedeném u Městského soudu v Praze, oddíl B, vložka 3787 </w:t>
      </w:r>
    </w:p>
    <w:p w14:paraId="00000016" w14:textId="77777777" w:rsidR="0003490F" w:rsidRDefault="003C1E4A">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(dále jen „</w:t>
      </w:r>
      <w:r>
        <w:rPr>
          <w:rFonts w:ascii="Arial" w:eastAsia="Arial" w:hAnsi="Arial" w:cs="Arial"/>
          <w:b/>
          <w:color w:val="000000"/>
          <w:sz w:val="20"/>
          <w:szCs w:val="20"/>
        </w:rPr>
        <w:t>poskytovatel</w:t>
      </w:r>
      <w:r>
        <w:rPr>
          <w:rFonts w:ascii="Arial" w:eastAsia="Arial" w:hAnsi="Arial" w:cs="Arial"/>
          <w:color w:val="000000"/>
          <w:sz w:val="20"/>
          <w:szCs w:val="20"/>
        </w:rPr>
        <w:t>“)</w:t>
      </w:r>
    </w:p>
    <w:p w14:paraId="00000017" w14:textId="77777777" w:rsidR="0003490F" w:rsidRDefault="0003490F">
      <w:pPr>
        <w:tabs>
          <w:tab w:val="left" w:pos="2745"/>
        </w:tabs>
        <w:jc w:val="both"/>
        <w:rPr>
          <w:rFonts w:ascii="Arial" w:eastAsia="Arial" w:hAnsi="Arial" w:cs="Arial"/>
          <w:sz w:val="20"/>
          <w:szCs w:val="20"/>
        </w:rPr>
      </w:pPr>
    </w:p>
    <w:p w14:paraId="00000018" w14:textId="77777777" w:rsidR="0003490F" w:rsidRDefault="003C1E4A">
      <w:pPr>
        <w:tabs>
          <w:tab w:val="left" w:pos="2745"/>
        </w:tabs>
        <w:jc w:val="both"/>
        <w:rPr>
          <w:rFonts w:ascii="Arial" w:eastAsia="Arial" w:hAnsi="Arial" w:cs="Arial"/>
          <w:sz w:val="20"/>
          <w:szCs w:val="20"/>
        </w:rPr>
      </w:pPr>
      <w:r>
        <w:rPr>
          <w:rFonts w:ascii="Arial" w:eastAsia="Arial" w:hAnsi="Arial" w:cs="Arial"/>
          <w:sz w:val="20"/>
          <w:szCs w:val="20"/>
        </w:rPr>
        <w:t>Výše uvedené smluvní strany uzavírají následující smlouvu (dále jen „</w:t>
      </w:r>
      <w:r>
        <w:rPr>
          <w:rFonts w:ascii="Arial" w:eastAsia="Arial" w:hAnsi="Arial" w:cs="Arial"/>
          <w:b/>
          <w:sz w:val="20"/>
          <w:szCs w:val="20"/>
        </w:rPr>
        <w:t>Smlouva</w:t>
      </w:r>
      <w:r>
        <w:rPr>
          <w:rFonts w:ascii="Arial" w:eastAsia="Arial" w:hAnsi="Arial" w:cs="Arial"/>
          <w:sz w:val="20"/>
          <w:szCs w:val="20"/>
        </w:rPr>
        <w:t>“).</w:t>
      </w:r>
    </w:p>
    <w:p w14:paraId="00000019" w14:textId="77777777" w:rsidR="0003490F" w:rsidRDefault="0003490F">
      <w:pPr>
        <w:tabs>
          <w:tab w:val="left" w:pos="2745"/>
        </w:tabs>
        <w:jc w:val="both"/>
        <w:rPr>
          <w:rFonts w:ascii="Arial" w:eastAsia="Arial" w:hAnsi="Arial" w:cs="Arial"/>
          <w:sz w:val="20"/>
          <w:szCs w:val="20"/>
        </w:rPr>
      </w:pPr>
    </w:p>
    <w:p w14:paraId="0000001A" w14:textId="77777777" w:rsidR="0003490F" w:rsidRDefault="003C1E4A">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Preambule</w:t>
      </w:r>
    </w:p>
    <w:p w14:paraId="0000001B" w14:textId="77777777" w:rsidR="0003490F" w:rsidRDefault="003C1E4A">
      <w:pPr>
        <w:rPr>
          <w:rFonts w:ascii="Arial" w:eastAsia="Arial" w:hAnsi="Arial" w:cs="Arial"/>
          <w:sz w:val="20"/>
          <w:szCs w:val="20"/>
        </w:rPr>
      </w:pPr>
      <w:r>
        <w:rPr>
          <w:rFonts w:ascii="Arial" w:eastAsia="Arial" w:hAnsi="Arial" w:cs="Arial"/>
          <w:sz w:val="20"/>
          <w:szCs w:val="20"/>
        </w:rPr>
        <w:t>S ohledem na skutečnost, že:</w:t>
      </w:r>
    </w:p>
    <w:p w14:paraId="0000001C" w14:textId="1AEE95E8" w:rsidR="0003490F" w:rsidRDefault="003C1E4A">
      <w:pPr>
        <w:pStyle w:val="Nadpis2"/>
        <w:keepNext w:val="0"/>
        <w:widowControl w:val="0"/>
        <w:numPr>
          <w:ilvl w:val="0"/>
          <w:numId w:val="6"/>
        </w:numPr>
        <w:spacing w:before="120" w:after="0"/>
        <w:ind w:left="284" w:right="-17" w:hanging="284"/>
        <w:jc w:val="both"/>
        <w:rPr>
          <w:color w:val="000000"/>
          <w:sz w:val="20"/>
          <w:szCs w:val="20"/>
        </w:rPr>
      </w:pPr>
      <w:bookmarkStart w:id="0" w:name="_heading=h.lrui8ntwdld8" w:colFirst="0" w:colLast="0"/>
      <w:bookmarkEnd w:id="0"/>
      <w:r>
        <w:rPr>
          <w:b w:val="0"/>
          <w:color w:val="000000"/>
          <w:sz w:val="20"/>
          <w:szCs w:val="20"/>
        </w:rPr>
        <w:t>tato smlouva je uzavírána na základě výsledků zadávacího řízení na zakázku realizovanou podle zákona č. 134/2016 Sb., o zadávání veřejných zakázek, ve znění pozdějších předpisů s názvem</w:t>
      </w:r>
      <w:r>
        <w:rPr>
          <w:color w:val="000000"/>
          <w:sz w:val="20"/>
          <w:szCs w:val="20"/>
        </w:rPr>
        <w:t xml:space="preserve"> </w:t>
      </w:r>
      <w:r>
        <w:rPr>
          <w:b w:val="0"/>
          <w:color w:val="000000"/>
          <w:sz w:val="20"/>
          <w:szCs w:val="20"/>
        </w:rPr>
        <w:t>„</w:t>
      </w:r>
      <w:r w:rsidRPr="003C1E4A">
        <w:rPr>
          <w:color w:val="000000"/>
          <w:sz w:val="20"/>
          <w:szCs w:val="20"/>
        </w:rPr>
        <w:t>Zajištění SW produktů/licencí MICROSOFT - 2025/0092</w:t>
      </w:r>
      <w:r>
        <w:rPr>
          <w:b w:val="0"/>
          <w:color w:val="000000"/>
          <w:sz w:val="20"/>
          <w:szCs w:val="20"/>
        </w:rPr>
        <w:t xml:space="preserve">“; </w:t>
      </w:r>
      <w:r>
        <w:rPr>
          <w:color w:val="000000"/>
          <w:sz w:val="20"/>
          <w:szCs w:val="20"/>
        </w:rPr>
        <w:t xml:space="preserve">  </w:t>
      </w:r>
    </w:p>
    <w:p w14:paraId="0000001D" w14:textId="77777777" w:rsidR="0003490F" w:rsidRDefault="003C1E4A">
      <w:pPr>
        <w:pStyle w:val="Nadpis2"/>
        <w:keepNext w:val="0"/>
        <w:widowControl w:val="0"/>
        <w:numPr>
          <w:ilvl w:val="0"/>
          <w:numId w:val="6"/>
        </w:numPr>
        <w:spacing w:before="120" w:after="0"/>
        <w:ind w:left="284" w:right="-17" w:hanging="284"/>
        <w:jc w:val="both"/>
        <w:rPr>
          <w:b w:val="0"/>
          <w:color w:val="000000"/>
          <w:sz w:val="20"/>
          <w:szCs w:val="20"/>
        </w:rPr>
      </w:pPr>
      <w:r>
        <w:rPr>
          <w:b w:val="0"/>
          <w:sz w:val="20"/>
          <w:szCs w:val="20"/>
        </w:rPr>
        <w:t>v </w:t>
      </w:r>
      <w:r>
        <w:rPr>
          <w:b w:val="0"/>
          <w:color w:val="000000"/>
          <w:sz w:val="20"/>
          <w:szCs w:val="20"/>
        </w:rPr>
        <w:t>rámci</w:t>
      </w:r>
      <w:r>
        <w:rPr>
          <w:b w:val="0"/>
          <w:sz w:val="20"/>
          <w:szCs w:val="20"/>
        </w:rPr>
        <w:t xml:space="preserve"> předmětného zadávacího řízení byla jako ekonomicky nejvýhodnější nabídka vyhodnocena nabídka poskytovatele;</w:t>
      </w:r>
    </w:p>
    <w:p w14:paraId="0000001E" w14:textId="77777777" w:rsidR="0003490F" w:rsidRDefault="003C1E4A">
      <w:pPr>
        <w:pStyle w:val="Nadpis2"/>
        <w:keepNext w:val="0"/>
        <w:widowControl w:val="0"/>
        <w:numPr>
          <w:ilvl w:val="0"/>
          <w:numId w:val="6"/>
        </w:numPr>
        <w:spacing w:before="120" w:after="0"/>
        <w:ind w:left="284" w:right="-17" w:hanging="284"/>
        <w:jc w:val="both"/>
        <w:rPr>
          <w:b w:val="0"/>
          <w:color w:val="000000"/>
          <w:sz w:val="20"/>
          <w:szCs w:val="20"/>
        </w:rPr>
      </w:pPr>
      <w:bookmarkStart w:id="1" w:name="_heading=h.r4mi31vgoi49" w:colFirst="0" w:colLast="0"/>
      <w:bookmarkEnd w:id="1"/>
      <w:r>
        <w:rPr>
          <w:b w:val="0"/>
          <w:color w:val="000000"/>
          <w:sz w:val="20"/>
          <w:szCs w:val="20"/>
        </w:rPr>
        <w:t>poskytovatel podpisem této smlouvy potvrzuje, že se v plném rozsahu seznámil s rozsahem a povahou plnění týkající se předmětu výše uvedené zakázky, že jsou mu známy veškeré technické, kvalitativní a jiné podmínky a že disponuje takovými kapacitami a odbornými znalostmi a zkušenostmi, které jsou k plnění této smlouvy nezbytné;</w:t>
      </w:r>
    </w:p>
    <w:p w14:paraId="0000001F" w14:textId="77777777" w:rsidR="0003490F" w:rsidRDefault="003C1E4A">
      <w:pPr>
        <w:pStyle w:val="Nadpis2"/>
        <w:keepNext w:val="0"/>
        <w:widowControl w:val="0"/>
        <w:numPr>
          <w:ilvl w:val="0"/>
          <w:numId w:val="6"/>
        </w:numPr>
        <w:spacing w:before="120"/>
        <w:ind w:left="284" w:right="-17" w:hanging="284"/>
        <w:jc w:val="both"/>
        <w:rPr>
          <w:b w:val="0"/>
          <w:color w:val="000000"/>
          <w:sz w:val="20"/>
          <w:szCs w:val="20"/>
        </w:rPr>
      </w:pPr>
      <w:bookmarkStart w:id="2" w:name="_heading=h.4ilxpnvc7yk6" w:colFirst="0" w:colLast="0"/>
      <w:bookmarkEnd w:id="2"/>
      <w:r>
        <w:rPr>
          <w:b w:val="0"/>
          <w:color w:val="000000"/>
          <w:sz w:val="20"/>
          <w:szCs w:val="20"/>
        </w:rPr>
        <w:t>poskytovatel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smlouvy obsahuje a zohledňuje všechny výše uvedené podmínky a okolnosti,</w:t>
      </w:r>
    </w:p>
    <w:p w14:paraId="00000020" w14:textId="77777777" w:rsidR="0003490F" w:rsidRDefault="0003490F">
      <w:pPr>
        <w:rPr>
          <w:rFonts w:ascii="Arial" w:eastAsia="Arial" w:hAnsi="Arial" w:cs="Arial"/>
          <w:sz w:val="20"/>
          <w:szCs w:val="20"/>
        </w:rPr>
      </w:pPr>
    </w:p>
    <w:p w14:paraId="00000021" w14:textId="77777777" w:rsidR="0003490F" w:rsidRDefault="003C1E4A">
      <w:pPr>
        <w:rPr>
          <w:rFonts w:ascii="Arial" w:eastAsia="Arial" w:hAnsi="Arial" w:cs="Arial"/>
          <w:sz w:val="20"/>
          <w:szCs w:val="20"/>
        </w:rPr>
      </w:pPr>
      <w:r>
        <w:rPr>
          <w:rFonts w:ascii="Arial" w:eastAsia="Arial" w:hAnsi="Arial" w:cs="Arial"/>
          <w:sz w:val="20"/>
          <w:szCs w:val="20"/>
        </w:rPr>
        <w:t>se smluvní strany dohodly na uzavření této smlouvy.</w:t>
      </w:r>
    </w:p>
    <w:p w14:paraId="00000022"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Předmět plnění</w:t>
      </w:r>
    </w:p>
    <w:p w14:paraId="00000023" w14:textId="77777777" w:rsidR="0003490F" w:rsidRDefault="003C1E4A">
      <w:pPr>
        <w:numPr>
          <w:ilvl w:val="0"/>
          <w:numId w:val="8"/>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Poskytovatel se zavazuje poskytovat pro objednatele plnění v souladu s licenčními pravidly společnosti Microsoft Corporation na základě velkoobjemového licencování dle smlouvy Microsoft Product and Services Agreement (MPSA), jedná se o akademické licence, včetně doplňkových služeb dle požadavků objednatele. </w:t>
      </w:r>
    </w:p>
    <w:p w14:paraId="00000024" w14:textId="77777777" w:rsidR="0003490F" w:rsidRDefault="003C1E4A">
      <w:pPr>
        <w:numPr>
          <w:ilvl w:val="0"/>
          <w:numId w:val="8"/>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Licence pro jednotlivé produkty bude poskytovatel dodávat objednateli vždy pro produkty v aktuální verzi.</w:t>
      </w:r>
    </w:p>
    <w:p w14:paraId="00000025"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26" w14:textId="77777777" w:rsidR="0003490F" w:rsidRDefault="003C1E4A">
      <w:pPr>
        <w:numPr>
          <w:ilvl w:val="0"/>
          <w:numId w:val="8"/>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Poskytovatel se dále zavazuje:</w:t>
      </w:r>
    </w:p>
    <w:p w14:paraId="00000027" w14:textId="77777777" w:rsidR="0003490F" w:rsidRDefault="003C1E4A">
      <w:pPr>
        <w:numPr>
          <w:ilvl w:val="0"/>
          <w:numId w:val="9"/>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poskytovat objednateli poradenství ke způsobu nákupu licencí a jejich nasazení; poradenství souvisí zejm. s ověřením vhodnosti vybraných licencí pro účel specifikovaný objednatelem;</w:t>
      </w:r>
    </w:p>
    <w:p w14:paraId="00000028" w14:textId="77777777" w:rsidR="0003490F" w:rsidRDefault="003C1E4A">
      <w:pPr>
        <w:numPr>
          <w:ilvl w:val="0"/>
          <w:numId w:val="9"/>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vést evidenci objednatelem zakoupených licencí;</w:t>
      </w:r>
    </w:p>
    <w:p w14:paraId="00000029" w14:textId="77777777" w:rsidR="0003490F" w:rsidRDefault="003C1E4A">
      <w:pPr>
        <w:numPr>
          <w:ilvl w:val="0"/>
          <w:numId w:val="9"/>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zajistit přístup k portálu Microsoft za účelem získání instalačního SW;</w:t>
      </w:r>
    </w:p>
    <w:p w14:paraId="0000002A" w14:textId="77777777" w:rsidR="0003490F" w:rsidRDefault="003C1E4A">
      <w:pPr>
        <w:numPr>
          <w:ilvl w:val="0"/>
          <w:numId w:val="8"/>
        </w:numPr>
        <w:pBdr>
          <w:top w:val="nil"/>
          <w:left w:val="nil"/>
          <w:bottom w:val="nil"/>
          <w:right w:val="nil"/>
          <w:between w:val="nil"/>
        </w:pBdr>
        <w:spacing w:after="0" w:line="276" w:lineRule="auto"/>
        <w:ind w:left="426" w:hanging="426"/>
        <w:jc w:val="both"/>
        <w:rPr>
          <w:rFonts w:ascii="Arial" w:eastAsia="Arial" w:hAnsi="Arial" w:cs="Arial"/>
          <w:b/>
          <w:color w:val="000000"/>
          <w:sz w:val="20"/>
          <w:szCs w:val="20"/>
        </w:rPr>
      </w:pPr>
      <w:r>
        <w:rPr>
          <w:rFonts w:ascii="Arial" w:eastAsia="Arial" w:hAnsi="Arial" w:cs="Arial"/>
          <w:color w:val="000000"/>
          <w:sz w:val="20"/>
          <w:szCs w:val="20"/>
        </w:rPr>
        <w:t xml:space="preserve">Poskytovatel se dále zavazuje, že bude ve prospěch objednatele řádně a včas poskytovat níže uvedené služby. </w:t>
      </w:r>
      <w:r>
        <w:rPr>
          <w:rFonts w:ascii="Arial" w:eastAsia="Arial" w:hAnsi="Arial" w:cs="Arial"/>
          <w:b/>
          <w:color w:val="000000"/>
          <w:sz w:val="20"/>
          <w:szCs w:val="20"/>
        </w:rPr>
        <w:t>Cena za všechny služby uvedené v tomto článku smlouvy je součástí ceny uvedené v čl. IV. této smlouvy.</w:t>
      </w:r>
    </w:p>
    <w:p w14:paraId="0000002B" w14:textId="77777777" w:rsidR="0003490F" w:rsidRDefault="0003490F">
      <w:pPr>
        <w:pBdr>
          <w:top w:val="nil"/>
          <w:left w:val="nil"/>
          <w:bottom w:val="nil"/>
          <w:right w:val="nil"/>
          <w:between w:val="nil"/>
        </w:pBdr>
        <w:spacing w:after="0" w:line="276" w:lineRule="auto"/>
        <w:ind w:left="720"/>
        <w:rPr>
          <w:rFonts w:ascii="Arial" w:eastAsia="Arial" w:hAnsi="Arial" w:cs="Arial"/>
          <w:color w:val="000000"/>
          <w:sz w:val="20"/>
          <w:szCs w:val="20"/>
        </w:rPr>
      </w:pPr>
    </w:p>
    <w:p w14:paraId="0000002C"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Konzultace v oblasti licenční politiky SW Microsoft - poskytovatel se zavazuje poskytnout konzultaci nejpozději do 3 pracovních dnů od zadání požadavku objednatele.</w:t>
      </w:r>
    </w:p>
    <w:p w14:paraId="0000002D"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Zasílání aktuálních ceníků se zapracovanou slevou, a to pravidelně při každé změně ceníků, nejpozději k 5. dni kalendářního měsíce po změně aktuálních ceníků. V případě porušení této povinnosti poskytovatel objednateli odpovídá za škodu, která může objednateli v souvislosti s včasným neoznámením aktualizace ceníku vzniknout.</w:t>
      </w:r>
    </w:p>
    <w:p w14:paraId="0000002E"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Průběžné zpracování přehledu doposud odebraných licencí.</w:t>
      </w:r>
    </w:p>
    <w:p w14:paraId="0000002F"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Evidence kopií faktur doposud odebraných licencí.</w:t>
      </w:r>
    </w:p>
    <w:p w14:paraId="00000030"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Reklamační řízení – licence.</w:t>
      </w:r>
    </w:p>
    <w:p w14:paraId="00000031"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Přístup ke znalostním databázím zdarma.</w:t>
      </w:r>
    </w:p>
    <w:p w14:paraId="00000032"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Zprostředkování možnosti zkušebních instalací software.</w:t>
      </w:r>
    </w:p>
    <w:p w14:paraId="00000033" w14:textId="77777777" w:rsidR="0003490F" w:rsidRDefault="003C1E4A">
      <w:pPr>
        <w:numPr>
          <w:ilvl w:val="0"/>
          <w:numId w:val="10"/>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Udělení přístupu do portálů (Microsoft Business center, VLSC apod.) souvisejících s objednatelem zakoupenými licencemi, za účelem aktivace, správy, získání instalačního SW a licenčních klíčů. Zároveň zařazení zakoupených licencí do souvisejících portálů</w:t>
      </w:r>
    </w:p>
    <w:p w14:paraId="00000034" w14:textId="0D7731CD" w:rsidR="0003490F" w:rsidRDefault="003C1E4A">
      <w:pPr>
        <w:numPr>
          <w:ilvl w:val="0"/>
          <w:numId w:val="10"/>
        </w:numPr>
        <w:pBdr>
          <w:top w:val="nil"/>
          <w:left w:val="nil"/>
          <w:bottom w:val="nil"/>
          <w:right w:val="nil"/>
          <w:between w:val="nil"/>
        </w:pBd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Poskytovatel bude objednateli každé čtvrtletí poskytovat údaje o celkové ceně odebraného plnění za čtvrtletí a stejně tak začátkem roku za uplynulý rok na e-mail: </w:t>
      </w:r>
      <w:hyperlink r:id="rId8" w:history="1">
        <w:proofErr w:type="spellStart"/>
        <w:r w:rsidR="002F3F28">
          <w:rPr>
            <w:rStyle w:val="Hypertextovodkaz"/>
            <w:rFonts w:ascii="Arial" w:eastAsia="Arial" w:hAnsi="Arial" w:cs="Arial"/>
            <w:sz w:val="20"/>
            <w:szCs w:val="20"/>
          </w:rPr>
          <w:t>xxx</w:t>
        </w:r>
        <w:proofErr w:type="spellEnd"/>
      </w:hyperlink>
      <w:r w:rsidR="000B1FD8">
        <w:rPr>
          <w:rFonts w:ascii="Arial" w:eastAsia="Arial" w:hAnsi="Arial" w:cs="Arial"/>
          <w:color w:val="000000"/>
          <w:sz w:val="20"/>
          <w:szCs w:val="20"/>
        </w:rPr>
        <w:t xml:space="preserve">. </w:t>
      </w:r>
    </w:p>
    <w:p w14:paraId="00000035" w14:textId="77777777" w:rsidR="0003490F" w:rsidRDefault="0003490F">
      <w:pPr>
        <w:ind w:left="360"/>
        <w:jc w:val="both"/>
        <w:rPr>
          <w:rFonts w:ascii="Arial" w:eastAsia="Arial" w:hAnsi="Arial" w:cs="Arial"/>
          <w:sz w:val="20"/>
          <w:szCs w:val="20"/>
        </w:rPr>
      </w:pPr>
    </w:p>
    <w:p w14:paraId="00000036" w14:textId="77777777" w:rsidR="0003490F" w:rsidRDefault="0003490F">
      <w:pPr>
        <w:pBdr>
          <w:top w:val="nil"/>
          <w:left w:val="nil"/>
          <w:bottom w:val="nil"/>
          <w:right w:val="nil"/>
          <w:between w:val="nil"/>
        </w:pBdr>
        <w:spacing w:after="0" w:line="276" w:lineRule="auto"/>
        <w:ind w:left="851"/>
        <w:jc w:val="both"/>
        <w:rPr>
          <w:rFonts w:ascii="Arial" w:eastAsia="Arial" w:hAnsi="Arial" w:cs="Arial"/>
          <w:color w:val="000000"/>
          <w:sz w:val="20"/>
          <w:szCs w:val="20"/>
        </w:rPr>
      </w:pPr>
    </w:p>
    <w:p w14:paraId="00000037"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Způsob, doba a místo plnění smlouvy</w:t>
      </w:r>
    </w:p>
    <w:p w14:paraId="00000038" w14:textId="77777777" w:rsidR="0003490F" w:rsidRDefault="003C1E4A">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strany se dohodly, že všechny objednávky licencí realizované podle této smlouvy jsou a musí být v souladu s licenčními pravidly společnosti Microsoft Corporation. </w:t>
      </w:r>
    </w:p>
    <w:p w14:paraId="00000039"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A" w14:textId="77777777" w:rsidR="0003490F" w:rsidRDefault="003C1E4A">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Dodací lhůta plnění je 14 kalendářních dní po objednání objednatelem, pokud se objednavatel s poskytovatelem nedohodnou jinak.</w:t>
      </w:r>
    </w:p>
    <w:p w14:paraId="0000003B"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C" w14:textId="455B9187" w:rsidR="0003490F" w:rsidRDefault="003C1E4A">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se dohodly, že poskytovatel bude povinen poskytovat objednateli plnění na základě písemných výzev objednatele, které poskytovatel objednateli není povinen písemně potvrzovat. Závazek poskytovatele poskytnout plnění vzniká okamžikem doručení výzvy na emailovou adresu</w:t>
      </w:r>
      <w:r w:rsidR="00166711">
        <w:rPr>
          <w:rFonts w:ascii="Arial" w:eastAsia="Arial" w:hAnsi="Arial" w:cs="Arial"/>
          <w:color w:val="000000"/>
          <w:sz w:val="20"/>
          <w:szCs w:val="20"/>
        </w:rPr>
        <w:t xml:space="preserve"> </w:t>
      </w:r>
      <w:proofErr w:type="spellStart"/>
      <w:r w:rsidR="002F3F28">
        <w:rPr>
          <w:rFonts w:ascii="Arial" w:eastAsia="Arial" w:hAnsi="Arial" w:cs="Arial"/>
          <w:color w:val="000000"/>
          <w:sz w:val="20"/>
          <w:szCs w:val="20"/>
        </w:rPr>
        <w:t>xxx</w:t>
      </w:r>
      <w:proofErr w:type="spellEnd"/>
      <w:r>
        <w:rPr>
          <w:rFonts w:ascii="Arial" w:eastAsia="Arial" w:hAnsi="Arial" w:cs="Arial"/>
          <w:color w:val="000000"/>
          <w:sz w:val="20"/>
          <w:szCs w:val="20"/>
        </w:rPr>
        <w:t xml:space="preserve">; pro bezproblémové zajištění plnění podmínek této smlouvy je poskytovatel povinen zajistit funkčnost této emailové adresy po celou dobu trvání této smlouvy, popř. jakoukoliv změnu včas předem objednateli písemně (postačí emailem) oznámit. V případě jakýchkoliv pochybností platí, že výzva k plnění byla doručena následující pracovní den po odeslání objednatelem, tedy emailu objednatele s požadavkem na konkrétní plnění dle podmínek této smlouvy. Ve výzvě k plnění bude uvedeno, jaké plnění objednatel požaduje, specifikace, počty, cena, termín dodání, případně další doplňující požadavky. </w:t>
      </w:r>
    </w:p>
    <w:p w14:paraId="0000003D"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E" w14:textId="77777777" w:rsidR="0003490F" w:rsidRDefault="003C1E4A">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se dohodly, že místem plnění je sídlo objednatele.</w:t>
      </w:r>
    </w:p>
    <w:p w14:paraId="0000003F"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40"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41"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Cena licencí a dalších služeb</w:t>
      </w:r>
    </w:p>
    <w:p w14:paraId="00000042" w14:textId="1366D162" w:rsidR="0003490F" w:rsidRDefault="003C1E4A">
      <w:pPr>
        <w:numPr>
          <w:ilvl w:val="0"/>
          <w:numId w:val="11"/>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Cena zboží (jednotlivých licencí) je uvedena v aktuálním ceníku poskytovatele. Od těchto cen bude pro každou objednávku odečtena poskytnutá nabídnutá sleva</w:t>
      </w:r>
      <w:r w:rsidR="00AB0AFF">
        <w:rPr>
          <w:rFonts w:ascii="Arial" w:eastAsia="Arial" w:hAnsi="Arial" w:cs="Arial"/>
          <w:color w:val="000000"/>
          <w:sz w:val="20"/>
          <w:szCs w:val="20"/>
        </w:rPr>
        <w:t>,</w:t>
      </w:r>
      <w:r>
        <w:rPr>
          <w:rFonts w:ascii="Arial" w:eastAsia="Arial" w:hAnsi="Arial" w:cs="Arial"/>
          <w:color w:val="000000"/>
          <w:sz w:val="20"/>
          <w:szCs w:val="20"/>
        </w:rPr>
        <w:t xml:space="preserve"> a to v souladu s čl. IV. odst. 2 této smlouvy. V ceně zboží jsou zahrnuty veškeré náklady poskytovatele spojené s plněním podle této smlouvy, zejména doprava na místo plnění, pojištění, veškeré služby uvedené v čl. II této smlouvy apod.  </w:t>
      </w:r>
    </w:p>
    <w:p w14:paraId="00000043" w14:textId="77777777" w:rsidR="0003490F" w:rsidRDefault="003C1E4A">
      <w:pPr>
        <w:pBdr>
          <w:top w:val="nil"/>
          <w:left w:val="nil"/>
          <w:bottom w:val="nil"/>
          <w:right w:val="nil"/>
          <w:between w:val="nil"/>
        </w:pBdr>
        <w:spacing w:after="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0000044" w14:textId="35C5FF73" w:rsidR="0003490F" w:rsidRDefault="003C1E4A">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Způsob určení ceny plnění byl stanoven na základě výsledků zakázky: </w:t>
      </w:r>
    </w:p>
    <w:p w14:paraId="00000045" w14:textId="1ABB6831" w:rsidR="0003490F" w:rsidRDefault="003C1E4A">
      <w:pPr>
        <w:pBdr>
          <w:top w:val="nil"/>
          <w:left w:val="nil"/>
          <w:bottom w:val="nil"/>
          <w:right w:val="nil"/>
          <w:between w:val="nil"/>
        </w:pBdr>
        <w:spacing w:after="20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Poskytnutá sleva na akademické licence v rámci Microsoft </w:t>
      </w:r>
      <w:proofErr w:type="spellStart"/>
      <w:r>
        <w:rPr>
          <w:rFonts w:ascii="Arial" w:eastAsia="Arial" w:hAnsi="Arial" w:cs="Arial"/>
          <w:color w:val="000000"/>
          <w:sz w:val="20"/>
          <w:szCs w:val="20"/>
        </w:rPr>
        <w:t>Product</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Services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Agreement</w:t>
      </w:r>
      <w:proofErr w:type="spellEnd"/>
      <w:r>
        <w:rPr>
          <w:rFonts w:ascii="Arial" w:eastAsia="Arial" w:hAnsi="Arial" w:cs="Arial"/>
          <w:color w:val="000000"/>
          <w:sz w:val="20"/>
          <w:szCs w:val="20"/>
        </w:rPr>
        <w:t xml:space="preserve"> (MPSA): </w:t>
      </w:r>
      <w:r w:rsidR="00166711">
        <w:rPr>
          <w:rFonts w:ascii="Arial" w:eastAsia="Arial" w:hAnsi="Arial" w:cs="Arial"/>
          <w:color w:val="000000"/>
          <w:sz w:val="20"/>
          <w:szCs w:val="20"/>
        </w:rPr>
        <w:t>16,81</w:t>
      </w:r>
      <w:r w:rsidR="002F3F28">
        <w:rPr>
          <w:rFonts w:ascii="Arial" w:eastAsia="Arial" w:hAnsi="Arial" w:cs="Arial"/>
          <w:color w:val="000000"/>
          <w:sz w:val="20"/>
          <w:szCs w:val="20"/>
        </w:rPr>
        <w:t xml:space="preserve"> </w:t>
      </w:r>
      <w:r w:rsidR="00166711">
        <w:rPr>
          <w:rFonts w:ascii="Arial" w:eastAsia="Arial" w:hAnsi="Arial" w:cs="Arial"/>
          <w:color w:val="000000"/>
          <w:sz w:val="20"/>
          <w:szCs w:val="20"/>
        </w:rPr>
        <w:t>%</w:t>
      </w:r>
      <w:r>
        <w:rPr>
          <w:rFonts w:ascii="Arial" w:eastAsia="Arial" w:hAnsi="Arial" w:cs="Arial"/>
          <w:color w:val="000000"/>
          <w:sz w:val="20"/>
          <w:szCs w:val="20"/>
        </w:rPr>
        <w:t>, včetně doplňkových služeb dle požadavků objednatele</w:t>
      </w:r>
    </w:p>
    <w:p w14:paraId="00000046" w14:textId="77777777" w:rsidR="0003490F" w:rsidRDefault="003C1E4A">
      <w:pPr>
        <w:pBdr>
          <w:top w:val="nil"/>
          <w:left w:val="nil"/>
          <w:bottom w:val="nil"/>
          <w:right w:val="nil"/>
          <w:between w:val="nil"/>
        </w:pBdr>
        <w:spacing w:after="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V průběhu plnění této smlouvy je poskytovatel oprávněn poskytnout objednateli slevu na licence vyšší, než která je uvedena v této smlouvě.  </w:t>
      </w:r>
    </w:p>
    <w:p w14:paraId="00000047" w14:textId="77777777" w:rsidR="0003490F" w:rsidRDefault="0003490F">
      <w:pPr>
        <w:pBdr>
          <w:top w:val="nil"/>
          <w:left w:val="nil"/>
          <w:bottom w:val="nil"/>
          <w:right w:val="nil"/>
          <w:between w:val="nil"/>
        </w:pBdr>
        <w:spacing w:after="0" w:line="276" w:lineRule="auto"/>
        <w:ind w:left="426"/>
        <w:jc w:val="both"/>
        <w:rPr>
          <w:rFonts w:ascii="Arial" w:eastAsia="Arial" w:hAnsi="Arial" w:cs="Arial"/>
          <w:b/>
          <w:color w:val="000000"/>
          <w:sz w:val="20"/>
          <w:szCs w:val="20"/>
        </w:rPr>
      </w:pPr>
    </w:p>
    <w:p w14:paraId="00000048" w14:textId="77777777" w:rsidR="0003490F" w:rsidRDefault="003C1E4A">
      <w:pPr>
        <w:pBdr>
          <w:top w:val="nil"/>
          <w:left w:val="nil"/>
          <w:bottom w:val="nil"/>
          <w:right w:val="nil"/>
          <w:between w:val="nil"/>
        </w:pBdr>
        <w:spacing w:after="0" w:line="276" w:lineRule="auto"/>
        <w:ind w:left="426"/>
        <w:jc w:val="both"/>
        <w:rPr>
          <w:rFonts w:ascii="Arial" w:eastAsia="Arial" w:hAnsi="Arial" w:cs="Arial"/>
          <w:b/>
          <w:color w:val="000000"/>
          <w:sz w:val="20"/>
          <w:szCs w:val="20"/>
          <w:u w:val="single"/>
        </w:rPr>
      </w:pPr>
      <w:r>
        <w:rPr>
          <w:rFonts w:ascii="Arial" w:eastAsia="Arial" w:hAnsi="Arial" w:cs="Arial"/>
          <w:b/>
          <w:color w:val="000000"/>
          <w:sz w:val="20"/>
          <w:szCs w:val="20"/>
          <w:u w:val="single"/>
        </w:rPr>
        <w:t>Konstrukce cen v:</w:t>
      </w:r>
      <w:r>
        <w:rPr>
          <w:rFonts w:ascii="Arial" w:eastAsia="Arial" w:hAnsi="Arial" w:cs="Arial"/>
          <w:b/>
          <w:color w:val="000000"/>
          <w:sz w:val="20"/>
          <w:szCs w:val="20"/>
          <w:u w:val="single"/>
        </w:rPr>
        <w:tab/>
      </w:r>
    </w:p>
    <w:p w14:paraId="00000049" w14:textId="77777777" w:rsidR="0003490F" w:rsidRDefault="003C1E4A">
      <w:pPr>
        <w:numPr>
          <w:ilvl w:val="0"/>
          <w:numId w:val="12"/>
        </w:numPr>
        <w:pBdr>
          <w:top w:val="nil"/>
          <w:left w:val="nil"/>
          <w:bottom w:val="nil"/>
          <w:right w:val="nil"/>
          <w:between w:val="nil"/>
        </w:pBdr>
        <w:spacing w:after="20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cena licencí pořizovaných v rámci této smlouvy bez DPH bude stanovena dle následujícího vzorce:</w:t>
      </w:r>
    </w:p>
    <w:p w14:paraId="0000004A" w14:textId="77777777" w:rsidR="0003490F" w:rsidRDefault="003C1E4A">
      <w:pPr>
        <w:ind w:left="851"/>
        <w:jc w:val="both"/>
        <w:rPr>
          <w:rFonts w:ascii="Arial" w:eastAsia="Arial" w:hAnsi="Arial" w:cs="Arial"/>
          <w:b/>
          <w:sz w:val="20"/>
          <w:szCs w:val="20"/>
        </w:rPr>
      </w:pPr>
      <w:r>
        <w:rPr>
          <w:rFonts w:ascii="Arial" w:eastAsia="Arial" w:hAnsi="Arial" w:cs="Arial"/>
          <w:b/>
          <w:sz w:val="20"/>
          <w:szCs w:val="20"/>
        </w:rPr>
        <w:t>Cena v Kč bez DPH = a x b x c</w:t>
      </w:r>
    </w:p>
    <w:p w14:paraId="0000004B" w14:textId="77777777" w:rsidR="0003490F" w:rsidRDefault="003C1E4A">
      <w:pPr>
        <w:ind w:left="851"/>
        <w:jc w:val="both"/>
        <w:rPr>
          <w:rFonts w:ascii="Arial" w:eastAsia="Arial" w:hAnsi="Arial" w:cs="Arial"/>
          <w:sz w:val="20"/>
          <w:szCs w:val="20"/>
        </w:rPr>
      </w:pPr>
      <w:r>
        <w:rPr>
          <w:rFonts w:ascii="Arial" w:eastAsia="Arial" w:hAnsi="Arial" w:cs="Arial"/>
          <w:b/>
          <w:sz w:val="20"/>
          <w:szCs w:val="20"/>
        </w:rPr>
        <w:t xml:space="preserve">a </w:t>
      </w:r>
      <w:r>
        <w:rPr>
          <w:rFonts w:ascii="Arial" w:eastAsia="Arial" w:hAnsi="Arial" w:cs="Arial"/>
          <w:sz w:val="20"/>
          <w:szCs w:val="20"/>
        </w:rPr>
        <w:t>je koncová doporučená cena firmy Microsoft pro zákazníka dle aktuálního ceníku v euro,</w:t>
      </w:r>
    </w:p>
    <w:p w14:paraId="0000004C" w14:textId="193D0F9C" w:rsidR="0003490F" w:rsidRDefault="003C1E4A">
      <w:pPr>
        <w:ind w:left="851"/>
        <w:jc w:val="both"/>
        <w:rPr>
          <w:rFonts w:ascii="Arial" w:eastAsia="Arial" w:hAnsi="Arial" w:cs="Arial"/>
          <w:sz w:val="20"/>
          <w:szCs w:val="20"/>
        </w:rPr>
      </w:pPr>
      <w:r>
        <w:rPr>
          <w:rFonts w:ascii="Arial" w:eastAsia="Arial" w:hAnsi="Arial" w:cs="Arial"/>
          <w:b/>
          <w:sz w:val="20"/>
          <w:szCs w:val="20"/>
        </w:rPr>
        <w:t xml:space="preserve">b </w:t>
      </w:r>
      <w:r>
        <w:rPr>
          <w:rFonts w:ascii="Arial" w:eastAsia="Arial" w:hAnsi="Arial" w:cs="Arial"/>
          <w:sz w:val="20"/>
          <w:szCs w:val="20"/>
        </w:rPr>
        <w:t xml:space="preserve">je kurz euro k české koruně dle ČNB v den vzniku daňové povinnosti, </w:t>
      </w:r>
    </w:p>
    <w:p w14:paraId="0000004D" w14:textId="411C8281" w:rsidR="0003490F" w:rsidRDefault="003C1E4A">
      <w:pPr>
        <w:ind w:left="851"/>
        <w:jc w:val="both"/>
        <w:rPr>
          <w:rFonts w:ascii="Arial" w:eastAsia="Arial" w:hAnsi="Arial" w:cs="Arial"/>
          <w:sz w:val="20"/>
          <w:szCs w:val="20"/>
        </w:rPr>
      </w:pPr>
      <w:r>
        <w:rPr>
          <w:rFonts w:ascii="Arial" w:eastAsia="Arial" w:hAnsi="Arial" w:cs="Arial"/>
          <w:b/>
          <w:sz w:val="20"/>
          <w:szCs w:val="20"/>
        </w:rPr>
        <w:t xml:space="preserve">c </w:t>
      </w:r>
      <w:r>
        <w:rPr>
          <w:rFonts w:ascii="Arial" w:eastAsia="Arial" w:hAnsi="Arial" w:cs="Arial"/>
          <w:sz w:val="20"/>
          <w:szCs w:val="20"/>
        </w:rPr>
        <w:t xml:space="preserve">je koeficient přepočtu navrhované slevy poskytnuté poskytovatelem - koeficient </w:t>
      </w:r>
      <w:r>
        <w:rPr>
          <w:rFonts w:ascii="Arial" w:eastAsia="Arial" w:hAnsi="Arial" w:cs="Arial"/>
          <w:b/>
          <w:sz w:val="20"/>
          <w:szCs w:val="20"/>
        </w:rPr>
        <w:t xml:space="preserve">c </w:t>
      </w:r>
      <w:r>
        <w:rPr>
          <w:rFonts w:ascii="Arial" w:eastAsia="Arial" w:hAnsi="Arial" w:cs="Arial"/>
          <w:sz w:val="20"/>
          <w:szCs w:val="20"/>
        </w:rPr>
        <w:t xml:space="preserve">= </w:t>
      </w:r>
      <w:r w:rsidR="00166711">
        <w:rPr>
          <w:rFonts w:ascii="Arial" w:eastAsia="Arial" w:hAnsi="Arial" w:cs="Arial"/>
          <w:color w:val="000000"/>
          <w:sz w:val="20"/>
          <w:szCs w:val="20"/>
        </w:rPr>
        <w:t>16,81</w:t>
      </w:r>
      <w:proofErr w:type="gramStart"/>
      <w:r w:rsidR="00166711">
        <w:rPr>
          <w:rFonts w:ascii="Arial" w:eastAsia="Arial" w:hAnsi="Arial" w:cs="Arial"/>
          <w:color w:val="000000"/>
          <w:sz w:val="20"/>
          <w:szCs w:val="20"/>
        </w:rPr>
        <w:t xml:space="preserve">% </w:t>
      </w:r>
      <w:r>
        <w:rPr>
          <w:rFonts w:ascii="Arial" w:eastAsia="Arial" w:hAnsi="Arial" w:cs="Arial"/>
          <w:b/>
          <w:i/>
          <w:color w:val="C00000"/>
          <w:sz w:val="20"/>
          <w:szCs w:val="20"/>
        </w:rPr>
        <w:t xml:space="preserve"> </w:t>
      </w:r>
      <w:r>
        <w:rPr>
          <w:rFonts w:ascii="Arial" w:eastAsia="Arial" w:hAnsi="Arial" w:cs="Arial"/>
          <w:sz w:val="20"/>
          <w:szCs w:val="20"/>
        </w:rPr>
        <w:t>pro</w:t>
      </w:r>
      <w:proofErr w:type="gramEnd"/>
      <w:r>
        <w:rPr>
          <w:rFonts w:ascii="Arial" w:eastAsia="Arial" w:hAnsi="Arial" w:cs="Arial"/>
          <w:sz w:val="20"/>
          <w:szCs w:val="20"/>
        </w:rPr>
        <w:t xml:space="preserve"> MPSA.</w:t>
      </w:r>
    </w:p>
    <w:p w14:paraId="0000004E" w14:textId="77777777" w:rsidR="0003490F" w:rsidRDefault="0003490F">
      <w:pPr>
        <w:ind w:left="851"/>
        <w:jc w:val="both"/>
        <w:rPr>
          <w:rFonts w:ascii="Arial" w:eastAsia="Arial" w:hAnsi="Arial" w:cs="Arial"/>
          <w:sz w:val="20"/>
          <w:szCs w:val="20"/>
        </w:rPr>
      </w:pPr>
    </w:p>
    <w:p w14:paraId="0000004F" w14:textId="77777777" w:rsidR="0003490F" w:rsidRDefault="003C1E4A">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Platební podmínky</w:t>
      </w:r>
    </w:p>
    <w:p w14:paraId="00000050"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 xml:space="preserve">Cena za plnění dle konkrétní objednávky bude objednatelem zaplacena v souladu s příslušnou výzvou k plnění. </w:t>
      </w:r>
    </w:p>
    <w:p w14:paraId="00000051"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 xml:space="preserve">Cena za plnění bude stanovená na základě vzorce uvedeného v čl. IV odst. 2 této smlouvy. Veškeré platby budou v české měně na základě řádně vystaveného daňového dokladu – faktury. Součástí každého daňového dokladu bude příslušný předávací protokol, kterým bude deklarováno řádné předání plnění podle této smlouvy, tj. příslušných licencí a poskytnutí příslušných služeb. K ceně bez DPH bude připočtena daň dle platných právních předpisů v okamžiku plnění. </w:t>
      </w:r>
    </w:p>
    <w:p w14:paraId="00000052" w14:textId="6A7B5A1E" w:rsidR="0003490F" w:rsidRDefault="003C1E4A">
      <w:pPr>
        <w:ind w:left="426" w:hanging="426"/>
        <w:jc w:val="both"/>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rPr>
        <w:tab/>
        <w:t>Faktura – daňový doklad bude obsahovat náležitosti běžné v obchodním styku, náležitosti daňového dokladu podle zákona č. 235/2004 Sb., o dani z přidané hodnoty, ve znění pozdějších předpisů a náležitosti obchodní listiny ve smyslu ustanovení § 435 zákona č. 89/2012 Sb., občanského zákoníku, ve znění pozdějších předpisů.  Je-li na výzvě k plnění uveden název a číslo projektu, popř. číslo výzvy k plnění, budou tyto údaje</w:t>
      </w:r>
      <w:r w:rsidR="00AB0AFF">
        <w:rPr>
          <w:rFonts w:ascii="Arial" w:eastAsia="Arial" w:hAnsi="Arial" w:cs="Arial"/>
          <w:sz w:val="20"/>
          <w:szCs w:val="20"/>
        </w:rPr>
        <w:t>,</w:t>
      </w:r>
      <w:r>
        <w:rPr>
          <w:rFonts w:ascii="Arial" w:eastAsia="Arial" w:hAnsi="Arial" w:cs="Arial"/>
          <w:sz w:val="20"/>
          <w:szCs w:val="20"/>
        </w:rPr>
        <w:t xml:space="preserve"> popř. jiné údaje požadované objednatelem uvedeny na dodávané faktuře.</w:t>
      </w:r>
    </w:p>
    <w:p w14:paraId="00000053"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 xml:space="preserve">Datem zdanitelného plnění je datum předání a převzetí plnění dle této smlouvy uvedené v předávacím protokolu. </w:t>
      </w:r>
    </w:p>
    <w:p w14:paraId="00000054"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 xml:space="preserve">V případě, že faktura nebude mít odpovídající náležitosti, je objednatel oprávněn ji vrátit ve lhůtě splatnosti zpět poskytovateli k doplnění, aniž se tak dostane do prodlení se splatností. Lhůta </w:t>
      </w:r>
      <w:r>
        <w:rPr>
          <w:rFonts w:ascii="Arial" w:eastAsia="Arial" w:hAnsi="Arial" w:cs="Arial"/>
          <w:sz w:val="20"/>
          <w:szCs w:val="20"/>
        </w:rPr>
        <w:lastRenderedPageBreak/>
        <w:t xml:space="preserve">splatnosti počíná běžet znovu od opětovného doručení náležitě doplněné či opravené faktury objednateli. </w:t>
      </w:r>
    </w:p>
    <w:p w14:paraId="00000055" w14:textId="66000310" w:rsidR="0003490F" w:rsidRDefault="003C1E4A">
      <w:pPr>
        <w:ind w:left="426" w:hanging="426"/>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 xml:space="preserve">Splatnost faktury se sjednává na 30 kalendářních dnů ode dne jejího doručení. </w:t>
      </w:r>
      <w:proofErr w:type="gramStart"/>
      <w:r>
        <w:rPr>
          <w:rFonts w:ascii="Arial" w:eastAsia="Arial" w:hAnsi="Arial" w:cs="Arial"/>
          <w:sz w:val="20"/>
          <w:szCs w:val="20"/>
        </w:rPr>
        <w:t>Faktura - daňový</w:t>
      </w:r>
      <w:proofErr w:type="gramEnd"/>
      <w:r>
        <w:rPr>
          <w:rFonts w:ascii="Arial" w:eastAsia="Arial" w:hAnsi="Arial" w:cs="Arial"/>
          <w:sz w:val="20"/>
          <w:szCs w:val="20"/>
        </w:rPr>
        <w:t xml:space="preserve"> doklad musí být doručena elektronicky na emailovou adresu </w:t>
      </w:r>
      <w:proofErr w:type="spellStart"/>
      <w:r w:rsidR="002F3F28">
        <w:rPr>
          <w:rFonts w:ascii="Arial" w:eastAsia="Arial" w:hAnsi="Arial" w:cs="Arial"/>
          <w:sz w:val="20"/>
          <w:szCs w:val="20"/>
        </w:rPr>
        <w:t>xxx</w:t>
      </w:r>
      <w:proofErr w:type="spellEnd"/>
      <w:r>
        <w:rPr>
          <w:rFonts w:ascii="Arial" w:eastAsia="Arial" w:hAnsi="Arial" w:cs="Arial"/>
          <w:sz w:val="20"/>
          <w:szCs w:val="20"/>
        </w:rPr>
        <w:t xml:space="preserve"> ve formátu ISDOC nebo PDF.</w:t>
      </w:r>
    </w:p>
    <w:p w14:paraId="00000056"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 xml:space="preserve">7. </w:t>
      </w:r>
      <w:r>
        <w:rPr>
          <w:rFonts w:ascii="Arial" w:eastAsia="Arial" w:hAnsi="Arial" w:cs="Arial"/>
          <w:sz w:val="20"/>
          <w:szCs w:val="20"/>
        </w:rPr>
        <w:tab/>
        <w:t xml:space="preserve">Cena za plnění podle této smlouvy bude objednatelem uhrazena na bankovní účet poskytovatele uvedený v záhlaví této smlouvy.  </w:t>
      </w:r>
    </w:p>
    <w:p w14:paraId="00000057" w14:textId="77777777" w:rsidR="0003490F" w:rsidRDefault="003C1E4A">
      <w:pPr>
        <w:ind w:left="426" w:hanging="426"/>
        <w:jc w:val="both"/>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t>Objednatel neposkytuje žádné zálohy na úhradu ceny plnění.</w:t>
      </w:r>
    </w:p>
    <w:p w14:paraId="00000058" w14:textId="77777777" w:rsidR="0003490F" w:rsidRDefault="0003490F">
      <w:pPr>
        <w:ind w:left="426" w:hanging="426"/>
        <w:jc w:val="both"/>
        <w:rPr>
          <w:rFonts w:ascii="Arial" w:eastAsia="Arial" w:hAnsi="Arial" w:cs="Arial"/>
          <w:sz w:val="20"/>
          <w:szCs w:val="20"/>
        </w:rPr>
      </w:pPr>
    </w:p>
    <w:p w14:paraId="00000059" w14:textId="77777777" w:rsidR="0003490F" w:rsidRDefault="003C1E4A">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Komunikace smluvních stran</w:t>
      </w:r>
    </w:p>
    <w:p w14:paraId="0000005A" w14:textId="77777777" w:rsidR="0003490F" w:rsidRDefault="003C1E4A">
      <w:pPr>
        <w:jc w:val="both"/>
        <w:rPr>
          <w:rFonts w:ascii="Arial" w:eastAsia="Arial" w:hAnsi="Arial" w:cs="Arial"/>
          <w:sz w:val="20"/>
          <w:szCs w:val="20"/>
        </w:rPr>
      </w:pPr>
      <w:r>
        <w:rPr>
          <w:rFonts w:ascii="Arial" w:eastAsia="Arial" w:hAnsi="Arial" w:cs="Arial"/>
          <w:sz w:val="20"/>
          <w:szCs w:val="20"/>
        </w:rPr>
        <w:t xml:space="preserve">Smluvní strany se dohodly, že poskytovatel bude zajišťovat veškeré služby podle této smlouvy prostřednictvím kontaktních osob poskytovatele, které budou uvedeny v příloze č. 1 této smlouvy, a to v pracovní dny v době od </w:t>
      </w:r>
      <w:r>
        <w:rPr>
          <w:rFonts w:ascii="Arial" w:eastAsia="Arial" w:hAnsi="Arial" w:cs="Arial"/>
          <w:b/>
          <w:sz w:val="20"/>
          <w:szCs w:val="20"/>
        </w:rPr>
        <w:t xml:space="preserve">8:00 </w:t>
      </w:r>
      <w:r>
        <w:rPr>
          <w:rFonts w:ascii="Arial" w:eastAsia="Arial" w:hAnsi="Arial" w:cs="Arial"/>
          <w:sz w:val="20"/>
          <w:szCs w:val="20"/>
        </w:rPr>
        <w:t xml:space="preserve">do </w:t>
      </w:r>
      <w:r>
        <w:rPr>
          <w:rFonts w:ascii="Arial" w:eastAsia="Arial" w:hAnsi="Arial" w:cs="Arial"/>
          <w:b/>
          <w:sz w:val="20"/>
          <w:szCs w:val="20"/>
        </w:rPr>
        <w:t xml:space="preserve">16:00 </w:t>
      </w:r>
      <w:r>
        <w:rPr>
          <w:rFonts w:ascii="Arial" w:eastAsia="Arial" w:hAnsi="Arial" w:cs="Arial"/>
          <w:sz w:val="20"/>
          <w:szCs w:val="20"/>
        </w:rPr>
        <w:t>hodin. V příloze č. 1 budou uvedeny rovněž kontaktní (oprávněné) osoby na straně objednatele. Dojde-li k jakékoliv změně kontaktních (oprávněných) osob, jsou smluvní strany povinny o této změně včas informovat druhou smluvní stranu.</w:t>
      </w:r>
    </w:p>
    <w:p w14:paraId="0000005B" w14:textId="77777777" w:rsidR="0003490F" w:rsidRDefault="0003490F">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5C"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Sankce</w:t>
      </w:r>
    </w:p>
    <w:p w14:paraId="0000005D" w14:textId="77777777" w:rsidR="0003490F" w:rsidRDefault="003C1E4A">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poskytovatele v dodávkách sjednaného plnění je objednatel oprávněn požadovat smluvní pokutu ve výši 0,1% z ceny plnění dle konkrétní výzvy k plnění, za každý i započatý den prodlení.   </w:t>
      </w:r>
    </w:p>
    <w:p w14:paraId="0000005E" w14:textId="77777777" w:rsidR="0003490F" w:rsidRDefault="003C1E4A">
      <w:pPr>
        <w:numPr>
          <w:ilvl w:val="0"/>
          <w:numId w:val="13"/>
        </w:numPr>
        <w:pBdr>
          <w:top w:val="nil"/>
          <w:left w:val="nil"/>
          <w:bottom w:val="nil"/>
          <w:right w:val="nil"/>
          <w:between w:val="nil"/>
        </w:pBdr>
        <w:spacing w:after="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poskytovatele se zasíláním aktuálních ceníků se zapracovanou slevou, a to pravidelně při každé změně ceníků, nejpozději k 5. dni kalendářního měsíce po změně aktuálních ceníků je objednatel oprávněn požadovat smluvní pokutu ve výši 1.000,- Kč za každý i započatý den prodlení. Tím není dotčen nárok na náhradu škody.  </w:t>
      </w:r>
    </w:p>
    <w:p w14:paraId="0000005F" w14:textId="77777777" w:rsidR="0003490F" w:rsidRDefault="003C1E4A">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V případě prodlení objednatele v úhradě řádně vystaveného daňového dokladu je poskytovatel oprávněn požadovat úrok z prodlení ve výši 0,1% z dlužné částky, za každý den prodlení s úhradou.</w:t>
      </w:r>
    </w:p>
    <w:p w14:paraId="00000060" w14:textId="77777777" w:rsidR="0003490F" w:rsidRDefault="003C1E4A">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pokuta dle odst. 1 tohoto článku smlouvy nevylučuje nárok objednatele na náhradu škody, a to i v rozsahu přesahujícím smluvní pokutu. </w:t>
      </w:r>
    </w:p>
    <w:p w14:paraId="00000061" w14:textId="77777777" w:rsidR="0003490F" w:rsidRDefault="003C1E4A">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Poskytovatel odpovídá objednateli za veškerou škodu, kterou objednateli způsobí v souvislosti s plněním dle této smlouvy.      </w:t>
      </w:r>
    </w:p>
    <w:p w14:paraId="00000062" w14:textId="77777777" w:rsidR="0003490F" w:rsidRDefault="0003490F">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63"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Záruka</w:t>
      </w:r>
    </w:p>
    <w:p w14:paraId="00000064" w14:textId="77777777" w:rsidR="0003490F" w:rsidRDefault="003C1E4A">
      <w:pPr>
        <w:numPr>
          <w:ilvl w:val="0"/>
          <w:numId w:val="1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Záruka na software vyplývá z licenčních oprávnění k provozování dodaných softwarových produktů, které poskytují tzv. omezenou záruku (Limited Waranty). Omezená záruka je specifická pro jednotlivé produkty (obvykle 1 rok na funkčnost) a je součástí licenčních ujednání, která jsou přiložena ke každému softwarovému produktu.</w:t>
      </w:r>
    </w:p>
    <w:p w14:paraId="00000065"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66"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67"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Odpovědnost za užívací práva, odpovědnost za vady</w:t>
      </w:r>
    </w:p>
    <w:p w14:paraId="00000068"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bude užívat dodaný software v souladu s licenčními podmínkami (licenčním ujednáním) firmy Microsoft Corporation.</w:t>
      </w:r>
    </w:p>
    <w:p w14:paraId="00000069"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Poskytovatel se zavazuje zajistit objednateli poskytnutí příslušného oprávnění (licence) prosté jakýchkoli právních vad a zajistit jejich nerušené užívání.</w:t>
      </w:r>
    </w:p>
    <w:p w14:paraId="0000006A"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produkty užívat okamžikem stažení. </w:t>
      </w:r>
    </w:p>
    <w:p w14:paraId="0000006B"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není povinen licenci využít.</w:t>
      </w:r>
    </w:p>
    <w:p w14:paraId="0000006C"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Poskytovatel prohlašuje, že práva, která na základě této rámcové smlouvy poskytuje, mu náleží bez jakéhokoliv omezení, a odpovídá za škodu, která by objednateli vznikla, pokud by toto prohlášení bylo nepravdivé.</w:t>
      </w:r>
    </w:p>
    <w:p w14:paraId="0000006D" w14:textId="77777777" w:rsidR="0003490F" w:rsidRDefault="003C1E4A">
      <w:pPr>
        <w:numPr>
          <w:ilvl w:val="0"/>
          <w:numId w:val="1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lastRenderedPageBreak/>
        <w:t>Objednatel se stává legálním vlastníkem licence (užívacích práv) v okamžiku úhrady daňového dokladu poskytovateli; zde uvedené neplatí pro CSP.</w:t>
      </w:r>
    </w:p>
    <w:p w14:paraId="0000006E"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6F"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70" w14:textId="77777777" w:rsidR="0003490F" w:rsidRDefault="003C1E4A">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Mlčenlivost</w:t>
      </w:r>
    </w:p>
    <w:p w14:paraId="00000071" w14:textId="77777777" w:rsidR="0003490F" w:rsidRDefault="003C1E4A">
      <w:pPr>
        <w:jc w:val="both"/>
        <w:rPr>
          <w:rFonts w:ascii="Arial" w:eastAsia="Arial" w:hAnsi="Arial" w:cs="Arial"/>
          <w:sz w:val="20"/>
          <w:szCs w:val="20"/>
        </w:rPr>
      </w:pPr>
      <w:r>
        <w:rPr>
          <w:rFonts w:ascii="Arial" w:eastAsia="Arial" w:hAnsi="Arial" w:cs="Arial"/>
          <w:sz w:val="20"/>
          <w:szCs w:val="20"/>
        </w:rPr>
        <w:t>Poskytovatel neposkytne třetím osobám, ani sám nepoužije informace o systémech objednatele získané v rámci plnění této smlouvy k jiným než smlouvou stanoveným účelům bez písemného souhlasu objednatele.</w:t>
      </w:r>
    </w:p>
    <w:p w14:paraId="00000072" w14:textId="77777777" w:rsidR="0003490F" w:rsidRDefault="0003490F">
      <w:pPr>
        <w:jc w:val="both"/>
        <w:rPr>
          <w:rFonts w:ascii="Arial" w:eastAsia="Arial" w:hAnsi="Arial" w:cs="Arial"/>
          <w:sz w:val="20"/>
          <w:szCs w:val="20"/>
        </w:rPr>
      </w:pPr>
    </w:p>
    <w:p w14:paraId="00000073"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Platnost smlouvy</w:t>
      </w:r>
    </w:p>
    <w:p w14:paraId="00000074" w14:textId="3762619A" w:rsidR="0003490F" w:rsidRDefault="003C1E4A">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Tato smlouva nabývá platnosti dnem uzavření této smlouvy a účinnosti dnem zveřejnění v</w:t>
      </w:r>
      <w:r w:rsidR="00C55139">
        <w:rPr>
          <w:rFonts w:ascii="Arial" w:eastAsia="Arial" w:hAnsi="Arial" w:cs="Arial"/>
          <w:color w:val="000000"/>
          <w:sz w:val="20"/>
          <w:szCs w:val="20"/>
        </w:rPr>
        <w:t> </w:t>
      </w:r>
      <w:r>
        <w:rPr>
          <w:rFonts w:ascii="Arial" w:eastAsia="Arial" w:hAnsi="Arial" w:cs="Arial"/>
          <w:color w:val="000000"/>
          <w:sz w:val="20"/>
          <w:szCs w:val="20"/>
        </w:rPr>
        <w:t>registru</w:t>
      </w:r>
      <w:r w:rsidR="00C55139">
        <w:rPr>
          <w:rFonts w:ascii="Arial" w:eastAsia="Arial" w:hAnsi="Arial" w:cs="Arial"/>
          <w:color w:val="000000"/>
          <w:sz w:val="20"/>
          <w:szCs w:val="20"/>
        </w:rPr>
        <w:t xml:space="preserve"> smluv</w:t>
      </w:r>
      <w:r>
        <w:rPr>
          <w:rFonts w:ascii="Arial" w:eastAsia="Arial" w:hAnsi="Arial" w:cs="Arial"/>
          <w:color w:val="000000"/>
          <w:sz w:val="20"/>
          <w:szCs w:val="20"/>
        </w:rPr>
        <w:t>.</w:t>
      </w:r>
    </w:p>
    <w:p w14:paraId="00000075"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76" w14:textId="7F65049B" w:rsidR="0003490F" w:rsidRDefault="003C1E4A">
      <w:pPr>
        <w:numPr>
          <w:ilvl w:val="0"/>
          <w:numId w:val="2"/>
        </w:numPr>
        <w:pBdr>
          <w:top w:val="nil"/>
          <w:left w:val="nil"/>
          <w:bottom w:val="nil"/>
          <w:right w:val="nil"/>
          <w:between w:val="nil"/>
        </w:pBdr>
        <w:tabs>
          <w:tab w:val="left" w:pos="284"/>
        </w:tabs>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Tato smlouva se uzavírá na dobu určitou, tj. na dobu </w:t>
      </w:r>
      <w:r w:rsidR="00073179">
        <w:rPr>
          <w:rFonts w:ascii="Arial" w:eastAsia="Arial" w:hAnsi="Arial" w:cs="Arial"/>
          <w:color w:val="000000"/>
          <w:sz w:val="20"/>
          <w:szCs w:val="20"/>
        </w:rPr>
        <w:t>36</w:t>
      </w:r>
      <w:r>
        <w:rPr>
          <w:rFonts w:ascii="Arial" w:eastAsia="Arial" w:hAnsi="Arial" w:cs="Arial"/>
          <w:color w:val="000000"/>
          <w:sz w:val="20"/>
          <w:szCs w:val="20"/>
        </w:rPr>
        <w:t xml:space="preserve"> měsíců od účinnosti této smlouvy, nebo do vyčerpání hodnoty 3.000.000,- Kč bez DPH pro veřejnou zakázku. Objednatel si vyhrazuje neodebrat předpokládané množství plnění, ale jen množství plnění uskutečněné na základě dílčích výzev k plnění. </w:t>
      </w:r>
    </w:p>
    <w:p w14:paraId="00000077" w14:textId="77777777" w:rsidR="0003490F" w:rsidRDefault="003C1E4A">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Platnost a účinnost smlouvy končí na základě:</w:t>
      </w:r>
    </w:p>
    <w:p w14:paraId="00000078" w14:textId="77777777" w:rsidR="0003490F" w:rsidRDefault="003C1E4A">
      <w:pPr>
        <w:numPr>
          <w:ilvl w:val="0"/>
          <w:numId w:val="3"/>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písemné dohody smluvních stran,</w:t>
      </w:r>
    </w:p>
    <w:p w14:paraId="00000079" w14:textId="77777777" w:rsidR="0003490F" w:rsidRDefault="003C1E4A">
      <w:pPr>
        <w:numPr>
          <w:ilvl w:val="0"/>
          <w:numId w:val="3"/>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uplynutím výpovědní lhůty na základě písemné výpovědi objednatele, kterou může objednatel podat i bez udání důvodů, která činí 3 kalendářní měsíce a počíná běžet prvním dnem kalendářního měsíce následujícího po obdržení písemné výpovědi druhou smluvní stranou,</w:t>
      </w:r>
    </w:p>
    <w:p w14:paraId="0000007A" w14:textId="77777777" w:rsidR="0003490F" w:rsidRDefault="003C1E4A">
      <w:pPr>
        <w:numPr>
          <w:ilvl w:val="0"/>
          <w:numId w:val="3"/>
        </w:numPr>
        <w:pBdr>
          <w:top w:val="nil"/>
          <w:left w:val="nil"/>
          <w:bottom w:val="nil"/>
          <w:right w:val="nil"/>
          <w:between w:val="nil"/>
        </w:pBdr>
        <w:spacing w:after="0" w:line="276" w:lineRule="auto"/>
        <w:ind w:left="851" w:hanging="284"/>
        <w:jc w:val="both"/>
        <w:rPr>
          <w:rFonts w:ascii="Arial" w:eastAsia="Arial" w:hAnsi="Arial" w:cs="Arial"/>
          <w:color w:val="000000"/>
          <w:sz w:val="20"/>
          <w:szCs w:val="20"/>
        </w:rPr>
      </w:pPr>
      <w:r>
        <w:rPr>
          <w:rFonts w:ascii="Arial" w:eastAsia="Arial" w:hAnsi="Arial" w:cs="Arial"/>
          <w:color w:val="000000"/>
          <w:sz w:val="20"/>
          <w:szCs w:val="20"/>
        </w:rPr>
        <w:t>jednostranným odstoupením od smlouvy ze strany objednatele v případě, že poskytovatel opakovaně či hrubým způsobem porušuje jakoukoliv svoji povinnost vyplývající z této smlouvy; objednatel je oprávněn v takovém případě od smlouvy odstoupit teprve po marném uplynutí lhůty stanovené poskytovateli k nápravě; lhůta musí být stanovena písemně minimálně v rozsahu 1 pracovního dne. Písemné odstoupení pak nabývá účinnosti dnem jeho doručení poskytovateli. Pro účely této smlouvy se hrubým porušením smlouvy má na mysli zejména prodlení poskytovatele s dodávkou plnění dle této smlouvy, která je sjednána v konkrétní objednávce, přičemž toto prodlení je delší než 15 pracovních dnů.</w:t>
      </w:r>
    </w:p>
    <w:p w14:paraId="0000007B" w14:textId="77777777" w:rsidR="0003490F" w:rsidRDefault="003C1E4A">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je rovněž oprávněn jednostranně odstoupit od své výzvy k plnění v případě, že poskytovatel opakovaně, či hrubým způsobem porušuje jakoukoliv svoji povinnost vyplývající z této smlouvy a konkrétní výzvy k plnění. Objednatel je oprávněn v takovém případě odstoupit teprve po marném uplynutí lhůty stanovené poskytovateli k nápravě. Lhůta musí být stanovena písemně minimálně v rozsahu 1 pracovního dne. Písemné odstoupení pak nabývá účinnosti dnem jeho doručení poskytovateli.</w:t>
      </w:r>
    </w:p>
    <w:p w14:paraId="0000007C" w14:textId="77777777" w:rsidR="0003490F" w:rsidRDefault="0003490F">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7D"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Ostatní ustanovení</w:t>
      </w:r>
    </w:p>
    <w:p w14:paraId="0000007E" w14:textId="77777777" w:rsidR="0003490F" w:rsidRDefault="003C1E4A">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strany prohlašují, že si navzájem poskytnou veškerou potřebnou součinnost k plnění dle této smlouvy a to prostřednictvím oprávněných osob. Oprávněné osoby smluvních stran jsou osoby uvedené v příloze č. 1 této smlouvy. </w:t>
      </w:r>
    </w:p>
    <w:p w14:paraId="0000007F" w14:textId="77777777" w:rsidR="0003490F" w:rsidRDefault="003C1E4A">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se zavazují vyvinout maximální úsilí k tomu, aby sjednané plnění podle této smlouvy bylo ve vzájemné spolupráci a součinnosti v maximální možné míře využito.</w:t>
      </w:r>
    </w:p>
    <w:p w14:paraId="00000080" w14:textId="77777777" w:rsidR="0003490F" w:rsidRDefault="003C1E4A">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p>
    <w:p w14:paraId="00000081" w14:textId="77777777" w:rsidR="0003490F" w:rsidRDefault="0003490F">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82" w14:textId="77777777" w:rsidR="0003490F" w:rsidRDefault="003C1E4A">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w:t>
      </w:r>
    </w:p>
    <w:p w14:paraId="00000083"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84" w14:textId="77777777" w:rsidR="0003490F" w:rsidRDefault="0003490F">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85" w14:textId="77777777" w:rsidR="0003490F" w:rsidRDefault="003C1E4A">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Závěrečná ustanovení</w:t>
      </w:r>
    </w:p>
    <w:p w14:paraId="00000086" w14:textId="568C9DED" w:rsidR="0003490F" w:rsidRDefault="003C1E4A">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w:t>
      </w:r>
    </w:p>
    <w:p w14:paraId="00000087" w14:textId="77777777" w:rsidR="0003490F" w:rsidRDefault="003C1E4A">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Smlouvu lze měnit a doplňovat pouze písemnými, vzestupně číslovanými dodatky podepsanými oprávněnými zástupci smluvních stran.</w:t>
      </w:r>
    </w:p>
    <w:p w14:paraId="00000088" w14:textId="311F7804" w:rsidR="0003490F" w:rsidRDefault="003C1E4A">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Poskytovatel bere na vědomí a souhlasí s tím, že tato smlouva včetně příloh podléhá povinnosti zveřejnění v registru smluv vedeném </w:t>
      </w:r>
      <w:r w:rsidR="00C55139">
        <w:rPr>
          <w:rFonts w:ascii="Arial" w:eastAsia="Arial" w:hAnsi="Arial" w:cs="Arial"/>
          <w:color w:val="000000"/>
          <w:sz w:val="20"/>
          <w:szCs w:val="20"/>
        </w:rPr>
        <w:t>DIA</w:t>
      </w:r>
      <w:r>
        <w:rPr>
          <w:rFonts w:ascii="Arial" w:eastAsia="Arial" w:hAnsi="Arial" w:cs="Arial"/>
          <w:color w:val="000000"/>
          <w:sz w:val="20"/>
          <w:szCs w:val="20"/>
        </w:rPr>
        <w:t xml:space="preserve"> dle zákona č. 340/2015 Sb. o zvláštních podmínkách účinnost některých smluv, uveřejňování těchto smluv (zákon o registru smluv) a bude uveřejněna objednatelem do 15 dnů od uzavření této smlouvy. Smluvní strany prohlašují, že se dohodly, že žádná z informací, které jsou obsaženy v této smlouvě, není obchodním tajemstvím či citlivou informací, které by bylo třeba před zveřejněním smlouvy v registru znečitelnit.  </w:t>
      </w:r>
    </w:p>
    <w:p w14:paraId="00000089" w14:textId="77777777" w:rsidR="0003490F" w:rsidRDefault="003C1E4A">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po přečtení této smlouvy prohlašují, že smlouva byla sepsána na základě pravdivých informací a souhlasných prohlášení obou smluvních stran, vážně, jasně, srozumitelně, nikoli v tísni a nikoli za podmínek zjevně nevýhodných pro kteroukoli ze smluvních stran. Smluvní strany prohlašují, že tato smlouva je projevem jejich pravé a svobodné vůle. Na důkaz toho připojují oprávnění zástupci smluvních stran, jejichž právo učinit tento právní úkon nebylo nikým omezeno, své podpisy.</w:t>
      </w:r>
    </w:p>
    <w:p w14:paraId="0000008A" w14:textId="77777777" w:rsidR="0003490F" w:rsidRDefault="003C1E4A">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Součástí této smlouvy je příloha:</w:t>
      </w:r>
    </w:p>
    <w:p w14:paraId="0000008B" w14:textId="77777777" w:rsidR="0003490F" w:rsidRDefault="0003490F">
      <w:pPr>
        <w:pBdr>
          <w:top w:val="nil"/>
          <w:left w:val="nil"/>
          <w:bottom w:val="nil"/>
          <w:right w:val="nil"/>
          <w:between w:val="nil"/>
        </w:pBdr>
        <w:spacing w:after="0" w:line="276" w:lineRule="auto"/>
        <w:ind w:left="720"/>
        <w:rPr>
          <w:rFonts w:ascii="Arial" w:eastAsia="Arial" w:hAnsi="Arial" w:cs="Arial"/>
          <w:color w:val="000000"/>
          <w:sz w:val="20"/>
          <w:szCs w:val="20"/>
        </w:rPr>
      </w:pPr>
    </w:p>
    <w:p w14:paraId="0000008C" w14:textId="77777777" w:rsidR="0003490F" w:rsidRDefault="003C1E4A">
      <w:pPr>
        <w:pBdr>
          <w:top w:val="nil"/>
          <w:left w:val="nil"/>
          <w:bottom w:val="nil"/>
          <w:right w:val="nil"/>
          <w:between w:val="nil"/>
        </w:pBdr>
        <w:spacing w:after="200" w:line="276" w:lineRule="auto"/>
        <w:ind w:left="426"/>
        <w:jc w:val="both"/>
        <w:rPr>
          <w:rFonts w:ascii="Arial" w:eastAsia="Arial" w:hAnsi="Arial" w:cs="Arial"/>
          <w:color w:val="000000"/>
          <w:sz w:val="20"/>
          <w:szCs w:val="20"/>
        </w:rPr>
      </w:pPr>
      <w:r>
        <w:rPr>
          <w:rFonts w:ascii="Arial" w:eastAsia="Arial" w:hAnsi="Arial" w:cs="Arial"/>
          <w:b/>
          <w:color w:val="000000"/>
          <w:sz w:val="20"/>
          <w:szCs w:val="20"/>
        </w:rPr>
        <w:t>Příloha č. 1</w:t>
      </w:r>
      <w:r>
        <w:rPr>
          <w:rFonts w:ascii="Arial" w:eastAsia="Arial" w:hAnsi="Arial" w:cs="Arial"/>
          <w:color w:val="000000"/>
          <w:sz w:val="20"/>
          <w:szCs w:val="20"/>
        </w:rPr>
        <w:t xml:space="preserve"> - Oprávněné osoby smluvních stran </w:t>
      </w:r>
    </w:p>
    <w:p w14:paraId="0000008D" w14:textId="77777777" w:rsidR="0003490F" w:rsidRDefault="0003490F">
      <w:pPr>
        <w:jc w:val="both"/>
        <w:rPr>
          <w:rFonts w:ascii="Arial" w:eastAsia="Arial" w:hAnsi="Arial" w:cs="Arial"/>
          <w:sz w:val="20"/>
          <w:szCs w:val="20"/>
        </w:rPr>
      </w:pPr>
    </w:p>
    <w:p w14:paraId="0000008E" w14:textId="4CA0A13B" w:rsidR="0003490F" w:rsidRDefault="003C1E4A" w:rsidP="004C5180">
      <w:pPr>
        <w:ind w:left="5040" w:hanging="5040"/>
        <w:jc w:val="both"/>
        <w:rPr>
          <w:rFonts w:ascii="Arial" w:eastAsia="Arial" w:hAnsi="Arial" w:cs="Arial"/>
          <w:sz w:val="20"/>
          <w:szCs w:val="20"/>
        </w:rPr>
      </w:pPr>
      <w:r>
        <w:rPr>
          <w:rFonts w:ascii="Arial" w:eastAsia="Arial" w:hAnsi="Arial" w:cs="Arial"/>
          <w:sz w:val="20"/>
          <w:szCs w:val="20"/>
        </w:rPr>
        <w:t xml:space="preserve">V ………….dne dle data elektronického podpisu. </w:t>
      </w:r>
      <w:r>
        <w:rPr>
          <w:rFonts w:ascii="Arial" w:eastAsia="Arial" w:hAnsi="Arial" w:cs="Arial"/>
          <w:sz w:val="20"/>
          <w:szCs w:val="20"/>
        </w:rPr>
        <w:tab/>
        <w:t>V</w:t>
      </w:r>
      <w:r w:rsidR="004C5180">
        <w:rPr>
          <w:rFonts w:ascii="Arial" w:eastAsia="Arial" w:hAnsi="Arial" w:cs="Arial"/>
          <w:sz w:val="20"/>
          <w:szCs w:val="20"/>
        </w:rPr>
        <w:t> Praze</w:t>
      </w:r>
      <w:r>
        <w:rPr>
          <w:rFonts w:ascii="Arial" w:eastAsia="Arial" w:hAnsi="Arial" w:cs="Arial"/>
          <w:sz w:val="20"/>
          <w:szCs w:val="20"/>
        </w:rPr>
        <w:t xml:space="preserve"> dne dle data elektronického podpisu</w:t>
      </w:r>
    </w:p>
    <w:p w14:paraId="0000008F" w14:textId="77777777" w:rsidR="0003490F" w:rsidRDefault="0003490F">
      <w:pPr>
        <w:jc w:val="both"/>
        <w:rPr>
          <w:rFonts w:ascii="Arial" w:eastAsia="Arial" w:hAnsi="Arial" w:cs="Arial"/>
          <w:sz w:val="20"/>
          <w:szCs w:val="20"/>
        </w:rPr>
      </w:pPr>
    </w:p>
    <w:p w14:paraId="00000090" w14:textId="77777777" w:rsidR="0003490F" w:rsidRDefault="0003490F">
      <w:p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p>
    <w:p w14:paraId="00000091" w14:textId="601F05D9" w:rsidR="0003490F" w:rsidRDefault="003C1E4A">
      <w:p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_________________</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166711">
        <w:rPr>
          <w:rFonts w:ascii="Arial" w:eastAsia="Arial" w:hAnsi="Arial" w:cs="Arial"/>
          <w:color w:val="000000"/>
          <w:sz w:val="20"/>
          <w:szCs w:val="20"/>
        </w:rPr>
        <w:tab/>
      </w:r>
      <w:r>
        <w:rPr>
          <w:rFonts w:ascii="Arial" w:eastAsia="Arial" w:hAnsi="Arial" w:cs="Arial"/>
          <w:color w:val="000000"/>
          <w:sz w:val="20"/>
          <w:szCs w:val="20"/>
        </w:rPr>
        <w:t>_____________________</w:t>
      </w:r>
    </w:p>
    <w:p w14:paraId="4BF6EADE" w14:textId="360DDB3E" w:rsidR="00166711" w:rsidRPr="00927800" w:rsidRDefault="00166711" w:rsidP="00166711">
      <w:pPr>
        <w:rPr>
          <w:sz w:val="24"/>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bookmarkStart w:id="3" w:name="_Hlk135234982"/>
      <w:proofErr w:type="spellStart"/>
      <w:r w:rsidR="002F3F28">
        <w:rPr>
          <w:sz w:val="24"/>
        </w:rPr>
        <w:t>xxx</w:t>
      </w:r>
      <w:proofErr w:type="spellEnd"/>
    </w:p>
    <w:bookmarkEnd w:id="3"/>
    <w:p w14:paraId="6E498108" w14:textId="5A9D1ADE" w:rsidR="00166711" w:rsidRDefault="00166711">
      <w:p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p>
    <w:p w14:paraId="00000092" w14:textId="77777777" w:rsidR="0003490F" w:rsidRDefault="0003490F">
      <w:pPr>
        <w:rPr>
          <w:rFonts w:ascii="Arial" w:eastAsia="Arial" w:hAnsi="Arial" w:cs="Arial"/>
          <w:sz w:val="20"/>
          <w:szCs w:val="20"/>
        </w:rPr>
      </w:pPr>
    </w:p>
    <w:p w14:paraId="00000093" w14:textId="590E1AE8" w:rsidR="002A16A1" w:rsidRDefault="002A16A1">
      <w:r>
        <w:br w:type="page"/>
      </w:r>
    </w:p>
    <w:p w14:paraId="1A07446B" w14:textId="77777777" w:rsidR="002A16A1" w:rsidRDefault="002A16A1" w:rsidP="002A16A1">
      <w:pPr>
        <w:pBdr>
          <w:top w:val="nil"/>
          <w:left w:val="nil"/>
          <w:bottom w:val="nil"/>
          <w:right w:val="nil"/>
          <w:between w:val="nil"/>
        </w:pBdr>
        <w:spacing w:after="200" w:line="276" w:lineRule="auto"/>
        <w:ind w:left="426"/>
        <w:jc w:val="both"/>
        <w:rPr>
          <w:rFonts w:ascii="Arial" w:eastAsia="Arial" w:hAnsi="Arial" w:cs="Arial"/>
          <w:color w:val="000000"/>
          <w:sz w:val="20"/>
          <w:szCs w:val="20"/>
        </w:rPr>
      </w:pPr>
      <w:r>
        <w:rPr>
          <w:rFonts w:ascii="Arial" w:eastAsia="Arial" w:hAnsi="Arial" w:cs="Arial"/>
          <w:b/>
          <w:color w:val="000000"/>
          <w:sz w:val="20"/>
          <w:szCs w:val="20"/>
        </w:rPr>
        <w:lastRenderedPageBreak/>
        <w:t>Příloha č. 1</w:t>
      </w:r>
      <w:r>
        <w:rPr>
          <w:rFonts w:ascii="Arial" w:eastAsia="Arial" w:hAnsi="Arial" w:cs="Arial"/>
          <w:color w:val="000000"/>
          <w:sz w:val="20"/>
          <w:szCs w:val="20"/>
        </w:rPr>
        <w:t xml:space="preserve"> - Oprávněné osoby smluvních stran </w:t>
      </w:r>
    </w:p>
    <w:p w14:paraId="5FB7A35A" w14:textId="77777777" w:rsidR="002A16A1" w:rsidRDefault="002A16A1" w:rsidP="002A16A1">
      <w:pPr>
        <w:pBdr>
          <w:top w:val="nil"/>
          <w:left w:val="nil"/>
          <w:bottom w:val="nil"/>
          <w:right w:val="nil"/>
          <w:between w:val="nil"/>
        </w:pBdr>
        <w:spacing w:after="200" w:line="276" w:lineRule="auto"/>
        <w:ind w:left="426"/>
        <w:jc w:val="both"/>
        <w:rPr>
          <w:rFonts w:ascii="Arial" w:eastAsia="Arial" w:hAnsi="Arial" w:cs="Arial"/>
          <w:color w:val="000000"/>
          <w:sz w:val="20"/>
          <w:szCs w:val="20"/>
        </w:rPr>
      </w:pPr>
    </w:p>
    <w:p w14:paraId="37E70756" w14:textId="20C39E2D" w:rsidR="002A16A1" w:rsidRDefault="002A16A1" w:rsidP="002A16A1">
      <w:pPr>
        <w:jc w:val="center"/>
        <w:rPr>
          <w:b/>
          <w:bCs/>
          <w:sz w:val="24"/>
          <w:szCs w:val="24"/>
        </w:rPr>
      </w:pPr>
      <w:r w:rsidRPr="00227DBA">
        <w:rPr>
          <w:b/>
          <w:bCs/>
          <w:sz w:val="24"/>
          <w:szCs w:val="24"/>
        </w:rPr>
        <w:t>Příloha č. 1 – Odpovědné osoby</w:t>
      </w:r>
    </w:p>
    <w:p w14:paraId="351151BF" w14:textId="77777777" w:rsidR="002A16A1" w:rsidRPr="00227DBA" w:rsidRDefault="002A16A1" w:rsidP="002A16A1">
      <w:pPr>
        <w:rPr>
          <w:b/>
          <w:bCs/>
          <w:sz w:val="24"/>
          <w:szCs w:val="24"/>
        </w:rPr>
      </w:pPr>
    </w:p>
    <w:p w14:paraId="7479EE9D" w14:textId="77777777" w:rsidR="002A16A1" w:rsidRPr="00227DBA" w:rsidRDefault="002A16A1" w:rsidP="002A16A1">
      <w:pPr>
        <w:rPr>
          <w:color w:val="111111"/>
          <w:sz w:val="24"/>
          <w:szCs w:val="24"/>
        </w:rPr>
      </w:pPr>
      <w:r w:rsidRPr="00227DBA">
        <w:rPr>
          <w:color w:val="111111"/>
          <w:sz w:val="24"/>
          <w:szCs w:val="24"/>
        </w:rPr>
        <w:t xml:space="preserve">Seznam pracovníků oprávněných ke komunikaci: </w:t>
      </w:r>
    </w:p>
    <w:p w14:paraId="04C40243" w14:textId="77777777" w:rsidR="002A16A1" w:rsidRPr="007C306A" w:rsidRDefault="002A16A1" w:rsidP="002A16A1">
      <w:pPr>
        <w:rPr>
          <w:b/>
          <w:bCs/>
          <w:sz w:val="24"/>
          <w:szCs w:val="24"/>
        </w:rPr>
      </w:pPr>
      <w:r w:rsidRPr="00227DBA">
        <w:rPr>
          <w:color w:val="111111"/>
          <w:sz w:val="24"/>
          <w:szCs w:val="24"/>
        </w:rPr>
        <w:t>Za dodavatele:</w:t>
      </w:r>
    </w:p>
    <w:tbl>
      <w:tblPr>
        <w:tblW w:w="8540" w:type="dxa"/>
        <w:tblCellMar>
          <w:left w:w="70" w:type="dxa"/>
          <w:right w:w="70" w:type="dxa"/>
        </w:tblCellMar>
        <w:tblLook w:val="04A0" w:firstRow="1" w:lastRow="0" w:firstColumn="1" w:lastColumn="0" w:noHBand="0" w:noVBand="1"/>
      </w:tblPr>
      <w:tblGrid>
        <w:gridCol w:w="1540"/>
        <w:gridCol w:w="2100"/>
        <w:gridCol w:w="3360"/>
        <w:gridCol w:w="1540"/>
      </w:tblGrid>
      <w:tr w:rsidR="002A16A1" w:rsidRPr="007C306A" w14:paraId="2DCE37BB" w14:textId="77777777" w:rsidTr="00D97DEE">
        <w:trPr>
          <w:trHeight w:val="405"/>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7651" w14:textId="77777777" w:rsidR="002A16A1" w:rsidRPr="007C306A" w:rsidRDefault="002A16A1" w:rsidP="00D97DEE">
            <w:pPr>
              <w:spacing w:after="0" w:line="240" w:lineRule="auto"/>
              <w:jc w:val="center"/>
              <w:rPr>
                <w:b/>
                <w:bCs/>
                <w:color w:val="000000"/>
              </w:rPr>
            </w:pPr>
            <w:proofErr w:type="spellStart"/>
            <w:r w:rsidRPr="007C306A">
              <w:rPr>
                <w:b/>
                <w:bCs/>
                <w:color w:val="000000"/>
              </w:rPr>
              <w:t>Poř</w:t>
            </w:r>
            <w:proofErr w:type="spellEnd"/>
            <w:r w:rsidRPr="007C306A">
              <w:rPr>
                <w:b/>
                <w:bCs/>
                <w:color w:val="000000"/>
              </w:rPr>
              <w:t>. č.</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43A2E12F" w14:textId="77777777" w:rsidR="002A16A1" w:rsidRPr="007C306A" w:rsidRDefault="002A16A1" w:rsidP="00D97DEE">
            <w:pPr>
              <w:spacing w:after="0" w:line="240" w:lineRule="auto"/>
              <w:jc w:val="center"/>
              <w:rPr>
                <w:b/>
                <w:bCs/>
                <w:color w:val="000000"/>
              </w:rPr>
            </w:pPr>
            <w:r w:rsidRPr="007C306A">
              <w:rPr>
                <w:b/>
                <w:bCs/>
                <w:color w:val="000000"/>
              </w:rPr>
              <w:t>Jméno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5AA5A74F" w14:textId="77777777" w:rsidR="002A16A1" w:rsidRPr="007C306A" w:rsidRDefault="002A16A1" w:rsidP="00D97DEE">
            <w:pPr>
              <w:spacing w:after="0" w:line="240" w:lineRule="auto"/>
              <w:jc w:val="center"/>
              <w:rPr>
                <w:b/>
                <w:bCs/>
                <w:color w:val="000000"/>
              </w:rPr>
            </w:pPr>
            <w:r w:rsidRPr="007C306A">
              <w:rPr>
                <w:b/>
                <w:bCs/>
                <w:color w:val="000000"/>
              </w:rPr>
              <w:t>e-mail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010565F" w14:textId="77777777" w:rsidR="002A16A1" w:rsidRPr="007C306A" w:rsidRDefault="002A16A1" w:rsidP="00D97DEE">
            <w:pPr>
              <w:spacing w:after="0" w:line="240" w:lineRule="auto"/>
              <w:jc w:val="center"/>
              <w:rPr>
                <w:b/>
                <w:bCs/>
                <w:color w:val="000000"/>
              </w:rPr>
            </w:pPr>
            <w:r w:rsidRPr="007C306A">
              <w:rPr>
                <w:b/>
                <w:bCs/>
                <w:color w:val="000000"/>
              </w:rPr>
              <w:t>Telefonní číslo</w:t>
            </w:r>
          </w:p>
        </w:tc>
      </w:tr>
      <w:tr w:rsidR="002A16A1" w:rsidRPr="007C306A" w14:paraId="71E64E10" w14:textId="77777777" w:rsidTr="00D97DEE">
        <w:trPr>
          <w:trHeight w:val="57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B3CC3C5" w14:textId="77777777" w:rsidR="002A16A1" w:rsidRPr="007C306A" w:rsidRDefault="002A16A1" w:rsidP="00D97DEE">
            <w:pPr>
              <w:spacing w:after="0" w:line="240" w:lineRule="auto"/>
              <w:rPr>
                <w:color w:val="000000"/>
              </w:rPr>
            </w:pPr>
            <w:r w:rsidRPr="007C306A">
              <w:rPr>
                <w:color w:val="000000"/>
              </w:rPr>
              <w:t>1.</w:t>
            </w:r>
          </w:p>
        </w:tc>
        <w:tc>
          <w:tcPr>
            <w:tcW w:w="2100" w:type="dxa"/>
            <w:tcBorders>
              <w:top w:val="nil"/>
              <w:left w:val="nil"/>
              <w:bottom w:val="single" w:sz="4" w:space="0" w:color="auto"/>
              <w:right w:val="single" w:sz="4" w:space="0" w:color="auto"/>
            </w:tcBorders>
            <w:shd w:val="clear" w:color="auto" w:fill="auto"/>
            <w:noWrap/>
            <w:vAlign w:val="bottom"/>
            <w:hideMark/>
          </w:tcPr>
          <w:p w14:paraId="452F374E" w14:textId="65C59153" w:rsidR="002A16A1" w:rsidRPr="007C306A" w:rsidRDefault="002F3F28" w:rsidP="00D97DEE">
            <w:pPr>
              <w:spacing w:after="0" w:line="240" w:lineRule="auto"/>
              <w:rPr>
                <w:color w:val="000000"/>
              </w:rPr>
            </w:pPr>
            <w:proofErr w:type="spellStart"/>
            <w:r>
              <w:rPr>
                <w:color w:val="000000"/>
              </w:rPr>
              <w:t>xxx</w:t>
            </w:r>
            <w:proofErr w:type="spellEnd"/>
          </w:p>
        </w:tc>
        <w:tc>
          <w:tcPr>
            <w:tcW w:w="3360" w:type="dxa"/>
            <w:tcBorders>
              <w:top w:val="nil"/>
              <w:left w:val="nil"/>
              <w:bottom w:val="single" w:sz="4" w:space="0" w:color="auto"/>
              <w:right w:val="single" w:sz="4" w:space="0" w:color="auto"/>
            </w:tcBorders>
            <w:shd w:val="clear" w:color="auto" w:fill="auto"/>
            <w:noWrap/>
            <w:vAlign w:val="bottom"/>
            <w:hideMark/>
          </w:tcPr>
          <w:p w14:paraId="3F6983E7" w14:textId="50421F0A" w:rsidR="002A16A1" w:rsidRPr="007C306A" w:rsidRDefault="002F3F28" w:rsidP="00D97DEE">
            <w:pPr>
              <w:spacing w:after="0" w:line="240" w:lineRule="auto"/>
              <w:rPr>
                <w:color w:val="0563C1"/>
                <w:u w:val="single"/>
              </w:rPr>
            </w:pPr>
            <w:hyperlink r:id="rId9" w:history="1">
              <w:proofErr w:type="spellStart"/>
              <w:r>
                <w:rPr>
                  <w:color w:val="0563C1"/>
                  <w:u w:val="single"/>
                </w:rPr>
                <w:t>xxx</w:t>
              </w:r>
              <w:proofErr w:type="spellEnd"/>
            </w:hyperlink>
          </w:p>
        </w:tc>
        <w:tc>
          <w:tcPr>
            <w:tcW w:w="1540" w:type="dxa"/>
            <w:tcBorders>
              <w:top w:val="nil"/>
              <w:left w:val="nil"/>
              <w:bottom w:val="single" w:sz="4" w:space="0" w:color="auto"/>
              <w:right w:val="single" w:sz="4" w:space="0" w:color="auto"/>
            </w:tcBorders>
            <w:shd w:val="clear" w:color="auto" w:fill="auto"/>
            <w:noWrap/>
            <w:vAlign w:val="bottom"/>
            <w:hideMark/>
          </w:tcPr>
          <w:p w14:paraId="4DF60338" w14:textId="67E99FC9" w:rsidR="002A16A1" w:rsidRPr="007C306A" w:rsidRDefault="002F3F28" w:rsidP="00D97DEE">
            <w:pPr>
              <w:spacing w:after="0" w:line="240" w:lineRule="auto"/>
              <w:jc w:val="right"/>
              <w:rPr>
                <w:color w:val="000000"/>
              </w:rPr>
            </w:pPr>
            <w:proofErr w:type="spellStart"/>
            <w:r>
              <w:rPr>
                <w:color w:val="000000"/>
              </w:rPr>
              <w:t>xxx</w:t>
            </w:r>
            <w:proofErr w:type="spellEnd"/>
          </w:p>
        </w:tc>
      </w:tr>
      <w:tr w:rsidR="002F3F28" w:rsidRPr="007C306A" w14:paraId="7072D19B" w14:textId="77777777" w:rsidTr="00D97DEE">
        <w:trPr>
          <w:trHeight w:val="57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B4DAA09" w14:textId="77777777" w:rsidR="002F3F28" w:rsidRPr="007C306A" w:rsidRDefault="002F3F28" w:rsidP="002F3F28">
            <w:pPr>
              <w:spacing w:after="0" w:line="240" w:lineRule="auto"/>
              <w:rPr>
                <w:color w:val="000000"/>
              </w:rPr>
            </w:pPr>
            <w:r w:rsidRPr="007C306A">
              <w:rPr>
                <w:color w:val="000000"/>
              </w:rPr>
              <w:t>2.</w:t>
            </w:r>
          </w:p>
        </w:tc>
        <w:tc>
          <w:tcPr>
            <w:tcW w:w="2100" w:type="dxa"/>
            <w:tcBorders>
              <w:top w:val="nil"/>
              <w:left w:val="nil"/>
              <w:bottom w:val="single" w:sz="4" w:space="0" w:color="auto"/>
              <w:right w:val="single" w:sz="4" w:space="0" w:color="auto"/>
            </w:tcBorders>
            <w:shd w:val="clear" w:color="auto" w:fill="auto"/>
            <w:noWrap/>
            <w:vAlign w:val="bottom"/>
            <w:hideMark/>
          </w:tcPr>
          <w:p w14:paraId="5D80D63D" w14:textId="21B9DCAE" w:rsidR="002F3F28" w:rsidRPr="007C306A" w:rsidRDefault="002F3F28" w:rsidP="002F3F28">
            <w:pPr>
              <w:spacing w:after="0" w:line="240" w:lineRule="auto"/>
              <w:rPr>
                <w:color w:val="000000"/>
              </w:rPr>
            </w:pPr>
            <w:proofErr w:type="spellStart"/>
            <w:r>
              <w:rPr>
                <w:color w:val="000000"/>
              </w:rPr>
              <w:t>xxx</w:t>
            </w:r>
            <w:proofErr w:type="spellEnd"/>
          </w:p>
        </w:tc>
        <w:tc>
          <w:tcPr>
            <w:tcW w:w="3360" w:type="dxa"/>
            <w:tcBorders>
              <w:top w:val="nil"/>
              <w:left w:val="nil"/>
              <w:bottom w:val="single" w:sz="4" w:space="0" w:color="auto"/>
              <w:right w:val="single" w:sz="4" w:space="0" w:color="auto"/>
            </w:tcBorders>
            <w:shd w:val="clear" w:color="auto" w:fill="auto"/>
            <w:noWrap/>
            <w:vAlign w:val="bottom"/>
            <w:hideMark/>
          </w:tcPr>
          <w:p w14:paraId="32A7BA21" w14:textId="123F817D" w:rsidR="002F3F28" w:rsidRPr="007C306A" w:rsidRDefault="002F3F28" w:rsidP="002F3F28">
            <w:pPr>
              <w:spacing w:after="0" w:line="240" w:lineRule="auto"/>
              <w:rPr>
                <w:color w:val="0563C1"/>
                <w:u w:val="single"/>
              </w:rPr>
            </w:pPr>
            <w:hyperlink r:id="rId10" w:history="1">
              <w:proofErr w:type="spellStart"/>
              <w:r>
                <w:rPr>
                  <w:color w:val="0563C1"/>
                  <w:u w:val="single"/>
                </w:rPr>
                <w:t>xxx</w:t>
              </w:r>
              <w:proofErr w:type="spellEnd"/>
            </w:hyperlink>
          </w:p>
        </w:tc>
        <w:tc>
          <w:tcPr>
            <w:tcW w:w="1540" w:type="dxa"/>
            <w:tcBorders>
              <w:top w:val="nil"/>
              <w:left w:val="nil"/>
              <w:bottom w:val="single" w:sz="4" w:space="0" w:color="auto"/>
              <w:right w:val="single" w:sz="4" w:space="0" w:color="auto"/>
            </w:tcBorders>
            <w:shd w:val="clear" w:color="auto" w:fill="auto"/>
            <w:noWrap/>
            <w:vAlign w:val="bottom"/>
            <w:hideMark/>
          </w:tcPr>
          <w:p w14:paraId="679C40E7" w14:textId="16B08200" w:rsidR="002F3F28" w:rsidRPr="007C306A" w:rsidRDefault="002F3F28" w:rsidP="002F3F28">
            <w:pPr>
              <w:spacing w:after="0" w:line="240" w:lineRule="auto"/>
              <w:jc w:val="right"/>
              <w:rPr>
                <w:color w:val="000000"/>
              </w:rPr>
            </w:pPr>
            <w:proofErr w:type="spellStart"/>
            <w:r>
              <w:rPr>
                <w:color w:val="000000"/>
              </w:rPr>
              <w:t>xxx</w:t>
            </w:r>
            <w:proofErr w:type="spellEnd"/>
          </w:p>
        </w:tc>
      </w:tr>
    </w:tbl>
    <w:p w14:paraId="7FE01287" w14:textId="77777777" w:rsidR="002A16A1" w:rsidRPr="00227DBA" w:rsidRDefault="002A16A1" w:rsidP="002A16A1">
      <w:pPr>
        <w:rPr>
          <w:sz w:val="24"/>
          <w:szCs w:val="24"/>
        </w:rPr>
      </w:pPr>
    </w:p>
    <w:p w14:paraId="5233C28C" w14:textId="77777777" w:rsidR="002A16A1" w:rsidRPr="00227DBA" w:rsidRDefault="002A16A1" w:rsidP="002A16A1">
      <w:pPr>
        <w:rPr>
          <w:sz w:val="24"/>
          <w:szCs w:val="24"/>
        </w:rPr>
      </w:pPr>
    </w:p>
    <w:p w14:paraId="26BB584B" w14:textId="77777777" w:rsidR="002A16A1" w:rsidRPr="00227DBA" w:rsidRDefault="002A16A1" w:rsidP="002A16A1">
      <w:pPr>
        <w:rPr>
          <w:sz w:val="24"/>
          <w:szCs w:val="24"/>
        </w:rPr>
      </w:pPr>
    </w:p>
    <w:p w14:paraId="7C36EA24" w14:textId="77777777" w:rsidR="002A16A1" w:rsidRPr="00227DBA" w:rsidRDefault="002A16A1" w:rsidP="002A16A1">
      <w:pPr>
        <w:rPr>
          <w:b/>
          <w:bCs/>
          <w:sz w:val="24"/>
          <w:szCs w:val="24"/>
        </w:rPr>
      </w:pPr>
      <w:r w:rsidRPr="00227DBA">
        <w:rPr>
          <w:sz w:val="24"/>
          <w:szCs w:val="24"/>
        </w:rPr>
        <w:t>Za odběratele:</w:t>
      </w:r>
    </w:p>
    <w:p w14:paraId="61C1706C" w14:textId="77777777" w:rsidR="002A16A1" w:rsidRPr="00227DBA" w:rsidRDefault="002A16A1" w:rsidP="002A16A1">
      <w:pPr>
        <w:rPr>
          <w:b/>
          <w:bCs/>
          <w:sz w:val="24"/>
          <w:szCs w:val="24"/>
        </w:rPr>
      </w:pPr>
      <w:r w:rsidRPr="00227DBA">
        <w:rPr>
          <w:color w:val="111111"/>
          <w:sz w:val="24"/>
          <w:szCs w:val="24"/>
        </w:rPr>
        <w:t>Seznam pracovníků oprávněných ke komunikaci s dodavatelem</w:t>
      </w:r>
    </w:p>
    <w:p w14:paraId="5502B720" w14:textId="77777777" w:rsidR="002A16A1" w:rsidRDefault="002A16A1" w:rsidP="002A16A1">
      <w:pPr>
        <w:ind w:left="737" w:hanging="737"/>
      </w:pPr>
    </w:p>
    <w:tbl>
      <w:tblPr>
        <w:tblW w:w="0" w:type="auto"/>
        <w:tblInd w:w="-38" w:type="dxa"/>
        <w:tblLayout w:type="fixed"/>
        <w:tblCellMar>
          <w:left w:w="30" w:type="dxa"/>
          <w:right w:w="30" w:type="dxa"/>
        </w:tblCellMar>
        <w:tblLook w:val="0000" w:firstRow="0" w:lastRow="0" w:firstColumn="0" w:lastColumn="0" w:noHBand="0" w:noVBand="0"/>
      </w:tblPr>
      <w:tblGrid>
        <w:gridCol w:w="715"/>
        <w:gridCol w:w="1767"/>
        <w:gridCol w:w="2318"/>
        <w:gridCol w:w="1478"/>
        <w:gridCol w:w="2031"/>
      </w:tblGrid>
      <w:tr w:rsidR="002A16A1" w14:paraId="7A3A0715" w14:textId="77777777" w:rsidTr="00D97DEE">
        <w:trPr>
          <w:trHeight w:val="302"/>
        </w:trPr>
        <w:tc>
          <w:tcPr>
            <w:tcW w:w="715" w:type="dxa"/>
            <w:tcBorders>
              <w:top w:val="single" w:sz="6" w:space="0" w:color="auto"/>
              <w:left w:val="single" w:sz="6" w:space="0" w:color="auto"/>
              <w:bottom w:val="double" w:sz="6" w:space="0" w:color="auto"/>
              <w:right w:val="single" w:sz="6" w:space="0" w:color="auto"/>
            </w:tcBorders>
          </w:tcPr>
          <w:p w14:paraId="643822EF" w14:textId="77777777" w:rsidR="002A16A1" w:rsidRDefault="002A16A1" w:rsidP="00D97DEE">
            <w:pPr>
              <w:autoSpaceDE w:val="0"/>
              <w:autoSpaceDN w:val="0"/>
              <w:adjustRightInd w:val="0"/>
              <w:spacing w:after="0" w:line="240" w:lineRule="auto"/>
              <w:jc w:val="center"/>
              <w:rPr>
                <w:rFonts w:eastAsiaTheme="minorHAnsi"/>
                <w:b/>
                <w:bCs/>
                <w:color w:val="000000"/>
                <w:lang w:eastAsia="en-US"/>
              </w:rPr>
            </w:pPr>
            <w:proofErr w:type="spellStart"/>
            <w:r>
              <w:rPr>
                <w:rFonts w:eastAsiaTheme="minorHAnsi"/>
                <w:b/>
                <w:bCs/>
                <w:color w:val="000000"/>
                <w:lang w:eastAsia="en-US"/>
              </w:rPr>
              <w:t>Poř</w:t>
            </w:r>
            <w:proofErr w:type="spellEnd"/>
            <w:r>
              <w:rPr>
                <w:rFonts w:eastAsiaTheme="minorHAnsi"/>
                <w:b/>
                <w:bCs/>
                <w:color w:val="000000"/>
                <w:lang w:eastAsia="en-US"/>
              </w:rPr>
              <w:t>. č.</w:t>
            </w:r>
          </w:p>
        </w:tc>
        <w:tc>
          <w:tcPr>
            <w:tcW w:w="1767" w:type="dxa"/>
            <w:tcBorders>
              <w:top w:val="single" w:sz="6" w:space="0" w:color="auto"/>
              <w:left w:val="single" w:sz="6" w:space="0" w:color="auto"/>
              <w:bottom w:val="double" w:sz="6" w:space="0" w:color="auto"/>
              <w:right w:val="single" w:sz="6" w:space="0" w:color="auto"/>
            </w:tcBorders>
          </w:tcPr>
          <w:p w14:paraId="58A122A2" w14:textId="77777777" w:rsidR="002A16A1" w:rsidRDefault="002A16A1" w:rsidP="00D97DEE">
            <w:pPr>
              <w:autoSpaceDE w:val="0"/>
              <w:autoSpaceDN w:val="0"/>
              <w:adjustRightInd w:val="0"/>
              <w:spacing w:after="0" w:line="240" w:lineRule="auto"/>
              <w:jc w:val="center"/>
              <w:rPr>
                <w:rFonts w:eastAsiaTheme="minorHAnsi"/>
                <w:b/>
                <w:bCs/>
                <w:color w:val="000000"/>
                <w:lang w:eastAsia="en-US"/>
              </w:rPr>
            </w:pPr>
            <w:r>
              <w:rPr>
                <w:rFonts w:eastAsiaTheme="minorHAnsi"/>
                <w:b/>
                <w:bCs/>
                <w:color w:val="000000"/>
                <w:lang w:eastAsia="en-US"/>
              </w:rPr>
              <w:t>Jméno</w:t>
            </w:r>
          </w:p>
        </w:tc>
        <w:tc>
          <w:tcPr>
            <w:tcW w:w="2318" w:type="dxa"/>
            <w:tcBorders>
              <w:top w:val="single" w:sz="6" w:space="0" w:color="auto"/>
              <w:left w:val="single" w:sz="6" w:space="0" w:color="auto"/>
              <w:bottom w:val="double" w:sz="6" w:space="0" w:color="auto"/>
              <w:right w:val="single" w:sz="6" w:space="0" w:color="auto"/>
            </w:tcBorders>
          </w:tcPr>
          <w:p w14:paraId="38BA8BB3" w14:textId="77777777" w:rsidR="002A16A1" w:rsidRDefault="002A16A1" w:rsidP="00D97DEE">
            <w:pPr>
              <w:autoSpaceDE w:val="0"/>
              <w:autoSpaceDN w:val="0"/>
              <w:adjustRightInd w:val="0"/>
              <w:spacing w:after="0" w:line="240" w:lineRule="auto"/>
              <w:jc w:val="center"/>
              <w:rPr>
                <w:rFonts w:eastAsiaTheme="minorHAnsi"/>
                <w:b/>
                <w:bCs/>
                <w:color w:val="000000"/>
                <w:lang w:eastAsia="en-US"/>
              </w:rPr>
            </w:pPr>
            <w:r>
              <w:rPr>
                <w:rFonts w:eastAsiaTheme="minorHAnsi"/>
                <w:b/>
                <w:bCs/>
                <w:color w:val="000000"/>
                <w:lang w:eastAsia="en-US"/>
              </w:rPr>
              <w:t>e-mail</w:t>
            </w:r>
          </w:p>
        </w:tc>
        <w:tc>
          <w:tcPr>
            <w:tcW w:w="1478" w:type="dxa"/>
            <w:tcBorders>
              <w:top w:val="single" w:sz="6" w:space="0" w:color="auto"/>
              <w:left w:val="single" w:sz="6" w:space="0" w:color="auto"/>
              <w:bottom w:val="double" w:sz="6" w:space="0" w:color="auto"/>
              <w:right w:val="single" w:sz="6" w:space="0" w:color="auto"/>
            </w:tcBorders>
          </w:tcPr>
          <w:p w14:paraId="678E2C9D" w14:textId="77777777" w:rsidR="002A16A1" w:rsidRDefault="002A16A1" w:rsidP="00D97DEE">
            <w:pPr>
              <w:autoSpaceDE w:val="0"/>
              <w:autoSpaceDN w:val="0"/>
              <w:adjustRightInd w:val="0"/>
              <w:spacing w:after="0" w:line="240" w:lineRule="auto"/>
              <w:jc w:val="center"/>
              <w:rPr>
                <w:rFonts w:eastAsiaTheme="minorHAnsi"/>
                <w:b/>
                <w:bCs/>
                <w:color w:val="000000"/>
                <w:lang w:eastAsia="en-US"/>
              </w:rPr>
            </w:pPr>
            <w:r>
              <w:rPr>
                <w:rFonts w:eastAsiaTheme="minorHAnsi"/>
                <w:b/>
                <w:bCs/>
                <w:color w:val="000000"/>
                <w:lang w:eastAsia="en-US"/>
              </w:rPr>
              <w:t>Telefonní číslo</w:t>
            </w:r>
          </w:p>
        </w:tc>
        <w:tc>
          <w:tcPr>
            <w:tcW w:w="2031" w:type="dxa"/>
            <w:tcBorders>
              <w:top w:val="single" w:sz="6" w:space="0" w:color="auto"/>
              <w:left w:val="single" w:sz="6" w:space="0" w:color="auto"/>
              <w:bottom w:val="double" w:sz="6" w:space="0" w:color="auto"/>
              <w:right w:val="single" w:sz="6" w:space="0" w:color="auto"/>
            </w:tcBorders>
          </w:tcPr>
          <w:p w14:paraId="54527407" w14:textId="77777777" w:rsidR="002A16A1" w:rsidRDefault="002A16A1" w:rsidP="00D97DEE">
            <w:pPr>
              <w:autoSpaceDE w:val="0"/>
              <w:autoSpaceDN w:val="0"/>
              <w:adjustRightInd w:val="0"/>
              <w:spacing w:after="0" w:line="240" w:lineRule="auto"/>
              <w:jc w:val="center"/>
              <w:rPr>
                <w:rFonts w:eastAsiaTheme="minorHAnsi"/>
                <w:b/>
                <w:bCs/>
                <w:color w:val="000000"/>
                <w:lang w:eastAsia="en-US"/>
              </w:rPr>
            </w:pPr>
            <w:r>
              <w:rPr>
                <w:rFonts w:eastAsiaTheme="minorHAnsi"/>
                <w:b/>
                <w:bCs/>
                <w:color w:val="000000"/>
                <w:lang w:eastAsia="en-US"/>
              </w:rPr>
              <w:t xml:space="preserve">Oddělení </w:t>
            </w:r>
          </w:p>
        </w:tc>
      </w:tr>
      <w:tr w:rsidR="002A16A1" w14:paraId="268853C2" w14:textId="77777777" w:rsidTr="00D97DEE">
        <w:trPr>
          <w:trHeight w:val="302"/>
        </w:trPr>
        <w:tc>
          <w:tcPr>
            <w:tcW w:w="715" w:type="dxa"/>
            <w:tcBorders>
              <w:top w:val="nil"/>
              <w:left w:val="single" w:sz="6" w:space="0" w:color="auto"/>
              <w:bottom w:val="single" w:sz="6" w:space="0" w:color="auto"/>
              <w:right w:val="single" w:sz="6" w:space="0" w:color="auto"/>
            </w:tcBorders>
          </w:tcPr>
          <w:p w14:paraId="1F2EA8F7" w14:textId="77777777" w:rsidR="002A16A1" w:rsidRDefault="002A16A1" w:rsidP="00D97DEE">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1</w:t>
            </w:r>
          </w:p>
        </w:tc>
        <w:tc>
          <w:tcPr>
            <w:tcW w:w="1767" w:type="dxa"/>
            <w:tcBorders>
              <w:top w:val="nil"/>
              <w:left w:val="single" w:sz="6" w:space="0" w:color="auto"/>
              <w:bottom w:val="single" w:sz="6" w:space="0" w:color="auto"/>
              <w:right w:val="single" w:sz="6" w:space="0" w:color="auto"/>
            </w:tcBorders>
          </w:tcPr>
          <w:p w14:paraId="5C14DAC7" w14:textId="51509862" w:rsidR="002A16A1" w:rsidRDefault="002F3F28" w:rsidP="00D97DEE">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nil"/>
              <w:left w:val="single" w:sz="6" w:space="0" w:color="auto"/>
              <w:bottom w:val="single" w:sz="6" w:space="0" w:color="auto"/>
              <w:right w:val="single" w:sz="6" w:space="0" w:color="auto"/>
            </w:tcBorders>
          </w:tcPr>
          <w:p w14:paraId="2719F656" w14:textId="2C81383F" w:rsidR="002A16A1" w:rsidRDefault="002F3F28" w:rsidP="00D97DEE">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nil"/>
              <w:left w:val="single" w:sz="6" w:space="0" w:color="auto"/>
              <w:bottom w:val="single" w:sz="6" w:space="0" w:color="auto"/>
              <w:right w:val="single" w:sz="6" w:space="0" w:color="auto"/>
            </w:tcBorders>
          </w:tcPr>
          <w:p w14:paraId="2A0C0641" w14:textId="379C763F" w:rsidR="002A16A1" w:rsidRDefault="002F3F28" w:rsidP="00D97DEE">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2A58AA41" w14:textId="1B0C5DCD" w:rsidR="002A16A1" w:rsidRDefault="002F3F28" w:rsidP="00D97DEE">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r w:rsidR="002F3F28" w14:paraId="16ECF8D6" w14:textId="77777777" w:rsidTr="00D97DEE">
        <w:trPr>
          <w:trHeight w:val="290"/>
        </w:trPr>
        <w:tc>
          <w:tcPr>
            <w:tcW w:w="715" w:type="dxa"/>
            <w:tcBorders>
              <w:top w:val="single" w:sz="6" w:space="0" w:color="auto"/>
              <w:left w:val="single" w:sz="6" w:space="0" w:color="auto"/>
              <w:bottom w:val="single" w:sz="6" w:space="0" w:color="auto"/>
              <w:right w:val="single" w:sz="6" w:space="0" w:color="auto"/>
            </w:tcBorders>
          </w:tcPr>
          <w:p w14:paraId="570212A4" w14:textId="77777777" w:rsidR="002F3F28" w:rsidRDefault="002F3F28" w:rsidP="002F3F28">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2</w:t>
            </w:r>
          </w:p>
        </w:tc>
        <w:tc>
          <w:tcPr>
            <w:tcW w:w="1767" w:type="dxa"/>
            <w:tcBorders>
              <w:top w:val="single" w:sz="6" w:space="0" w:color="auto"/>
              <w:left w:val="single" w:sz="6" w:space="0" w:color="auto"/>
              <w:bottom w:val="single" w:sz="6" w:space="0" w:color="auto"/>
              <w:right w:val="single" w:sz="6" w:space="0" w:color="auto"/>
            </w:tcBorders>
          </w:tcPr>
          <w:p w14:paraId="0591FD44" w14:textId="12C3907D"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single" w:sz="6" w:space="0" w:color="auto"/>
              <w:left w:val="single" w:sz="6" w:space="0" w:color="auto"/>
              <w:bottom w:val="single" w:sz="6" w:space="0" w:color="auto"/>
              <w:right w:val="single" w:sz="6" w:space="0" w:color="auto"/>
            </w:tcBorders>
          </w:tcPr>
          <w:p w14:paraId="4CADCB74" w14:textId="2C0944CE"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single" w:sz="6" w:space="0" w:color="auto"/>
              <w:left w:val="single" w:sz="6" w:space="0" w:color="auto"/>
              <w:bottom w:val="single" w:sz="6" w:space="0" w:color="auto"/>
              <w:right w:val="single" w:sz="6" w:space="0" w:color="auto"/>
            </w:tcBorders>
          </w:tcPr>
          <w:p w14:paraId="4263125C" w14:textId="19273052"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6DC41881" w14:textId="2AD5EE5F"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r w:rsidR="002F3F28" w14:paraId="51F577DA" w14:textId="77777777" w:rsidTr="00D97DEE">
        <w:trPr>
          <w:trHeight w:val="290"/>
        </w:trPr>
        <w:tc>
          <w:tcPr>
            <w:tcW w:w="715" w:type="dxa"/>
            <w:tcBorders>
              <w:top w:val="single" w:sz="6" w:space="0" w:color="auto"/>
              <w:left w:val="single" w:sz="6" w:space="0" w:color="auto"/>
              <w:bottom w:val="single" w:sz="6" w:space="0" w:color="auto"/>
              <w:right w:val="single" w:sz="6" w:space="0" w:color="auto"/>
            </w:tcBorders>
          </w:tcPr>
          <w:p w14:paraId="1C12F9D8" w14:textId="77777777" w:rsidR="002F3F28" w:rsidRDefault="002F3F28" w:rsidP="002F3F28">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4</w:t>
            </w:r>
          </w:p>
        </w:tc>
        <w:tc>
          <w:tcPr>
            <w:tcW w:w="1767" w:type="dxa"/>
            <w:tcBorders>
              <w:top w:val="single" w:sz="6" w:space="0" w:color="auto"/>
              <w:left w:val="single" w:sz="6" w:space="0" w:color="auto"/>
              <w:bottom w:val="single" w:sz="6" w:space="0" w:color="auto"/>
              <w:right w:val="single" w:sz="6" w:space="0" w:color="auto"/>
            </w:tcBorders>
          </w:tcPr>
          <w:p w14:paraId="1F078D9E" w14:textId="1B9E847E"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single" w:sz="6" w:space="0" w:color="auto"/>
              <w:left w:val="single" w:sz="6" w:space="0" w:color="auto"/>
              <w:bottom w:val="single" w:sz="6" w:space="0" w:color="auto"/>
              <w:right w:val="single" w:sz="6" w:space="0" w:color="auto"/>
            </w:tcBorders>
          </w:tcPr>
          <w:p w14:paraId="7FD09813" w14:textId="5C8B0066"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single" w:sz="6" w:space="0" w:color="auto"/>
              <w:left w:val="single" w:sz="6" w:space="0" w:color="auto"/>
              <w:bottom w:val="single" w:sz="6" w:space="0" w:color="auto"/>
              <w:right w:val="single" w:sz="6" w:space="0" w:color="auto"/>
            </w:tcBorders>
          </w:tcPr>
          <w:p w14:paraId="0066FB28" w14:textId="6A993139"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09BDD087" w14:textId="7B0B0452"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r w:rsidR="002F3F28" w14:paraId="11A3BA66" w14:textId="77777777" w:rsidTr="00D97DEE">
        <w:trPr>
          <w:trHeight w:val="290"/>
        </w:trPr>
        <w:tc>
          <w:tcPr>
            <w:tcW w:w="715" w:type="dxa"/>
            <w:tcBorders>
              <w:top w:val="single" w:sz="6" w:space="0" w:color="auto"/>
              <w:left w:val="single" w:sz="6" w:space="0" w:color="auto"/>
              <w:bottom w:val="single" w:sz="6" w:space="0" w:color="auto"/>
              <w:right w:val="single" w:sz="6" w:space="0" w:color="auto"/>
            </w:tcBorders>
          </w:tcPr>
          <w:p w14:paraId="5103BFE0" w14:textId="77777777" w:rsidR="002F3F28" w:rsidRDefault="002F3F28" w:rsidP="002F3F28">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5</w:t>
            </w:r>
          </w:p>
        </w:tc>
        <w:tc>
          <w:tcPr>
            <w:tcW w:w="1767" w:type="dxa"/>
            <w:tcBorders>
              <w:top w:val="single" w:sz="6" w:space="0" w:color="auto"/>
              <w:left w:val="single" w:sz="6" w:space="0" w:color="auto"/>
              <w:bottom w:val="single" w:sz="6" w:space="0" w:color="auto"/>
              <w:right w:val="single" w:sz="6" w:space="0" w:color="auto"/>
            </w:tcBorders>
          </w:tcPr>
          <w:p w14:paraId="17E4CF31" w14:textId="6A34F4A9"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single" w:sz="6" w:space="0" w:color="auto"/>
              <w:left w:val="single" w:sz="6" w:space="0" w:color="auto"/>
              <w:bottom w:val="single" w:sz="6" w:space="0" w:color="auto"/>
              <w:right w:val="single" w:sz="6" w:space="0" w:color="auto"/>
            </w:tcBorders>
          </w:tcPr>
          <w:p w14:paraId="3FED43F9" w14:textId="2EBACA08"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single" w:sz="6" w:space="0" w:color="auto"/>
              <w:left w:val="single" w:sz="6" w:space="0" w:color="auto"/>
              <w:bottom w:val="single" w:sz="6" w:space="0" w:color="auto"/>
              <w:right w:val="single" w:sz="6" w:space="0" w:color="auto"/>
            </w:tcBorders>
          </w:tcPr>
          <w:p w14:paraId="0C5571A4" w14:textId="536060DA"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44F54D4F" w14:textId="78E9A70F"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r w:rsidR="002F3F28" w14:paraId="187D997A" w14:textId="77777777" w:rsidTr="00D97DEE">
        <w:trPr>
          <w:trHeight w:val="290"/>
        </w:trPr>
        <w:tc>
          <w:tcPr>
            <w:tcW w:w="715" w:type="dxa"/>
            <w:tcBorders>
              <w:top w:val="single" w:sz="6" w:space="0" w:color="auto"/>
              <w:left w:val="single" w:sz="6" w:space="0" w:color="auto"/>
              <w:bottom w:val="single" w:sz="6" w:space="0" w:color="auto"/>
              <w:right w:val="single" w:sz="6" w:space="0" w:color="auto"/>
            </w:tcBorders>
          </w:tcPr>
          <w:p w14:paraId="5132A7B5" w14:textId="77777777" w:rsidR="002F3F28" w:rsidRDefault="002F3F28" w:rsidP="002F3F28">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6</w:t>
            </w:r>
          </w:p>
        </w:tc>
        <w:tc>
          <w:tcPr>
            <w:tcW w:w="1767" w:type="dxa"/>
            <w:tcBorders>
              <w:top w:val="single" w:sz="6" w:space="0" w:color="auto"/>
              <w:left w:val="single" w:sz="6" w:space="0" w:color="auto"/>
              <w:bottom w:val="single" w:sz="6" w:space="0" w:color="auto"/>
              <w:right w:val="single" w:sz="6" w:space="0" w:color="auto"/>
            </w:tcBorders>
          </w:tcPr>
          <w:p w14:paraId="1F589DA0" w14:textId="3D164B6A"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single" w:sz="6" w:space="0" w:color="auto"/>
              <w:left w:val="single" w:sz="6" w:space="0" w:color="auto"/>
              <w:bottom w:val="single" w:sz="6" w:space="0" w:color="auto"/>
              <w:right w:val="single" w:sz="6" w:space="0" w:color="auto"/>
            </w:tcBorders>
          </w:tcPr>
          <w:p w14:paraId="25A3D8EB" w14:textId="17A60A47"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single" w:sz="6" w:space="0" w:color="auto"/>
              <w:left w:val="single" w:sz="6" w:space="0" w:color="auto"/>
              <w:bottom w:val="single" w:sz="6" w:space="0" w:color="auto"/>
              <w:right w:val="single" w:sz="6" w:space="0" w:color="auto"/>
            </w:tcBorders>
          </w:tcPr>
          <w:p w14:paraId="19C58863" w14:textId="0632FE21"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4A0E0FB6" w14:textId="165E1158"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r w:rsidR="002F3F28" w14:paraId="00D3BF9D" w14:textId="77777777" w:rsidTr="00D97DEE">
        <w:trPr>
          <w:trHeight w:val="290"/>
        </w:trPr>
        <w:tc>
          <w:tcPr>
            <w:tcW w:w="715" w:type="dxa"/>
            <w:tcBorders>
              <w:top w:val="single" w:sz="6" w:space="0" w:color="auto"/>
              <w:left w:val="single" w:sz="6" w:space="0" w:color="auto"/>
              <w:bottom w:val="single" w:sz="6" w:space="0" w:color="auto"/>
              <w:right w:val="single" w:sz="6" w:space="0" w:color="auto"/>
            </w:tcBorders>
          </w:tcPr>
          <w:p w14:paraId="2575A76D" w14:textId="77777777" w:rsidR="002F3F28" w:rsidRDefault="002F3F28" w:rsidP="002F3F28">
            <w:pPr>
              <w:autoSpaceDE w:val="0"/>
              <w:autoSpaceDN w:val="0"/>
              <w:adjustRightInd w:val="0"/>
              <w:spacing w:after="0" w:line="240" w:lineRule="auto"/>
              <w:jc w:val="center"/>
              <w:rPr>
                <w:rFonts w:eastAsiaTheme="minorHAnsi"/>
                <w:color w:val="000000"/>
                <w:lang w:eastAsia="en-US"/>
              </w:rPr>
            </w:pPr>
            <w:r>
              <w:rPr>
                <w:rFonts w:eastAsiaTheme="minorHAnsi"/>
                <w:color w:val="000000"/>
                <w:lang w:eastAsia="en-US"/>
              </w:rPr>
              <w:t>7</w:t>
            </w:r>
          </w:p>
        </w:tc>
        <w:tc>
          <w:tcPr>
            <w:tcW w:w="1767" w:type="dxa"/>
            <w:tcBorders>
              <w:top w:val="single" w:sz="6" w:space="0" w:color="auto"/>
              <w:left w:val="single" w:sz="6" w:space="0" w:color="auto"/>
              <w:bottom w:val="single" w:sz="6" w:space="0" w:color="auto"/>
              <w:right w:val="single" w:sz="6" w:space="0" w:color="auto"/>
            </w:tcBorders>
          </w:tcPr>
          <w:p w14:paraId="2DA4CCBA" w14:textId="7C1B7D08"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318" w:type="dxa"/>
            <w:tcBorders>
              <w:top w:val="single" w:sz="6" w:space="0" w:color="auto"/>
              <w:left w:val="single" w:sz="6" w:space="0" w:color="auto"/>
              <w:bottom w:val="single" w:sz="6" w:space="0" w:color="auto"/>
              <w:right w:val="single" w:sz="6" w:space="0" w:color="auto"/>
            </w:tcBorders>
          </w:tcPr>
          <w:p w14:paraId="264EC407" w14:textId="0A423494"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1478" w:type="dxa"/>
            <w:tcBorders>
              <w:top w:val="single" w:sz="6" w:space="0" w:color="auto"/>
              <w:left w:val="single" w:sz="6" w:space="0" w:color="auto"/>
              <w:bottom w:val="single" w:sz="6" w:space="0" w:color="auto"/>
              <w:right w:val="single" w:sz="6" w:space="0" w:color="auto"/>
            </w:tcBorders>
          </w:tcPr>
          <w:p w14:paraId="36C30CD2" w14:textId="5EBD4ABD"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c>
          <w:tcPr>
            <w:tcW w:w="2031" w:type="dxa"/>
            <w:tcBorders>
              <w:top w:val="nil"/>
              <w:left w:val="single" w:sz="6" w:space="0" w:color="auto"/>
              <w:bottom w:val="single" w:sz="6" w:space="0" w:color="auto"/>
              <w:right w:val="single" w:sz="6" w:space="0" w:color="auto"/>
            </w:tcBorders>
          </w:tcPr>
          <w:p w14:paraId="73CFAAAE" w14:textId="6D9079A9" w:rsidR="002F3F28" w:rsidRDefault="002F3F28" w:rsidP="002F3F28">
            <w:pPr>
              <w:autoSpaceDE w:val="0"/>
              <w:autoSpaceDN w:val="0"/>
              <w:adjustRightInd w:val="0"/>
              <w:spacing w:after="0" w:line="240" w:lineRule="auto"/>
              <w:jc w:val="center"/>
              <w:rPr>
                <w:rFonts w:eastAsiaTheme="minorHAnsi"/>
                <w:color w:val="000000"/>
                <w:lang w:eastAsia="en-US"/>
              </w:rPr>
            </w:pPr>
            <w:proofErr w:type="spellStart"/>
            <w:r>
              <w:rPr>
                <w:rFonts w:eastAsiaTheme="minorHAnsi"/>
                <w:color w:val="000000"/>
                <w:lang w:eastAsia="en-US"/>
              </w:rPr>
              <w:t>xxx</w:t>
            </w:r>
            <w:proofErr w:type="spellEnd"/>
          </w:p>
        </w:tc>
      </w:tr>
    </w:tbl>
    <w:p w14:paraId="566A9AD0" w14:textId="77777777" w:rsidR="002A16A1" w:rsidRDefault="002A16A1" w:rsidP="002A16A1">
      <w:pPr>
        <w:ind w:left="737" w:hanging="737"/>
      </w:pPr>
    </w:p>
    <w:p w14:paraId="0D2B19F0" w14:textId="77777777" w:rsidR="0003490F" w:rsidRDefault="0003490F"/>
    <w:sectPr w:rsidR="0003490F">
      <w:footerReference w:type="default" r:id="rId11"/>
      <w:pgSz w:w="11906" w:h="16838"/>
      <w:pgMar w:top="1560"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10AE" w14:textId="77777777" w:rsidR="004A1135" w:rsidRDefault="003C1E4A">
      <w:pPr>
        <w:spacing w:after="0" w:line="240" w:lineRule="auto"/>
      </w:pPr>
      <w:r>
        <w:separator/>
      </w:r>
    </w:p>
  </w:endnote>
  <w:endnote w:type="continuationSeparator" w:id="0">
    <w:p w14:paraId="2CB46D35" w14:textId="77777777" w:rsidR="004A1135" w:rsidRDefault="003C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284E1E2C" w:rsidR="0003490F" w:rsidRDefault="003C1E4A">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 xml:space="preserve">Strana </w:t>
    </w: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Pr>
        <w:rFonts w:ascii="Garamond" w:eastAsia="Garamond" w:hAnsi="Garamond" w:cs="Garamond"/>
        <w:noProof/>
        <w:color w:val="000000"/>
        <w:sz w:val="20"/>
        <w:szCs w:val="20"/>
      </w:rPr>
      <w:t>1</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Smlouvy</w:t>
    </w:r>
  </w:p>
  <w:p w14:paraId="00000095" w14:textId="77777777" w:rsidR="0003490F" w:rsidRDefault="0003490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69B9" w14:textId="77777777" w:rsidR="004A1135" w:rsidRDefault="003C1E4A">
      <w:pPr>
        <w:spacing w:after="0" w:line="240" w:lineRule="auto"/>
      </w:pPr>
      <w:r>
        <w:separator/>
      </w:r>
    </w:p>
  </w:footnote>
  <w:footnote w:type="continuationSeparator" w:id="0">
    <w:p w14:paraId="638008EF" w14:textId="77777777" w:rsidR="004A1135" w:rsidRDefault="003C1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329"/>
    <w:multiLevelType w:val="multilevel"/>
    <w:tmpl w:val="54F80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85072"/>
    <w:multiLevelType w:val="multilevel"/>
    <w:tmpl w:val="DE144942"/>
    <w:lvl w:ilvl="0">
      <w:start w:val="1"/>
      <w:numFmt w:val="lowerLetter"/>
      <w:lvlText w:val="%1)"/>
      <w:lvlJc w:val="left"/>
      <w:pPr>
        <w:ind w:left="206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435D5"/>
    <w:multiLevelType w:val="multilevel"/>
    <w:tmpl w:val="C6A8C05A"/>
    <w:lvl w:ilvl="0">
      <w:start w:val="1"/>
      <w:numFmt w:val="lowerLetter"/>
      <w:lvlText w:val="%1)"/>
      <w:lvlJc w:val="left"/>
      <w:pPr>
        <w:ind w:left="720" w:hanging="360"/>
      </w:pPr>
      <w:rPr>
        <w:rFonts w:ascii="Garamond" w:eastAsia="Garamond" w:hAnsi="Garamond" w:cs="Garamond"/>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048D8"/>
    <w:multiLevelType w:val="multilevel"/>
    <w:tmpl w:val="762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A150C6"/>
    <w:multiLevelType w:val="multilevel"/>
    <w:tmpl w:val="ECD06A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3F3C41"/>
    <w:multiLevelType w:val="multilevel"/>
    <w:tmpl w:val="7C2C3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0A59EC"/>
    <w:multiLevelType w:val="multilevel"/>
    <w:tmpl w:val="D96CA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0E5820"/>
    <w:multiLevelType w:val="multilevel"/>
    <w:tmpl w:val="F39E7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B2364"/>
    <w:multiLevelType w:val="multilevel"/>
    <w:tmpl w:val="D906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AF7F39"/>
    <w:multiLevelType w:val="multilevel"/>
    <w:tmpl w:val="17F210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33415E"/>
    <w:multiLevelType w:val="multilevel"/>
    <w:tmpl w:val="D6CCD52A"/>
    <w:lvl w:ilvl="0">
      <w:start w:val="1"/>
      <w:numFmt w:val="decimal"/>
      <w:lvlText w:val="%1."/>
      <w:lvlJc w:val="left"/>
      <w:pPr>
        <w:ind w:left="9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3838DA"/>
    <w:multiLevelType w:val="multilevel"/>
    <w:tmpl w:val="7C820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5A1BFE"/>
    <w:multiLevelType w:val="multilevel"/>
    <w:tmpl w:val="3A620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A57643"/>
    <w:multiLevelType w:val="multilevel"/>
    <w:tmpl w:val="751E8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E246B0"/>
    <w:multiLevelType w:val="multilevel"/>
    <w:tmpl w:val="09E4F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0"/>
  </w:num>
  <w:num w:numId="4">
    <w:abstractNumId w:val="9"/>
  </w:num>
  <w:num w:numId="5">
    <w:abstractNumId w:val="10"/>
  </w:num>
  <w:num w:numId="6">
    <w:abstractNumId w:val="2"/>
  </w:num>
  <w:num w:numId="7">
    <w:abstractNumId w:val="12"/>
  </w:num>
  <w:num w:numId="8">
    <w:abstractNumId w:val="13"/>
  </w:num>
  <w:num w:numId="9">
    <w:abstractNumId w:val="1"/>
  </w:num>
  <w:num w:numId="10">
    <w:abstractNumId w:val="14"/>
  </w:num>
  <w:num w:numId="11">
    <w:abstractNumId w:val="11"/>
  </w:num>
  <w:num w:numId="12">
    <w:abstractNumId w:val="5"/>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0F"/>
    <w:rsid w:val="0003490F"/>
    <w:rsid w:val="00073179"/>
    <w:rsid w:val="000B1FD8"/>
    <w:rsid w:val="00166711"/>
    <w:rsid w:val="002A16A1"/>
    <w:rsid w:val="002F3F28"/>
    <w:rsid w:val="003C1E4A"/>
    <w:rsid w:val="004A1135"/>
    <w:rsid w:val="004C5180"/>
    <w:rsid w:val="006026D8"/>
    <w:rsid w:val="007A644B"/>
    <w:rsid w:val="00A46E43"/>
    <w:rsid w:val="00A7560D"/>
    <w:rsid w:val="00AB0AFF"/>
    <w:rsid w:val="00C55139"/>
    <w:rsid w:val="00C90B49"/>
    <w:rsid w:val="00FC4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BBEB"/>
  <w15:docId w15:val="{687889AA-A047-442E-BF62-460DF6CC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spacing w:before="240" w:after="60" w:line="240" w:lineRule="auto"/>
      <w:outlineLvl w:val="1"/>
    </w:pPr>
    <w:rPr>
      <w:rFonts w:ascii="Arial" w:eastAsia="Arial" w:hAnsi="Arial" w:cs="Arial"/>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2Char">
    <w:name w:val="Nadpis 2 Char"/>
    <w:basedOn w:val="Standardnpsmoodstavce"/>
    <w:uiPriority w:val="99"/>
    <w:rsid w:val="00E723C3"/>
    <w:rPr>
      <w:rFonts w:ascii="Arial" w:eastAsia="MS Mincho" w:hAnsi="Arial" w:cs="Arial"/>
      <w:b/>
      <w:bCs/>
      <w:iCs/>
      <w:sz w:val="28"/>
      <w:szCs w:val="28"/>
      <w:lang w:eastAsia="cs-CZ"/>
    </w:rPr>
  </w:style>
  <w:style w:type="paragraph" w:styleId="Odstavecseseznamem">
    <w:name w:val="List Paragraph"/>
    <w:link w:val="OdstavecseseznamemChar"/>
    <w:uiPriority w:val="34"/>
    <w:qFormat/>
    <w:rsid w:val="00E723C3"/>
    <w:pPr>
      <w:spacing w:after="200" w:line="276" w:lineRule="auto"/>
      <w:ind w:left="720"/>
      <w:contextualSpacing/>
    </w:pPr>
  </w:style>
  <w:style w:type="paragraph" w:styleId="Bezmezer">
    <w:name w:val="No Spacing"/>
    <w:uiPriority w:val="1"/>
    <w:qFormat/>
    <w:rsid w:val="00E723C3"/>
    <w:pPr>
      <w:spacing w:after="0" w:line="240" w:lineRule="auto"/>
    </w:pPr>
  </w:style>
  <w:style w:type="paragraph" w:styleId="Zpat">
    <w:name w:val="footer"/>
    <w:link w:val="ZpatChar"/>
    <w:uiPriority w:val="99"/>
    <w:unhideWhenUsed/>
    <w:rsid w:val="00E723C3"/>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3C3"/>
  </w:style>
  <w:style w:type="character" w:customStyle="1" w:styleId="OdstavecseseznamemChar">
    <w:name w:val="Odstavec se seznamem Char"/>
    <w:basedOn w:val="Standardnpsmoodstavce"/>
    <w:link w:val="Odstavecseseznamem"/>
    <w:uiPriority w:val="34"/>
    <w:locked/>
    <w:rsid w:val="00E723C3"/>
  </w:style>
  <w:style w:type="character" w:styleId="Odkaznakoment">
    <w:name w:val="annotation reference"/>
    <w:basedOn w:val="Standardnpsmoodstavce"/>
    <w:uiPriority w:val="99"/>
    <w:semiHidden/>
    <w:unhideWhenUsed/>
    <w:rsid w:val="00E723C3"/>
    <w:rPr>
      <w:sz w:val="16"/>
      <w:szCs w:val="16"/>
    </w:rPr>
  </w:style>
  <w:style w:type="paragraph" w:styleId="Textkomente">
    <w:name w:val="annotation text"/>
    <w:link w:val="TextkomenteChar"/>
    <w:uiPriority w:val="99"/>
    <w:unhideWhenUsed/>
    <w:rsid w:val="00E723C3"/>
    <w:pPr>
      <w:spacing w:after="200" w:line="240" w:lineRule="auto"/>
    </w:pPr>
    <w:rPr>
      <w:sz w:val="20"/>
      <w:szCs w:val="20"/>
    </w:rPr>
  </w:style>
  <w:style w:type="character" w:customStyle="1" w:styleId="TextkomenteChar">
    <w:name w:val="Text komentáře Char"/>
    <w:basedOn w:val="Standardnpsmoodstavce"/>
    <w:link w:val="Textkomente"/>
    <w:uiPriority w:val="99"/>
    <w:rsid w:val="00E723C3"/>
    <w:rPr>
      <w:sz w:val="20"/>
      <w:szCs w:val="20"/>
    </w:rPr>
  </w:style>
  <w:style w:type="character" w:styleId="Hypertextovodkaz">
    <w:name w:val="Hyperlink"/>
    <w:basedOn w:val="Standardnpsmoodstavce"/>
    <w:rsid w:val="00E723C3"/>
    <w:rPr>
      <w:color w:val="0000FF"/>
      <w:u w:val="single"/>
    </w:rPr>
  </w:style>
  <w:style w:type="paragraph" w:styleId="Textbubliny">
    <w:name w:val="Balloon Text"/>
    <w:link w:val="TextbublinyChar"/>
    <w:uiPriority w:val="99"/>
    <w:semiHidden/>
    <w:unhideWhenUsed/>
    <w:rsid w:val="00E723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23C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17C91"/>
    <w:pPr>
      <w:spacing w:after="160"/>
    </w:pPr>
    <w:rPr>
      <w:b/>
      <w:bCs/>
    </w:rPr>
  </w:style>
  <w:style w:type="character" w:customStyle="1" w:styleId="PedmtkomenteChar">
    <w:name w:val="Předmět komentáře Char"/>
    <w:basedOn w:val="TextkomenteChar"/>
    <w:link w:val="Pedmtkomente"/>
    <w:uiPriority w:val="99"/>
    <w:semiHidden/>
    <w:rsid w:val="00217C91"/>
    <w:rPr>
      <w:b/>
      <w:bCs/>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0B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ariat.ci@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strosova@t-mobile.cz" TargetMode="External"/><Relationship Id="rId4" Type="http://schemas.openxmlformats.org/officeDocument/2006/relationships/settings" Target="settings.xml"/><Relationship Id="rId9" Type="http://schemas.openxmlformats.org/officeDocument/2006/relationships/hyperlink" Target="mailto:martina.strosova@t-mobil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rlhG9zOjB+ha74aPDqdHW+qw==">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2456</Words>
  <Characters>14494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potmesill</cp:lastModifiedBy>
  <cp:revision>5</cp:revision>
  <cp:lastPrinted>2025-07-18T10:38:00Z</cp:lastPrinted>
  <dcterms:created xsi:type="dcterms:W3CDTF">2025-09-02T10:14:00Z</dcterms:created>
  <dcterms:modified xsi:type="dcterms:W3CDTF">2025-09-23T07:09:00Z</dcterms:modified>
</cp:coreProperties>
</file>