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BE2A" w14:textId="77777777" w:rsidR="002074C0" w:rsidRPr="002074C0" w:rsidRDefault="002074C0" w:rsidP="002074C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333333"/>
          <w:sz w:val="25"/>
          <w:lang w:eastAsia="cs-CZ"/>
        </w:rPr>
        <w:t>SMLOUVA O DÍLO</w:t>
      </w:r>
      <w:r w:rsidRPr="002074C0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  <w:t> </w:t>
      </w:r>
    </w:p>
    <w:p w14:paraId="21C62C13" w14:textId="77777777" w:rsidR="002074C0" w:rsidRPr="002074C0" w:rsidRDefault="002074C0" w:rsidP="002074C0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Smluvní strany:</w:t>
      </w:r>
    </w:p>
    <w:p w14:paraId="4A958E13" w14:textId="77777777"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6783914" w14:textId="77777777"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Základní škola Karlovy Vary, Poštovní 19, příspěvková organizace</w:t>
      </w:r>
    </w:p>
    <w:p w14:paraId="2D32ADBA" w14:textId="77777777"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Poštovní 1743/19, 360 01 Karlovy Vary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proofErr w:type="gramStart"/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IČ:  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709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33 758</w:t>
      </w:r>
    </w:p>
    <w:p w14:paraId="0C3F7CE9" w14:textId="77777777"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AA79CEE" w14:textId="0FD61A52"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Zastoupena: Mgr. </w:t>
      </w:r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Marcelem </w:t>
      </w:r>
      <w:proofErr w:type="spellStart"/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Bizoňem</w:t>
      </w:r>
      <w:proofErr w:type="spellEnd"/>
    </w:p>
    <w:p w14:paraId="36D224F4" w14:textId="77777777" w:rsidR="00C663F6" w:rsidRDefault="002074C0" w:rsidP="00C663F6">
      <w:pPr>
        <w:rPr>
          <w:rFonts w:ascii="Arial" w:hAnsi="Arial" w:cs="Arial"/>
          <w:color w:val="000000"/>
          <w:sz w:val="18"/>
          <w:szCs w:val="18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(dále jen jako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Objednatel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 na straně jedné)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C663F6">
        <w:rPr>
          <w:rFonts w:ascii="Arial" w:hAnsi="Arial" w:cs="Arial"/>
          <w:color w:val="000000"/>
          <w:sz w:val="18"/>
          <w:szCs w:val="18"/>
        </w:rPr>
        <w:t>Tomáš Popelka</w:t>
      </w:r>
    </w:p>
    <w:p w14:paraId="269611E2" w14:textId="6E9DCD19" w:rsidR="00C663F6" w:rsidRDefault="00C663F6" w:rsidP="00C663F6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Počerny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37</w:t>
      </w:r>
    </w:p>
    <w:p w14:paraId="6638DDBF" w14:textId="77777777" w:rsidR="00C663F6" w:rsidRDefault="00C663F6" w:rsidP="00C663F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360 17 Karlovy Vary</w:t>
      </w:r>
    </w:p>
    <w:p w14:paraId="2E9FCFA4" w14:textId="77777777" w:rsidR="00C663F6" w:rsidRDefault="00C663F6" w:rsidP="00C663F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IČ: 69936111</w:t>
      </w:r>
    </w:p>
    <w:p w14:paraId="43ED8598" w14:textId="77777777" w:rsidR="00C663F6" w:rsidRDefault="00C663F6" w:rsidP="00C663F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DIČ: CZ6807010276</w:t>
      </w:r>
    </w:p>
    <w:p w14:paraId="23B6564C" w14:textId="0A2AE8D8" w:rsidR="002074C0" w:rsidRPr="002074C0" w:rsidRDefault="002074C0" w:rsidP="00C663F6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(dále jen jako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Zhotovitel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 na straně druhé)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smlouvu o dílo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(dále jen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Smlouva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25196DD0" w14:textId="77777777"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Předmět Smlouvy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5B9693FC" w14:textId="6CE01A68"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Zhotovitel se touto smlouvou zavazuje provést na svůj náklad a nebezpečí pro objednatele za podmínek níže uvedených dílo: </w:t>
      </w:r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opravu </w:t>
      </w:r>
      <w:r w:rsidR="007C6C9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stávajících zpevněných ploch v prostorách okolo tělocvičny a budovy dílen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; dále jen „Dílo“) a objednatel se zavazuje Dílo převzít a zaplatit za něj Zhotoviteli cenu, která je sjednána v čl. II této Smlouvy.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3AB81911" w14:textId="77777777"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Cena Díla a způsob úhrady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43A677F1" w14:textId="350DB119"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Smluvní strany se </w:t>
      </w:r>
      <w:r w:rsidR="005F266D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dohodly</w:t>
      </w:r>
      <w:r w:rsidR="005F26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že celková cena díla bude činit částku ve výši </w:t>
      </w:r>
      <w:r w:rsidR="007C6C9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299 635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,-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Kč </w:t>
      </w:r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bez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DPH a bu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de uhrazena na účet Zhotovitele (které bude uvedeno na faktuře)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při předání a převzetí Díla.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64543F6D" w14:textId="77777777"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III.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Termín zhotovení díla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0F122180" w14:textId="4E11D05F"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Smluvní strany se, že Dílo bude Zhotovitelem provedeno v termínu nejpozději do</w:t>
      </w:r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7C6C9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31.12.2025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Objednatel předal při podpisu smlouvy následující věci určené k provedení díla: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C663F6" w:rsidRPr="00C6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položkový rozpočet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459BEA5D" w14:textId="77777777"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IV.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Předání a převzetí Díla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097ADAD7" w14:textId="1C73B856"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O předání a převzetí Díla bude Smluvními stranami vyhotoven předávací protokol.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14:paraId="492A108B" w14:textId="77777777"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V.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Odpovědnost za vady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6DC9854D" w14:textId="145553A9"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Zhotovitel poskytne na Dílo záruku po dobu </w:t>
      </w:r>
      <w:r w:rsidR="0004625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36 měsíců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Zhotovitel se zavazuje předat Dílo bez vad a nedodělků.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670BCEE2" w14:textId="77777777"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VI.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Závěrečná ustanovení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6968D0B7" w14:textId="77777777" w:rsidR="007C6C9D" w:rsidRPr="007C6C9D" w:rsidRDefault="007C6C9D" w:rsidP="007C6C9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7C6C9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Tato smlouva nabývá platnosti dnem podpisu oprávněnými zástupci smluvních stran (zhotovitel, objednavatel, 2 členové vedení města) a účinnosti dnem uveřejnění smlouvy v registru smluv.</w:t>
      </w:r>
    </w:p>
    <w:p w14:paraId="3BF08EF5" w14:textId="1BE32E0B" w:rsidR="00C663F6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Smlouva byla vyhotovena ve dvou stejnopisech, z nichž každá Smluvní strana obdrží po jednom vyhotovení.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723B5E87" w14:textId="77777777" w:rsidR="00C663F6" w:rsidRDefault="00C663F6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4B0CB44E" w14:textId="3998A742"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V</w:t>
      </w:r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Karlových Varech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</w:t>
      </w:r>
      <w:r w:rsidR="007C6C9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                   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</w:t>
      </w:r>
      <w:r w:rsidR="00C663F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Karlových Varech</w:t>
      </w:r>
      <w:r w:rsidR="006952E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14:paraId="3F2E5D3A" w14:textId="77777777" w:rsidR="006952ED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................................................                              ...............................................                  </w:t>
      </w:r>
    </w:p>
    <w:p w14:paraId="416DE602" w14:textId="5BBE5EE7" w:rsidR="002074C0" w:rsidRP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             </w:t>
      </w:r>
    </w:p>
    <w:p w14:paraId="301DB41E" w14:textId="77777777" w:rsidR="00FA75F5" w:rsidRDefault="002074C0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Objednatel                                                             Zhotovitel</w:t>
      </w:r>
    </w:p>
    <w:p w14:paraId="76A5AE9F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373FBF35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7F5D5BA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A02BAF4" w14:textId="77777777" w:rsidR="007E2738" w:rsidRDefault="007E2738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1BC309D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89221AA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F75E90F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AAB4C1B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84CEF41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6B02BF11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476CFF55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F2A2706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74AE931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CBFE3F8" w14:textId="77777777" w:rsidR="006952ED" w:rsidRDefault="006952ED" w:rsidP="002074C0">
      <w:pPr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sectPr w:rsidR="006952ED" w:rsidSect="00FA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C0"/>
    <w:rsid w:val="0004625F"/>
    <w:rsid w:val="00071BE8"/>
    <w:rsid w:val="00122498"/>
    <w:rsid w:val="002074C0"/>
    <w:rsid w:val="002D06E6"/>
    <w:rsid w:val="002F53B2"/>
    <w:rsid w:val="00525FB9"/>
    <w:rsid w:val="00546A94"/>
    <w:rsid w:val="00592BFF"/>
    <w:rsid w:val="005E1374"/>
    <w:rsid w:val="005F266D"/>
    <w:rsid w:val="0064212F"/>
    <w:rsid w:val="006952ED"/>
    <w:rsid w:val="007271BF"/>
    <w:rsid w:val="0073385C"/>
    <w:rsid w:val="007C6C9D"/>
    <w:rsid w:val="007E2738"/>
    <w:rsid w:val="007F4043"/>
    <w:rsid w:val="00976305"/>
    <w:rsid w:val="00A964E4"/>
    <w:rsid w:val="00C663F6"/>
    <w:rsid w:val="00C77F58"/>
    <w:rsid w:val="00D97D07"/>
    <w:rsid w:val="00DA18FB"/>
    <w:rsid w:val="00DA65BF"/>
    <w:rsid w:val="00DF1CC7"/>
    <w:rsid w:val="00EF76F9"/>
    <w:rsid w:val="00F30437"/>
    <w:rsid w:val="00F44611"/>
    <w:rsid w:val="00FA75F5"/>
    <w:rsid w:val="00FC6947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294B"/>
  <w15:docId w15:val="{7167576D-4918-4594-A458-5054EDDD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374"/>
    <w:rPr>
      <w:smallCaps w:val="0"/>
    </w:rPr>
  </w:style>
  <w:style w:type="paragraph" w:styleId="Nadpis1">
    <w:name w:val="heading 1"/>
    <w:basedOn w:val="Normln"/>
    <w:link w:val="Nadpis1Char"/>
    <w:uiPriority w:val="9"/>
    <w:qFormat/>
    <w:rsid w:val="002074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4C0"/>
    <w:rPr>
      <w:rFonts w:eastAsia="Times New Roman"/>
      <w:b/>
      <w:bCs/>
      <w:smallCaps w:val="0"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74C0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207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Zátková</dc:creator>
  <cp:lastModifiedBy>Lenka Janischová</cp:lastModifiedBy>
  <cp:revision>3</cp:revision>
  <cp:lastPrinted>2025-09-09T05:23:00Z</cp:lastPrinted>
  <dcterms:created xsi:type="dcterms:W3CDTF">2025-09-08T18:15:00Z</dcterms:created>
  <dcterms:modified xsi:type="dcterms:W3CDTF">2025-09-09T07:46:00Z</dcterms:modified>
</cp:coreProperties>
</file>