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2252750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25.09.2025 8:48:32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2252750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