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483CDAF0" w14:textId="77777777" w:rsidR="00641117" w:rsidRPr="00641117" w:rsidRDefault="00641117" w:rsidP="00641117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Česká republika – Státní pozemkový úřad</w:t>
      </w:r>
    </w:p>
    <w:p w14:paraId="61A7FF21" w14:textId="77777777" w:rsidR="00641117" w:rsidRPr="00641117" w:rsidRDefault="00641117" w:rsidP="00641117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Sídlo:</w:t>
      </w:r>
      <w:r w:rsidRPr="00641117">
        <w:rPr>
          <w:rFonts w:cs="Arial"/>
          <w:bCs/>
          <w:szCs w:val="24"/>
        </w:rPr>
        <w:t xml:space="preserve"> </w:t>
      </w:r>
      <w:r w:rsidRPr="00641117">
        <w:rPr>
          <w:rFonts w:cs="Arial"/>
          <w:szCs w:val="24"/>
        </w:rPr>
        <w:t>Husinecká 1024/</w:t>
      </w:r>
      <w:proofErr w:type="gramStart"/>
      <w:r w:rsidRPr="00641117">
        <w:rPr>
          <w:rFonts w:cs="Arial"/>
          <w:szCs w:val="24"/>
        </w:rPr>
        <w:t>11a</w:t>
      </w:r>
      <w:proofErr w:type="gramEnd"/>
      <w:r w:rsidRPr="00641117">
        <w:rPr>
          <w:rFonts w:cs="Arial"/>
          <w:szCs w:val="24"/>
        </w:rPr>
        <w:t>, 130 00 Praha 3</w:t>
      </w:r>
    </w:p>
    <w:p w14:paraId="04F37BF2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Krajský pozemkový úřad pro Jihomoravský kraj, Adresa:</w:t>
      </w:r>
      <w:r w:rsidRPr="00641117">
        <w:rPr>
          <w:szCs w:val="24"/>
        </w:rPr>
        <w:t xml:space="preserve"> </w:t>
      </w:r>
      <w:r w:rsidRPr="00641117">
        <w:rPr>
          <w:rFonts w:cs="Arial"/>
          <w:szCs w:val="24"/>
        </w:rPr>
        <w:t>Hroznová 227/17, 603 00 Brno.</w:t>
      </w:r>
    </w:p>
    <w:p w14:paraId="0BE6960F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641117">
        <w:rPr>
          <w:rFonts w:cs="Arial"/>
          <w:b/>
          <w:szCs w:val="24"/>
        </w:rPr>
        <w:t xml:space="preserve">Pobočka </w:t>
      </w:r>
      <w:r w:rsidRPr="00641117">
        <w:rPr>
          <w:rFonts w:cs="Arial"/>
          <w:b/>
          <w:bCs/>
          <w:snapToGrid w:val="0"/>
          <w:szCs w:val="24"/>
        </w:rPr>
        <w:t>Břeclav</w:t>
      </w:r>
    </w:p>
    <w:p w14:paraId="28177832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Adresa:</w:t>
      </w:r>
      <w:r w:rsidRPr="00641117">
        <w:rPr>
          <w:szCs w:val="24"/>
        </w:rPr>
        <w:t xml:space="preserve"> </w:t>
      </w:r>
      <w:r w:rsidRPr="00641117">
        <w:rPr>
          <w:rFonts w:cs="Arial"/>
          <w:b/>
          <w:szCs w:val="24"/>
        </w:rPr>
        <w:t>náměstí T. G. Masaryka 2957/</w:t>
      </w:r>
      <w:proofErr w:type="gramStart"/>
      <w:r w:rsidRPr="00641117">
        <w:rPr>
          <w:rFonts w:cs="Arial"/>
          <w:b/>
          <w:szCs w:val="24"/>
        </w:rPr>
        <w:t>9a</w:t>
      </w:r>
      <w:proofErr w:type="gramEnd"/>
      <w:r w:rsidRPr="00641117">
        <w:rPr>
          <w:rFonts w:cs="Arial"/>
          <w:b/>
          <w:szCs w:val="24"/>
        </w:rPr>
        <w:t>, 690 02 Břeclav</w:t>
      </w:r>
    </w:p>
    <w:p w14:paraId="276AD93A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 xml:space="preserve">zastoupený: </w:t>
      </w:r>
      <w:r w:rsidRPr="00641117">
        <w:rPr>
          <w:rFonts w:eastAsia="Lucida Sans Unicode" w:cs="Arial"/>
          <w:b/>
          <w:szCs w:val="24"/>
        </w:rPr>
        <w:t>Ing. et Ing. Luďkem Drápalem, MBA, vedoucím pobočky</w:t>
      </w:r>
    </w:p>
    <w:p w14:paraId="491C4F5A" w14:textId="77777777" w:rsidR="00641117" w:rsidRPr="00641117" w:rsidRDefault="00641117" w:rsidP="00641117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b/>
          <w:szCs w:val="24"/>
        </w:rPr>
      </w:pPr>
      <w:r w:rsidRPr="00641117">
        <w:rPr>
          <w:rFonts w:eastAsia="Lucida Sans Unicode" w:cs="Arial"/>
          <w:szCs w:val="24"/>
        </w:rPr>
        <w:t>ve smluvních záležitostech oprávněn jednat:</w:t>
      </w:r>
      <w:r w:rsidRPr="00641117">
        <w:rPr>
          <w:rFonts w:eastAsia="Lucida Sans Unicode" w:cs="Arial"/>
          <w:szCs w:val="24"/>
        </w:rPr>
        <w:tab/>
      </w:r>
      <w:r w:rsidRPr="00641117">
        <w:rPr>
          <w:rFonts w:cs="Arial"/>
          <w:szCs w:val="22"/>
        </w:rPr>
        <w:t xml:space="preserve">Ing. et Ing. Luděk Drápal, </w:t>
      </w:r>
      <w:proofErr w:type="gramStart"/>
      <w:r w:rsidRPr="00641117">
        <w:rPr>
          <w:rFonts w:cs="Arial"/>
          <w:szCs w:val="22"/>
        </w:rPr>
        <w:t>MBA  -</w:t>
      </w:r>
      <w:proofErr w:type="gramEnd"/>
      <w:r w:rsidRPr="00641117">
        <w:rPr>
          <w:rFonts w:cs="Arial"/>
          <w:szCs w:val="22"/>
        </w:rPr>
        <w:t xml:space="preserve"> vedoucí Pobočky</w:t>
      </w:r>
      <w:r w:rsidRPr="00641117" w:rsidDel="004827AD">
        <w:rPr>
          <w:rFonts w:eastAsia="Lucida Sans Unicode" w:cs="Arial"/>
          <w:b/>
          <w:szCs w:val="24"/>
          <w:highlight w:val="yellow"/>
        </w:rPr>
        <w:t xml:space="preserve"> </w:t>
      </w:r>
    </w:p>
    <w:p w14:paraId="5E1CFBE5" w14:textId="77777777" w:rsidR="00641117" w:rsidRPr="00641117" w:rsidRDefault="00641117" w:rsidP="00641117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641117">
        <w:rPr>
          <w:rFonts w:eastAsia="Lucida Sans Unicode" w:cs="Arial"/>
          <w:szCs w:val="24"/>
        </w:rPr>
        <w:t xml:space="preserve">v </w:t>
      </w:r>
      <w:r w:rsidRPr="00641117">
        <w:rPr>
          <w:rFonts w:eastAsia="Lucida Sans Unicode" w:cs="Arial"/>
          <w:snapToGrid w:val="0"/>
          <w:szCs w:val="24"/>
        </w:rPr>
        <w:t>technických záležitostech oprávněn jednat:</w:t>
      </w:r>
      <w:r w:rsidRPr="00641117">
        <w:rPr>
          <w:rFonts w:eastAsia="Lucida Sans Unicode" w:cs="Arial"/>
          <w:snapToGrid w:val="0"/>
          <w:szCs w:val="24"/>
        </w:rPr>
        <w:tab/>
      </w:r>
      <w:r w:rsidRPr="00641117">
        <w:rPr>
          <w:rFonts w:eastAsia="Lucida Sans Unicode" w:cs="Arial"/>
          <w:snapToGrid w:val="0"/>
          <w:szCs w:val="22"/>
        </w:rPr>
        <w:t>Ing. Mária Tisarová, Pobočka Břeclav</w:t>
      </w:r>
      <w:r w:rsidRPr="00641117" w:rsidDel="00256901">
        <w:rPr>
          <w:rFonts w:eastAsia="Lucida Sans Unicode" w:cs="Arial"/>
          <w:b/>
          <w:szCs w:val="24"/>
          <w:highlight w:val="yellow"/>
        </w:rPr>
        <w:t xml:space="preserve"> </w:t>
      </w:r>
      <w:r w:rsidRPr="00641117">
        <w:rPr>
          <w:rFonts w:eastAsia="Lucida Sans Unicode" w:cs="Arial"/>
          <w:szCs w:val="24"/>
        </w:rPr>
        <w:t xml:space="preserve"> </w:t>
      </w:r>
    </w:p>
    <w:p w14:paraId="18F875FB" w14:textId="77777777" w:rsidR="00641117" w:rsidRPr="00641117" w:rsidRDefault="00641117" w:rsidP="00641117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</w:r>
    </w:p>
    <w:p w14:paraId="0ED2E658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Tel.:</w:t>
      </w:r>
      <w:r w:rsidRPr="00641117">
        <w:rPr>
          <w:rFonts w:eastAsia="Lucida Sans Unicode" w:cs="Arial"/>
          <w:szCs w:val="24"/>
        </w:rPr>
        <w:tab/>
        <w:t>+420 727 956 365</w:t>
      </w:r>
    </w:p>
    <w:p w14:paraId="4BDB6E5F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E-mail:</w:t>
      </w:r>
      <w:r w:rsidRPr="00641117">
        <w:rPr>
          <w:rFonts w:eastAsia="Lucida Sans Unicode" w:cs="Arial"/>
          <w:szCs w:val="24"/>
        </w:rPr>
        <w:tab/>
      </w:r>
      <w:hyperlink r:id="rId13" w:history="1">
        <w:r w:rsidRPr="00641117">
          <w:rPr>
            <w:rFonts w:eastAsia="Lucida Sans Unicode" w:cs="Arial"/>
            <w:bCs/>
            <w:color w:val="0000FF"/>
            <w:szCs w:val="24"/>
            <w:u w:val="single"/>
          </w:rPr>
          <w:t>breclav.pk@</w:t>
        </w:r>
        <w:r w:rsidRPr="00641117">
          <w:rPr>
            <w:rFonts w:eastAsia="Lucida Sans Unicode" w:cs="Arial"/>
            <w:color w:val="0000FF"/>
            <w:szCs w:val="24"/>
            <w:u w:val="single"/>
          </w:rPr>
          <w:t>spu.gov.cz</w:t>
        </w:r>
      </w:hyperlink>
      <w:r w:rsidRPr="00641117">
        <w:rPr>
          <w:rFonts w:eastAsia="Lucida Sans Unicode" w:cs="Arial"/>
          <w:szCs w:val="24"/>
        </w:rPr>
        <w:t xml:space="preserve"> </w:t>
      </w:r>
    </w:p>
    <w:p w14:paraId="3C261964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ID DS:</w:t>
      </w:r>
      <w:r w:rsidRPr="00641117">
        <w:rPr>
          <w:rFonts w:eastAsia="Lucida Sans Unicode" w:cs="Arial"/>
          <w:szCs w:val="24"/>
        </w:rPr>
        <w:tab/>
        <w:t>z49per3</w:t>
      </w:r>
    </w:p>
    <w:p w14:paraId="1CA8D3DE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Bankovní spojení:</w:t>
      </w:r>
      <w:r w:rsidRPr="00641117">
        <w:rPr>
          <w:rFonts w:eastAsia="Lucida Sans Unicode" w:cs="Arial"/>
          <w:szCs w:val="24"/>
        </w:rPr>
        <w:tab/>
        <w:t>ČNB</w:t>
      </w:r>
    </w:p>
    <w:p w14:paraId="13D4AA84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Číslo účtu:</w:t>
      </w:r>
      <w:r w:rsidRPr="00641117">
        <w:rPr>
          <w:rFonts w:eastAsia="Lucida Sans Unicode" w:cs="Arial"/>
          <w:bCs/>
          <w:szCs w:val="24"/>
        </w:rPr>
        <w:tab/>
        <w:t>3723001/0710</w:t>
      </w:r>
    </w:p>
    <w:p w14:paraId="609E4CA3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IČO:</w:t>
      </w:r>
      <w:r w:rsidRPr="00641117">
        <w:rPr>
          <w:rFonts w:eastAsia="Lucida Sans Unicode" w:cs="Arial"/>
          <w:bCs/>
          <w:szCs w:val="24"/>
        </w:rPr>
        <w:tab/>
        <w:t>01312774</w:t>
      </w:r>
    </w:p>
    <w:p w14:paraId="33EEFC61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DIČ:</w:t>
      </w:r>
      <w:r w:rsidRPr="00641117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41848F5D" w14:textId="77777777" w:rsidR="00E632C1" w:rsidRPr="00E632C1" w:rsidRDefault="00E632C1" w:rsidP="00E632C1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632C1">
        <w:rPr>
          <w:rFonts w:cs="Arial"/>
          <w:b/>
          <w:szCs w:val="24"/>
        </w:rPr>
        <w:t>Zhotovitel:</w:t>
      </w:r>
    </w:p>
    <w:p w14:paraId="157CB12A" w14:textId="77777777" w:rsidR="00E632C1" w:rsidRPr="00E632C1" w:rsidRDefault="00E632C1" w:rsidP="00E632C1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632C1">
        <w:rPr>
          <w:rFonts w:cs="Arial"/>
          <w:b/>
          <w:szCs w:val="24"/>
        </w:rPr>
        <w:t xml:space="preserve">Jméno: </w:t>
      </w:r>
      <w:r w:rsidRPr="00E632C1">
        <w:rPr>
          <w:rFonts w:cs="Arial"/>
          <w:b/>
          <w:szCs w:val="24"/>
        </w:rPr>
        <w:tab/>
        <w:t>Agroprojekce Litomyšl, spol. s r.o.</w:t>
      </w:r>
    </w:p>
    <w:p w14:paraId="6BA54B95" w14:textId="77777777" w:rsidR="00E632C1" w:rsidRPr="00E632C1" w:rsidRDefault="00E632C1" w:rsidP="00E632C1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  <w:highlight w:val="yellow"/>
        </w:rPr>
      </w:pPr>
      <w:r w:rsidRPr="00E632C1">
        <w:rPr>
          <w:rFonts w:cs="Arial"/>
          <w:b/>
          <w:szCs w:val="24"/>
        </w:rPr>
        <w:t>Sídlo:</w:t>
      </w:r>
      <w:r w:rsidRPr="00E632C1">
        <w:rPr>
          <w:rFonts w:cs="Arial"/>
          <w:bCs/>
          <w:szCs w:val="24"/>
        </w:rPr>
        <w:t xml:space="preserve"> </w:t>
      </w:r>
      <w:r w:rsidRPr="00E632C1">
        <w:rPr>
          <w:rFonts w:cs="Arial"/>
          <w:bCs/>
          <w:szCs w:val="24"/>
        </w:rPr>
        <w:tab/>
        <w:t>Rokycanova 114, 566 01 Vysoké Mýto</w:t>
      </w:r>
    </w:p>
    <w:p w14:paraId="3F517D3A" w14:textId="77777777" w:rsidR="00E632C1" w:rsidRPr="00E632C1" w:rsidRDefault="00E632C1" w:rsidP="00E632C1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632C1">
        <w:rPr>
          <w:rFonts w:cs="Arial"/>
          <w:szCs w:val="24"/>
        </w:rPr>
        <w:t xml:space="preserve">zastoupený: </w:t>
      </w:r>
      <w:r w:rsidRPr="00E632C1">
        <w:rPr>
          <w:rFonts w:cs="Arial"/>
          <w:szCs w:val="24"/>
        </w:rPr>
        <w:tab/>
      </w:r>
      <w:r w:rsidRPr="00E632C1">
        <w:rPr>
          <w:rFonts w:cs="Arial"/>
          <w:b/>
          <w:bCs/>
          <w:snapToGrid w:val="0"/>
          <w:szCs w:val="24"/>
        </w:rPr>
        <w:t>Ing. Jaroslavem Jakoubkem, jednatel</w:t>
      </w:r>
    </w:p>
    <w:p w14:paraId="343DFBB4" w14:textId="3117D53F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jc w:val="both"/>
        <w:rPr>
          <w:rFonts w:cs="Arial"/>
          <w:szCs w:val="24"/>
        </w:rPr>
      </w:pPr>
      <w:r w:rsidRPr="00E632C1">
        <w:rPr>
          <w:rFonts w:cs="Arial"/>
          <w:szCs w:val="24"/>
        </w:rPr>
        <w:tab/>
        <w:t>Tel.:</w:t>
      </w:r>
      <w:r w:rsidRPr="00E632C1">
        <w:rPr>
          <w:rFonts w:cs="Arial"/>
          <w:szCs w:val="24"/>
        </w:rPr>
        <w:tab/>
      </w:r>
      <w:bookmarkStart w:id="0" w:name="_Hlk209687756"/>
      <w:r w:rsidR="00CD1E8F">
        <w:rPr>
          <w:rFonts w:cs="Arial"/>
          <w:snapToGrid w:val="0"/>
          <w:szCs w:val="24"/>
        </w:rPr>
        <w:t>xxxxxxxxxxxxxx</w:t>
      </w:r>
      <w:bookmarkEnd w:id="0"/>
    </w:p>
    <w:p w14:paraId="48EDF5DE" w14:textId="4EBBD00D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E632C1">
        <w:rPr>
          <w:rFonts w:cs="Arial"/>
          <w:szCs w:val="24"/>
        </w:rPr>
        <w:tab/>
        <w:t>E-mail:</w:t>
      </w:r>
      <w:r w:rsidRPr="00E632C1">
        <w:rPr>
          <w:rFonts w:cs="Arial"/>
          <w:szCs w:val="24"/>
        </w:rPr>
        <w:tab/>
      </w:r>
      <w:r w:rsidR="00CD1E8F">
        <w:rPr>
          <w:rFonts w:cs="Arial"/>
          <w:snapToGrid w:val="0"/>
          <w:szCs w:val="24"/>
        </w:rPr>
        <w:t>xxxxxxxxxxxxxx</w:t>
      </w:r>
    </w:p>
    <w:p w14:paraId="6BFE1871" w14:textId="77777777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632C1">
        <w:rPr>
          <w:rFonts w:cs="Arial"/>
          <w:snapToGrid w:val="0"/>
          <w:szCs w:val="24"/>
        </w:rPr>
        <w:tab/>
        <w:t>ID DS:</w:t>
      </w:r>
      <w:r w:rsidRPr="00E632C1">
        <w:rPr>
          <w:rFonts w:cs="Arial"/>
          <w:bCs/>
          <w:snapToGrid w:val="0"/>
          <w:szCs w:val="24"/>
        </w:rPr>
        <w:tab/>
      </w:r>
      <w:r w:rsidRPr="00E632C1">
        <w:rPr>
          <w:rFonts w:cs="Arial"/>
          <w:snapToGrid w:val="0"/>
          <w:szCs w:val="24"/>
        </w:rPr>
        <w:t>gv6y8j4</w:t>
      </w:r>
    </w:p>
    <w:p w14:paraId="0DFC9C3E" w14:textId="2EA7D153" w:rsidR="00E632C1" w:rsidRPr="00E632C1" w:rsidRDefault="00E632C1" w:rsidP="00E632C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632C1">
        <w:rPr>
          <w:rFonts w:cs="Arial"/>
          <w:szCs w:val="24"/>
        </w:rPr>
        <w:t>v technických záležitostech je oprávněn jednat:</w:t>
      </w:r>
      <w:r w:rsidRPr="00E632C1">
        <w:rPr>
          <w:rFonts w:cs="Arial"/>
          <w:szCs w:val="24"/>
        </w:rPr>
        <w:tab/>
      </w:r>
      <w:r w:rsidR="004E693F">
        <w:rPr>
          <w:rFonts w:cs="Arial"/>
          <w:snapToGrid w:val="0"/>
          <w:szCs w:val="24"/>
        </w:rPr>
        <w:t>xxxxxxxxxxxxxxxxxxxxxxxxxxxx</w:t>
      </w:r>
    </w:p>
    <w:p w14:paraId="2F02AD4C" w14:textId="00AC9FD3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284"/>
        <w:rPr>
          <w:rFonts w:cs="Arial"/>
          <w:szCs w:val="24"/>
        </w:rPr>
      </w:pPr>
      <w:r w:rsidRPr="00E632C1">
        <w:rPr>
          <w:rFonts w:cs="Arial"/>
          <w:szCs w:val="24"/>
        </w:rPr>
        <w:tab/>
        <w:t>Tel.:</w:t>
      </w:r>
      <w:r w:rsidRPr="00E632C1">
        <w:rPr>
          <w:rFonts w:cs="Arial"/>
          <w:szCs w:val="24"/>
        </w:rPr>
        <w:tab/>
      </w:r>
      <w:r w:rsidR="00D77600" w:rsidRPr="00D77600">
        <w:rPr>
          <w:rFonts w:cs="Arial"/>
          <w:snapToGrid w:val="0"/>
          <w:szCs w:val="24"/>
        </w:rPr>
        <w:t>xxxxxxxxxxxxxx</w:t>
      </w:r>
    </w:p>
    <w:p w14:paraId="14BF0DFC" w14:textId="78BB72DA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E632C1">
        <w:rPr>
          <w:rFonts w:cs="Arial"/>
          <w:szCs w:val="24"/>
        </w:rPr>
        <w:tab/>
        <w:t>E-mail:</w:t>
      </w:r>
      <w:r w:rsidRPr="00E632C1">
        <w:rPr>
          <w:rFonts w:cs="Arial"/>
          <w:szCs w:val="24"/>
        </w:rPr>
        <w:tab/>
      </w:r>
      <w:r w:rsidR="00D77600" w:rsidRPr="00D77600">
        <w:t>xxxxxxxxxxxxxx</w:t>
      </w:r>
      <w:r w:rsidRPr="00E632C1">
        <w:rPr>
          <w:rFonts w:cs="Arial"/>
          <w:snapToGrid w:val="0"/>
          <w:szCs w:val="24"/>
        </w:rPr>
        <w:t xml:space="preserve"> </w:t>
      </w:r>
    </w:p>
    <w:p w14:paraId="00883A11" w14:textId="77777777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E632C1">
        <w:rPr>
          <w:rFonts w:cs="Arial"/>
          <w:szCs w:val="24"/>
        </w:rPr>
        <w:tab/>
        <w:t>Bankovní spojení:</w:t>
      </w:r>
      <w:r w:rsidRPr="00E632C1">
        <w:rPr>
          <w:rFonts w:cs="Arial"/>
          <w:szCs w:val="24"/>
        </w:rPr>
        <w:tab/>
      </w:r>
      <w:r w:rsidRPr="00E632C1">
        <w:rPr>
          <w:rFonts w:cs="Arial"/>
          <w:snapToGrid w:val="0"/>
          <w:szCs w:val="24"/>
        </w:rPr>
        <w:t>MONETA Money Bank, a.s.</w:t>
      </w:r>
    </w:p>
    <w:p w14:paraId="05285687" w14:textId="77777777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E632C1">
        <w:rPr>
          <w:rFonts w:cs="Arial"/>
          <w:szCs w:val="24"/>
        </w:rPr>
        <w:tab/>
        <w:t>Číslo účtu:</w:t>
      </w:r>
      <w:r w:rsidRPr="00E632C1">
        <w:rPr>
          <w:rFonts w:cs="Arial"/>
          <w:szCs w:val="24"/>
        </w:rPr>
        <w:tab/>
      </w:r>
      <w:r w:rsidRPr="00E632C1">
        <w:rPr>
          <w:rFonts w:cs="Arial"/>
          <w:snapToGrid w:val="0"/>
          <w:szCs w:val="24"/>
        </w:rPr>
        <w:t>341302664/0600</w:t>
      </w:r>
    </w:p>
    <w:p w14:paraId="778C1CEF" w14:textId="77777777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ind w:right="-284"/>
        <w:rPr>
          <w:rFonts w:cs="Arial"/>
          <w:szCs w:val="24"/>
        </w:rPr>
      </w:pPr>
      <w:r w:rsidRPr="00E632C1">
        <w:rPr>
          <w:rFonts w:cs="Arial"/>
          <w:szCs w:val="24"/>
        </w:rPr>
        <w:tab/>
        <w:t>IČO:</w:t>
      </w:r>
      <w:r w:rsidRPr="00E632C1">
        <w:rPr>
          <w:rFonts w:cs="Arial"/>
          <w:szCs w:val="24"/>
        </w:rPr>
        <w:tab/>
      </w:r>
      <w:r w:rsidRPr="00E632C1">
        <w:rPr>
          <w:rFonts w:cs="Arial"/>
          <w:snapToGrid w:val="0"/>
          <w:szCs w:val="24"/>
        </w:rPr>
        <w:t>64255611</w:t>
      </w:r>
    </w:p>
    <w:p w14:paraId="553EE262" w14:textId="77777777" w:rsidR="00E632C1" w:rsidRPr="00E632C1" w:rsidRDefault="00E632C1" w:rsidP="00E632C1">
      <w:pPr>
        <w:tabs>
          <w:tab w:val="left" w:pos="284"/>
          <w:tab w:val="left" w:pos="4253"/>
        </w:tabs>
        <w:spacing w:line="280" w:lineRule="exact"/>
        <w:jc w:val="both"/>
        <w:rPr>
          <w:rFonts w:cs="Arial"/>
          <w:szCs w:val="24"/>
        </w:rPr>
      </w:pPr>
      <w:r w:rsidRPr="00E632C1">
        <w:rPr>
          <w:rFonts w:cs="Arial"/>
          <w:szCs w:val="24"/>
        </w:rPr>
        <w:tab/>
        <w:t>DIČ:</w:t>
      </w:r>
      <w:r w:rsidRPr="00E632C1">
        <w:rPr>
          <w:rFonts w:cs="Arial"/>
          <w:szCs w:val="24"/>
        </w:rPr>
        <w:tab/>
      </w:r>
      <w:r w:rsidRPr="00E632C1">
        <w:rPr>
          <w:rFonts w:cs="Arial"/>
          <w:snapToGrid w:val="0"/>
          <w:szCs w:val="24"/>
        </w:rPr>
        <w:t>CZ64255611 je plátcem DPH</w:t>
      </w:r>
    </w:p>
    <w:p w14:paraId="0EACAE4E" w14:textId="2FA4AE8D" w:rsidR="00D14853" w:rsidRPr="00D14853" w:rsidRDefault="00D14853" w:rsidP="00D14853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zCs w:val="24"/>
        </w:rPr>
      </w:pPr>
      <w:r w:rsidRPr="00D14853">
        <w:rPr>
          <w:rFonts w:cs="Arial"/>
          <w:szCs w:val="24"/>
        </w:rPr>
        <w:t>Společnost je zapsaná v obchodním rejstříku vedeném u Krajského soudu v Hradci Králové</w:t>
      </w:r>
    </w:p>
    <w:p w14:paraId="0C099B60" w14:textId="77777777" w:rsidR="00D14853" w:rsidRDefault="00D14853" w:rsidP="00D14853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zCs w:val="24"/>
        </w:rPr>
      </w:pPr>
      <w:r w:rsidRPr="00D14853">
        <w:rPr>
          <w:rFonts w:cs="Arial"/>
          <w:szCs w:val="24"/>
        </w:rPr>
        <w:t>oddíl C, vložka 8321</w:t>
      </w:r>
    </w:p>
    <w:p w14:paraId="7DA57DBD" w14:textId="4793CC18" w:rsidR="00E24120" w:rsidRPr="00E24120" w:rsidRDefault="00D14853" w:rsidP="00D14853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D14853">
        <w:rPr>
          <w:rFonts w:cs="Arial"/>
          <w:szCs w:val="24"/>
        </w:rPr>
        <w:t xml:space="preserve"> </w:t>
      </w:r>
      <w:r w:rsidR="00E24120" w:rsidRPr="00E24120">
        <w:rPr>
          <w:rFonts w:cs="Arial"/>
          <w:szCs w:val="24"/>
        </w:rPr>
        <w:t>(dále jen „</w:t>
      </w:r>
      <w:r w:rsidR="00E24120" w:rsidRPr="00E24120">
        <w:rPr>
          <w:rFonts w:cs="Arial"/>
          <w:b/>
          <w:szCs w:val="24"/>
        </w:rPr>
        <w:t>zhotovitel</w:t>
      </w:r>
      <w:r w:rsidR="00E24120"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6A680889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AD2C2F" w:rsidRPr="00AD2C2F">
        <w:rPr>
          <w:b/>
          <w:bCs/>
        </w:rPr>
        <w:t xml:space="preserve">Stavba PEO v lokalitách U studny a Bergus v k.ú. Perná  </w:t>
      </w:r>
    </w:p>
    <w:p w14:paraId="500349FE" w14:textId="5B09724C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514FF7">
        <w:rPr>
          <w:b/>
          <w:snapToGrid w:val="0"/>
        </w:rPr>
        <w:t xml:space="preserve">k.ú. </w:t>
      </w:r>
      <w:r w:rsidR="00AD2C2F">
        <w:rPr>
          <w:b/>
          <w:snapToGrid w:val="0"/>
        </w:rPr>
        <w:t>Perná</w:t>
      </w:r>
    </w:p>
    <w:p w14:paraId="28F9E596" w14:textId="2F6DB063" w:rsidR="00911160" w:rsidRPr="009B22A4" w:rsidRDefault="00911160" w:rsidP="00174B74">
      <w:pPr>
        <w:pStyle w:val="l-L2"/>
        <w:tabs>
          <w:tab w:val="left" w:pos="2268"/>
        </w:tabs>
        <w:ind w:left="851"/>
        <w:rPr>
          <w:rStyle w:val="l-L2Char"/>
          <w:szCs w:val="20"/>
        </w:rPr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="00E00093" w:rsidRPr="001E10AE">
        <w:rPr>
          <w:rStyle w:val="l-L2Char"/>
          <w:rFonts w:cs="Arial"/>
          <w:szCs w:val="22"/>
        </w:rPr>
        <w:t>Jedná se o realizaci společných zařízení po ukončení JPÚ v lokalitách U</w:t>
      </w:r>
      <w:r w:rsidR="00E00093">
        <w:rPr>
          <w:rStyle w:val="l-L2Char"/>
          <w:rFonts w:cs="Arial"/>
          <w:szCs w:val="22"/>
        </w:rPr>
        <w:t> </w:t>
      </w:r>
      <w:r w:rsidR="00E00093" w:rsidRPr="001E10AE">
        <w:rPr>
          <w:rStyle w:val="l-L2Char"/>
          <w:rFonts w:cs="Arial"/>
          <w:szCs w:val="22"/>
        </w:rPr>
        <w:t>studny a Bergus v k.ú. Perná. Předmětem plnění veřejné zakázky na stavbu je výstavba deseti protierozních přehrážek, jedné tůně a dvou polních cest s povrchem z MZK v k.ú. Perná. Realizací projektu dojde k posílení retence a akumulace vody v krajině, zvýšení zásob užitkové vody a ochraně před škodlivými účinky vod</w:t>
      </w:r>
      <w:r w:rsidR="00A51A20">
        <w:rPr>
          <w:rFonts w:eastAsia="Arial" w:cs="Arial"/>
          <w:bCs/>
          <w:szCs w:val="22"/>
        </w:rPr>
        <w:t>.</w:t>
      </w:r>
      <w:r w:rsidR="00BD3445" w:rsidRPr="003C71CF">
        <w:rPr>
          <w:rFonts w:eastAsia="Arial" w:cs="Arial"/>
          <w:bCs/>
          <w:szCs w:val="22"/>
        </w:rPr>
        <w:br/>
      </w:r>
      <w:r w:rsidRPr="00A51A20">
        <w:rPr>
          <w:rStyle w:val="l-L2Char"/>
          <w:rFonts w:cs="Arial"/>
          <w:szCs w:val="22"/>
        </w:rPr>
        <w:t>(</w:t>
      </w:r>
      <w:r w:rsidRPr="005C59DC">
        <w:rPr>
          <w:rStyle w:val="l-L2Char"/>
          <w:rFonts w:cs="Arial"/>
          <w:szCs w:val="22"/>
        </w:rPr>
        <w:t>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6B986FE1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3B70C7">
        <w:t>z</w:t>
      </w:r>
      <w:r w:rsidRPr="003B70C7">
        <w:t>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 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4483EB75" w:rsidR="0079121C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13ECB86E" w14:textId="77777777" w:rsidR="0079121C" w:rsidRDefault="0079121C">
      <w:pPr>
        <w:spacing w:before="0" w:after="0" w:line="240" w:lineRule="auto"/>
        <w:contextualSpacing w:val="0"/>
        <w:rPr>
          <w:szCs w:val="24"/>
        </w:rPr>
      </w:pPr>
      <w:r>
        <w:br w:type="page"/>
      </w: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7C4ACEB6" w:rsidR="0079121C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174B74">
        <w:rPr>
          <w:rFonts w:cs="Arial"/>
        </w:rPr>
        <w:t>zadávacím</w:t>
      </w:r>
      <w:r w:rsidR="00653A09" w:rsidRPr="5170DEB6">
        <w:rPr>
          <w:rFonts w:cs="Arial"/>
        </w:rPr>
        <w:t xml:space="preserve"> řízení na realizaci stavby.</w:t>
      </w:r>
    </w:p>
    <w:p w14:paraId="5CE92802" w14:textId="77777777" w:rsidR="0079121C" w:rsidRDefault="0079121C">
      <w:pPr>
        <w:spacing w:before="0" w:after="0" w:line="240" w:lineRule="auto"/>
        <w:contextualSpacing w:val="0"/>
        <w:rPr>
          <w:rFonts w:cs="Arial"/>
          <w:szCs w:val="24"/>
        </w:rPr>
      </w:pPr>
      <w:r>
        <w:rPr>
          <w:rFonts w:cs="Arial"/>
        </w:rPr>
        <w:br w:type="page"/>
      </w:r>
    </w:p>
    <w:p w14:paraId="4B3E1838" w14:textId="77777777" w:rsidR="009C0CA5" w:rsidRPr="00BB4EEA" w:rsidRDefault="009C0CA5" w:rsidP="00F16EEB">
      <w:pPr>
        <w:pStyle w:val="l-L1"/>
      </w:pPr>
      <w:r w:rsidRPr="00BB4EEA">
        <w:lastRenderedPageBreak/>
        <w:t>Pojištění zhotovitele</w:t>
      </w:r>
    </w:p>
    <w:p w14:paraId="4B611416" w14:textId="036787C7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9A4E6C">
        <w:rPr>
          <w:b/>
          <w:bCs/>
        </w:rPr>
        <w:t>1 000 000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FF8B533" w14:textId="2EBDBF9D" w:rsidR="007C5C7F" w:rsidRPr="00174B74" w:rsidRDefault="00254993" w:rsidP="00174B74">
      <w:pPr>
        <w:pStyle w:val="l-L2"/>
        <w:ind w:left="360"/>
      </w:pPr>
      <w:r w:rsidRPr="00174B74">
        <w:t>Objednatel se zavazuje zaplatit zhotoviteli za</w:t>
      </w:r>
      <w:r w:rsidR="002F28FF" w:rsidRPr="00174B74">
        <w:t xml:space="preserve"> řádné</w:t>
      </w:r>
      <w:r w:rsidRPr="00174B74">
        <w:t xml:space="preserve"> provedení díla cenu ve </w:t>
      </w:r>
      <w:r w:rsidR="007C5C7F" w:rsidRPr="00174B74">
        <w:t>výši</w:t>
      </w:r>
      <w:r w:rsidR="00924023" w:rsidRPr="00174B74">
        <w:t xml:space="preserve"> </w:t>
      </w:r>
      <w:r w:rsidR="006B42A7">
        <w:rPr>
          <w:b/>
          <w:bCs/>
        </w:rPr>
        <w:t>49 000</w:t>
      </w:r>
      <w:r w:rsidR="00924023" w:rsidRPr="00174B74">
        <w:t> </w:t>
      </w:r>
      <w:r w:rsidR="007C5C7F" w:rsidRPr="00174B74">
        <w:t>Kč bez</w:t>
      </w:r>
      <w:r w:rsidR="002973F2" w:rsidRPr="00174B74">
        <w:t> </w:t>
      </w:r>
      <w:r w:rsidR="007C5C7F" w:rsidRPr="00174B74">
        <w:t>DP</w:t>
      </w:r>
      <w:r w:rsidR="00761ABA" w:rsidRPr="00174B74">
        <w:t>H</w:t>
      </w:r>
      <w:r w:rsidR="007C5C7F" w:rsidRPr="00174B74">
        <w:t xml:space="preserve"> (slovy:</w:t>
      </w:r>
      <w:r w:rsidR="008E5BF1" w:rsidRPr="00174B74">
        <w:t xml:space="preserve"> </w:t>
      </w:r>
      <w:r w:rsidR="00F51DCF" w:rsidRPr="00F51DCF">
        <w:rPr>
          <w:b/>
          <w:bCs/>
        </w:rPr>
        <w:t>Čtyřicet devět tisíc korun českých</w:t>
      </w:r>
      <w:r w:rsidR="00B55849" w:rsidRPr="00B55849" w:rsidDel="00B55849">
        <w:rPr>
          <w:b/>
          <w:bCs/>
        </w:rPr>
        <w:t xml:space="preserve"> </w:t>
      </w:r>
      <w:r w:rsidR="007C5C7F" w:rsidRPr="00174B74">
        <w:t>).</w:t>
      </w:r>
      <w:r w:rsidR="008E5BF1" w:rsidRPr="00174B74">
        <w:t xml:space="preserve"> </w:t>
      </w:r>
      <w:r w:rsidR="007C5C7F" w:rsidRPr="00174B74">
        <w:t xml:space="preserve">Výše </w:t>
      </w:r>
      <w:r w:rsidRPr="00174B74">
        <w:t>ceny</w:t>
      </w:r>
      <w:r w:rsidR="007C5C7F" w:rsidRPr="00174B74">
        <w:t xml:space="preserve"> byla stanovena dohodou smluvních stran na základě nabídky </w:t>
      </w:r>
      <w:r w:rsidR="002C491C" w:rsidRPr="00174B74">
        <w:t xml:space="preserve">zhotovitele </w:t>
      </w:r>
      <w:r w:rsidR="007C5C7F" w:rsidRPr="00174B74">
        <w:t>ze dne</w:t>
      </w:r>
      <w:r w:rsidR="008E5BF1" w:rsidRPr="00174B74">
        <w:t xml:space="preserve"> </w:t>
      </w:r>
      <w:r w:rsidR="00632DCD">
        <w:rPr>
          <w:b/>
          <w:bCs/>
        </w:rPr>
        <w:t xml:space="preserve">11.8.2025. </w:t>
      </w:r>
      <w:r w:rsidR="007C5C7F" w:rsidRPr="00174B74">
        <w:t xml:space="preserve">Tato </w:t>
      </w:r>
      <w:r w:rsidRPr="00174B74">
        <w:t>cena</w:t>
      </w:r>
      <w:r w:rsidR="007C5C7F" w:rsidRPr="00174B74">
        <w:t xml:space="preserve"> je</w:t>
      </w:r>
      <w:r w:rsidR="00A22E65" w:rsidRPr="00174B74">
        <w:t xml:space="preserve"> konečná</w:t>
      </w:r>
      <w:r w:rsidR="007C5C7F" w:rsidRPr="00174B74">
        <w:t xml:space="preserve">. </w:t>
      </w:r>
      <w:r w:rsidR="00063376" w:rsidRPr="00174B74">
        <w:t>V ceně jsou zahrnuty veškeré náklady poskytovatele související s</w:t>
      </w:r>
      <w:r w:rsidR="005F186C" w:rsidRPr="00174B74">
        <w:t> </w:t>
      </w:r>
      <w:r w:rsidR="00063376" w:rsidRPr="00174B74">
        <w:t>komplexním zajištěním celého předmětu smlouvy</w:t>
      </w:r>
      <w:r w:rsidR="002233D7" w:rsidRPr="00174B74">
        <w:t>.</w:t>
      </w:r>
      <w:r w:rsidR="005F186C" w:rsidRPr="00174B74">
        <w:t xml:space="preserve"> </w:t>
      </w:r>
      <w:r w:rsidR="005C23CD" w:rsidRPr="00174B74">
        <w:t>Zhotovitel je plátcem DPH, která bude účtována podle předpisů platných v době účtování.</w:t>
      </w:r>
      <w:r w:rsidR="005F186C" w:rsidRPr="00174B74">
        <w:t xml:space="preserve"> </w:t>
      </w:r>
      <w:r w:rsidR="007C5C7F" w:rsidRPr="00174B74">
        <w:t xml:space="preserve">Výši celkové ceny </w:t>
      </w:r>
      <w:r w:rsidRPr="00174B74">
        <w:t>díla</w:t>
      </w:r>
      <w:r w:rsidR="007C5C7F" w:rsidRPr="00174B74">
        <w:t xml:space="preserve"> je možné změnit, dojde-li ke změně sazby DPH.</w:t>
      </w:r>
      <w:r w:rsidR="007214D7" w:rsidRPr="00174B74">
        <w:t xml:space="preserve"> Celkovou cenu lze také změnit v souladu se ZZVZ a s ohledem na změnu termínu plnění.</w:t>
      </w:r>
    </w:p>
    <w:tbl>
      <w:tblPr>
        <w:tblW w:w="893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562"/>
        <w:gridCol w:w="1739"/>
        <w:gridCol w:w="2543"/>
      </w:tblGrid>
      <w:tr w:rsidR="00D6247C" w:rsidRPr="00D6247C" w14:paraId="7F094AE6" w14:textId="77777777" w:rsidTr="00494186">
        <w:trPr>
          <w:trHeight w:val="92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511EE29" w14:textId="77777777" w:rsidR="00D6247C" w:rsidRPr="00D6247C" w:rsidRDefault="00D6247C" w:rsidP="00D6247C">
            <w:pPr>
              <w:spacing w:before="0" w:after="0" w:line="240" w:lineRule="auto"/>
              <w:contextualSpacing w:val="0"/>
              <w:rPr>
                <w:rFonts w:cs="Arial"/>
                <w:color w:val="000000"/>
                <w:szCs w:val="22"/>
              </w:rPr>
            </w:pPr>
            <w:r w:rsidRPr="00D6247C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BEA5FE8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6247C">
              <w:rPr>
                <w:rFonts w:cs="Arial"/>
                <w:b/>
                <w:bCs/>
                <w:color w:val="000000"/>
                <w:sz w:val="20"/>
              </w:rPr>
              <w:t>cena bez DPH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96E05ED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6247C">
              <w:rPr>
                <w:rFonts w:cs="Arial"/>
                <w:b/>
                <w:bCs/>
                <w:color w:val="000000"/>
                <w:sz w:val="20"/>
              </w:rPr>
              <w:t>DPH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CE602E1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6247C">
              <w:rPr>
                <w:rFonts w:cs="Arial"/>
                <w:b/>
                <w:bCs/>
                <w:color w:val="000000"/>
                <w:sz w:val="20"/>
              </w:rPr>
              <w:t>cena vč.DPH</w:t>
            </w:r>
          </w:p>
        </w:tc>
      </w:tr>
      <w:tr w:rsidR="00D6247C" w:rsidRPr="00D6247C" w14:paraId="36C39311" w14:textId="77777777" w:rsidTr="00494186">
        <w:trPr>
          <w:trHeight w:val="926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5F9B" w14:textId="77777777" w:rsidR="00D6247C" w:rsidRPr="00D6247C" w:rsidRDefault="00D6247C" w:rsidP="00D6247C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20"/>
              </w:rPr>
            </w:pPr>
            <w:proofErr w:type="gramStart"/>
            <w:r w:rsidRPr="00D6247C">
              <w:rPr>
                <w:rFonts w:cs="Arial"/>
                <w:color w:val="000000"/>
                <w:sz w:val="20"/>
              </w:rPr>
              <w:t>DP - v</w:t>
            </w:r>
            <w:proofErr w:type="gramEnd"/>
            <w:r w:rsidRPr="00D6247C">
              <w:rPr>
                <w:rFonts w:cs="Arial"/>
                <w:color w:val="000000"/>
                <w:sz w:val="20"/>
              </w:rPr>
              <w:t xml:space="preserve"> rámci realizace stavby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DF6F23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20"/>
              </w:rPr>
            </w:pPr>
            <w:r w:rsidRPr="00D6247C">
              <w:rPr>
                <w:rFonts w:cs="Arial"/>
                <w:color w:val="000000"/>
                <w:sz w:val="20"/>
              </w:rPr>
              <w:t>49 000,00 Kč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B7638A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20"/>
              </w:rPr>
            </w:pPr>
            <w:r w:rsidRPr="00D6247C">
              <w:rPr>
                <w:rFonts w:cs="Arial"/>
                <w:color w:val="000000"/>
                <w:sz w:val="20"/>
              </w:rPr>
              <w:t>10 290,00 Kč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3726618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20"/>
              </w:rPr>
            </w:pPr>
            <w:r w:rsidRPr="00D6247C">
              <w:rPr>
                <w:rFonts w:cs="Arial"/>
                <w:color w:val="000000"/>
                <w:sz w:val="20"/>
              </w:rPr>
              <w:t>59 290,00 Kč</w:t>
            </w:r>
          </w:p>
        </w:tc>
      </w:tr>
      <w:tr w:rsidR="00D6247C" w:rsidRPr="00D6247C" w14:paraId="2D9F8B6F" w14:textId="77777777" w:rsidTr="00494186">
        <w:trPr>
          <w:trHeight w:val="926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DBFAE" w14:textId="77777777" w:rsidR="00D6247C" w:rsidRPr="00D6247C" w:rsidRDefault="00D6247C" w:rsidP="00D6247C">
            <w:pPr>
              <w:spacing w:before="0" w:after="0" w:line="240" w:lineRule="auto"/>
              <w:contextualSpacing w:val="0"/>
              <w:rPr>
                <w:rFonts w:cs="Arial"/>
                <w:b/>
                <w:bCs/>
                <w:color w:val="FF0000"/>
                <w:sz w:val="20"/>
              </w:rPr>
            </w:pPr>
            <w:r w:rsidRPr="00D6247C">
              <w:rPr>
                <w:rFonts w:cs="Arial"/>
                <w:b/>
                <w:bCs/>
                <w:color w:val="FF0000"/>
                <w:sz w:val="20"/>
              </w:rPr>
              <w:t>Celková cena za výkon DP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F3B25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 w:rsidRPr="00D6247C">
              <w:rPr>
                <w:rFonts w:cs="Arial"/>
                <w:b/>
                <w:bCs/>
                <w:color w:val="FF0000"/>
                <w:sz w:val="20"/>
              </w:rPr>
              <w:t>49 000,00 Kč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ECD879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 w:rsidRPr="00D6247C">
              <w:rPr>
                <w:rFonts w:cs="Arial"/>
                <w:b/>
                <w:bCs/>
                <w:color w:val="FF0000"/>
                <w:sz w:val="20"/>
              </w:rPr>
              <w:t>10 290,00 Kč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99896" w14:textId="77777777" w:rsidR="00D6247C" w:rsidRPr="00D6247C" w:rsidRDefault="00D6247C" w:rsidP="00D6247C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 w:rsidRPr="00D6247C">
              <w:rPr>
                <w:rFonts w:cs="Arial"/>
                <w:b/>
                <w:bCs/>
                <w:color w:val="FF0000"/>
                <w:sz w:val="20"/>
              </w:rPr>
              <w:t>59 290,00 Kč</w:t>
            </w:r>
          </w:p>
        </w:tc>
      </w:tr>
    </w:tbl>
    <w:p w14:paraId="4FE3AEF2" w14:textId="7355F118" w:rsidR="005C23CD" w:rsidRPr="00174B74" w:rsidRDefault="005C23CD" w:rsidP="00174B74">
      <w:pPr>
        <w:pStyle w:val="l-L2"/>
        <w:ind w:left="360"/>
        <w:rPr>
          <w:i/>
          <w:iCs/>
          <w:sz w:val="18"/>
          <w:szCs w:val="18"/>
          <w:highlight w:val="yellow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lastRenderedPageBreak/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1DADD1C3" w14:textId="77777777" w:rsidR="000645C7" w:rsidRDefault="00FF0932" w:rsidP="000645C7">
      <w:pPr>
        <w:pStyle w:val="l-L2"/>
        <w:ind w:left="357"/>
      </w:pPr>
      <w:r>
        <w:t xml:space="preserve">Konečný příjemce: </w:t>
      </w:r>
      <w:r w:rsidR="000645C7">
        <w:t xml:space="preserve">Státní pozemkový úřad, KPÚ, Pobočka Břeclav, </w:t>
      </w:r>
    </w:p>
    <w:p w14:paraId="2BA533FA" w14:textId="07916567" w:rsidR="000645C7" w:rsidRDefault="000645C7" w:rsidP="000645C7">
      <w:pPr>
        <w:pStyle w:val="l-L2"/>
        <w:ind w:left="357"/>
      </w:pPr>
      <w:r>
        <w:t xml:space="preserve">                               Náměstí T. G.   Masaryka 2957/</w:t>
      </w:r>
      <w:proofErr w:type="gramStart"/>
      <w:r>
        <w:t>9a</w:t>
      </w:r>
      <w:proofErr w:type="gramEnd"/>
      <w:r>
        <w:t xml:space="preserve">, 690 02 Břeclav  </w:t>
      </w:r>
    </w:p>
    <w:p w14:paraId="4058E53E" w14:textId="594C2742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92F30E4" w:rsidR="0079121C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 xml:space="preserve">Objednatel však nejprve na tento rozpor zhotovitele písemně (elektronicky) upozorní a poskytne mu lhůtu ke zjednání nápravy; teprve jejím marným uplynutím pak je objednatel oprávněn od smlouvy </w:t>
      </w:r>
      <w:r w:rsidRPr="00D12D68">
        <w:lastRenderedPageBreak/>
        <w:t>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00437C1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69019E">
        <w:rPr>
          <w:b/>
          <w:bCs/>
        </w:rPr>
        <w:t>1.1.2026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174B74" w:rsidRDefault="00E64472" w:rsidP="00A30016">
      <w:pPr>
        <w:pStyle w:val="l-L2"/>
        <w:numPr>
          <w:ilvl w:val="0"/>
          <w:numId w:val="3"/>
        </w:numPr>
      </w:pPr>
      <w:r w:rsidRPr="00174B74">
        <w:t>Smluvní strany jsou si plně vědomy zákonné povinnosti u</w:t>
      </w:r>
      <w:r w:rsidR="003C703B" w:rsidRPr="00174B74">
        <w:t>veřejnit dle zákona č.</w:t>
      </w:r>
      <w:r w:rsidR="00A2459C" w:rsidRPr="00174B74">
        <w:t> </w:t>
      </w:r>
      <w:r w:rsidR="003C703B" w:rsidRPr="00174B74">
        <w:t>340/2015 Sb., o zvláštních podmínkách účinnosti některých smluv, uveřejňování těchto smluv a o registru smluv (zákon o registru smluv)</w:t>
      </w:r>
      <w:r w:rsidRPr="00174B74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EA35AE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174B74">
        <w:t>a souhlasí s tím, aby tato smlouva, včetně veškerých změn a dodatků, byla v plném rozsahu</w:t>
      </w:r>
      <w:r w:rsidRPr="00174B74">
        <w:t xml:space="preserve"> </w:t>
      </w:r>
      <w:r w:rsidR="001C5582" w:rsidRPr="00174B74">
        <w:t>uv</w:t>
      </w:r>
      <w:r w:rsidR="00E7616C" w:rsidRPr="00174B74">
        <w:t xml:space="preserve">eřejněna </w:t>
      </w:r>
      <w:r w:rsidRPr="00174B74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 xml:space="preserve">to písemně, zhotoviteli nejpozději do 5 pracovních dní před původní lhůtou pro splatnost faktury, </w:t>
      </w:r>
      <w:r w:rsidRPr="00BC3C0B">
        <w:lastRenderedPageBreak/>
        <w:t>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EA35AE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174B74">
        <w:t>a účinnosti dnem jejího uveřejnění v</w:t>
      </w:r>
      <w:r w:rsidRPr="00174B74">
        <w:t xml:space="preserve"> registru smluv dle ust. §</w:t>
      </w:r>
      <w:r w:rsidR="00281042" w:rsidRPr="00174B74">
        <w:t> </w:t>
      </w:r>
      <w:r w:rsidRPr="00174B74">
        <w:t>6 odst.</w:t>
      </w:r>
      <w:r w:rsidR="00281042" w:rsidRPr="00174B74">
        <w:t> </w:t>
      </w:r>
      <w:r w:rsidRPr="00174B74">
        <w:t>1 zákona o registru smluv</w:t>
      </w:r>
      <w:r w:rsidRPr="00EA35AE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1B9375D" w:rsidR="00DD0852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</w:t>
      </w:r>
      <w:r w:rsidR="00DD0852">
        <w:t>r</w:t>
      </w:r>
      <w:r w:rsidRPr="00BC3C0B">
        <w:t>an.</w:t>
      </w:r>
    </w:p>
    <w:p w14:paraId="298DBE72" w14:textId="77777777" w:rsidR="00DD0852" w:rsidRDefault="00DD0852">
      <w:pPr>
        <w:spacing w:before="0" w:after="0" w:line="240" w:lineRule="auto"/>
        <w:contextualSpacing w:val="0"/>
        <w:rPr>
          <w:szCs w:val="24"/>
        </w:rPr>
      </w:pPr>
      <w:r>
        <w:br w:type="page"/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lastRenderedPageBreak/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3C515114" w14:textId="6BA0995E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V </w:t>
      </w:r>
      <w:r w:rsidR="00673154" w:rsidRPr="00691658">
        <w:rPr>
          <w:rFonts w:cs="Arial"/>
        </w:rPr>
        <w:t>Břeclavi dne</w:t>
      </w:r>
      <w:r>
        <w:rPr>
          <w:rFonts w:cs="Arial"/>
        </w:rPr>
        <w:t>:</w:t>
      </w:r>
      <w:r w:rsidRPr="00691658">
        <w:rPr>
          <w:rFonts w:cs="Arial"/>
        </w:rPr>
        <w:t xml:space="preserve"> </w:t>
      </w:r>
      <w:r w:rsidR="00155EAC">
        <w:rPr>
          <w:rFonts w:cs="Arial"/>
        </w:rPr>
        <w:t>25.9.2025</w:t>
      </w:r>
      <w:r w:rsidRPr="00691658">
        <w:rPr>
          <w:rFonts w:cs="Arial"/>
        </w:rPr>
        <w:tab/>
        <w:t>V</w:t>
      </w:r>
      <w:r w:rsidR="0043415F">
        <w:rPr>
          <w:rFonts w:cs="Arial"/>
        </w:rPr>
        <w:t>e</w:t>
      </w:r>
      <w:r w:rsidR="00455478">
        <w:rPr>
          <w:rFonts w:cs="Arial"/>
        </w:rPr>
        <w:t> Vysokém Mýtě</w:t>
      </w:r>
      <w:r w:rsidRPr="00691658">
        <w:rPr>
          <w:rFonts w:cs="Arial"/>
        </w:rPr>
        <w:t xml:space="preserve"> dne</w:t>
      </w:r>
      <w:r>
        <w:rPr>
          <w:rFonts w:cs="Arial"/>
        </w:rPr>
        <w:t>:</w:t>
      </w:r>
      <w:r w:rsidRPr="00691658">
        <w:rPr>
          <w:rFonts w:cs="Arial"/>
        </w:rPr>
        <w:t xml:space="preserve"> </w:t>
      </w:r>
      <w:r w:rsidR="00155EAC">
        <w:rPr>
          <w:rFonts w:cs="Arial"/>
        </w:rPr>
        <w:t>25.9.2025</w:t>
      </w:r>
    </w:p>
    <w:p w14:paraId="16A03ACB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            </w:t>
      </w:r>
    </w:p>
    <w:p w14:paraId="1BFC3F03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370A1195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>„elektronicky podepsáno“</w:t>
      </w:r>
      <w:r w:rsidRPr="00691658">
        <w:rPr>
          <w:rFonts w:cs="Arial"/>
        </w:rPr>
        <w:tab/>
        <w:t>„elektronicky podepsáno“</w:t>
      </w:r>
    </w:p>
    <w:p w14:paraId="18516383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05635F07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>...................................................</w:t>
      </w:r>
      <w:r w:rsidRPr="00691658">
        <w:rPr>
          <w:rFonts w:cs="Arial"/>
        </w:rPr>
        <w:tab/>
        <w:t>...................................................</w:t>
      </w:r>
    </w:p>
    <w:p w14:paraId="50413921" w14:textId="41C7DE2C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 xml:space="preserve">             </w:t>
      </w:r>
      <w:r w:rsidR="001B0CE2">
        <w:rPr>
          <w:rFonts w:cs="Arial"/>
        </w:rPr>
        <w:t>Objednatel</w:t>
      </w:r>
      <w:r w:rsidRPr="00691658">
        <w:rPr>
          <w:rFonts w:cs="Arial"/>
        </w:rPr>
        <w:tab/>
      </w:r>
      <w:r w:rsidR="001B0CE2">
        <w:rPr>
          <w:rFonts w:cs="Arial"/>
        </w:rPr>
        <w:t>Zhotovitel</w:t>
      </w:r>
    </w:p>
    <w:p w14:paraId="7139798E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>(elektronicky podepsáno)</w:t>
      </w:r>
      <w:r w:rsidRPr="00691658">
        <w:rPr>
          <w:rFonts w:cs="Arial"/>
        </w:rPr>
        <w:tab/>
        <w:t>(elektronicky podepsáno)</w:t>
      </w:r>
    </w:p>
    <w:p w14:paraId="44F9433B" w14:textId="69B83D6F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CF7853">
        <w:rPr>
          <w:rFonts w:cs="Arial"/>
          <w:b/>
          <w:bCs/>
        </w:rPr>
        <w:t>Ing. et Ing. Luděk Drápal, MBA</w:t>
      </w:r>
      <w:r w:rsidRPr="00691658">
        <w:rPr>
          <w:rFonts w:cs="Arial"/>
        </w:rPr>
        <w:tab/>
      </w:r>
      <w:r w:rsidR="00455478" w:rsidRPr="00455478">
        <w:rPr>
          <w:rFonts w:cs="Arial"/>
          <w:b/>
          <w:bCs/>
        </w:rPr>
        <w:t>Ing. Jaroslav Jakoubek</w:t>
      </w:r>
    </w:p>
    <w:p w14:paraId="29951802" w14:textId="7B72B476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    vedoucí Pobočky Břeclav</w:t>
      </w:r>
      <w:r w:rsidR="00455478">
        <w:rPr>
          <w:rFonts w:cs="Arial"/>
        </w:rPr>
        <w:tab/>
        <w:t>jednatel</w:t>
      </w:r>
    </w:p>
    <w:p w14:paraId="2C7C3737" w14:textId="585A3D51" w:rsidR="003B7D9D" w:rsidRPr="00A30016" w:rsidRDefault="007F74A1" w:rsidP="00174B74">
      <w:pPr>
        <w:rPr>
          <w:szCs w:val="24"/>
        </w:rPr>
      </w:pPr>
      <w:r w:rsidRPr="00691658">
        <w:rPr>
          <w:rFonts w:cs="Arial"/>
        </w:rPr>
        <w:t xml:space="preserve">    Státní pozemkový úřad</w:t>
      </w:r>
      <w:r w:rsidR="00455478">
        <w:rPr>
          <w:rFonts w:cs="Arial"/>
        </w:rPr>
        <w:tab/>
      </w:r>
      <w:r w:rsidR="00455478">
        <w:rPr>
          <w:rFonts w:cs="Arial"/>
        </w:rPr>
        <w:tab/>
      </w:r>
      <w:r w:rsidR="00455478" w:rsidRPr="00455478">
        <w:rPr>
          <w:rFonts w:cs="Arial"/>
          <w:bCs/>
        </w:rPr>
        <w:t xml:space="preserve">                  </w:t>
      </w:r>
      <w:r w:rsidR="00455478" w:rsidRPr="00455478">
        <w:rPr>
          <w:rFonts w:cs="Arial"/>
          <w:bCs/>
          <w:szCs w:val="24"/>
        </w:rPr>
        <w:t>Agroprojekce Litomyšl, spol. s r.o.</w:t>
      </w:r>
      <w:r w:rsidR="00455478" w:rsidRPr="00455478">
        <w:rPr>
          <w:rFonts w:cs="Arial"/>
          <w:bCs/>
        </w:rPr>
        <w:t xml:space="preserve"> </w:t>
      </w:r>
    </w:p>
    <w:sectPr w:rsidR="003B7D9D" w:rsidRPr="00A30016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A188" w14:textId="77777777" w:rsidR="003027DE" w:rsidRDefault="003027DE" w:rsidP="00B83F26">
      <w:r>
        <w:separator/>
      </w:r>
    </w:p>
  </w:endnote>
  <w:endnote w:type="continuationSeparator" w:id="0">
    <w:p w14:paraId="4D838B63" w14:textId="77777777" w:rsidR="003027DE" w:rsidRDefault="003027DE" w:rsidP="00B83F26">
      <w:r>
        <w:continuationSeparator/>
      </w:r>
    </w:p>
  </w:endnote>
  <w:endnote w:type="continuationNotice" w:id="1">
    <w:p w14:paraId="3FD63E1A" w14:textId="77777777" w:rsidR="003027DE" w:rsidRDefault="003027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155EAC">
      <w:fldChar w:fldCharType="begin"/>
    </w:r>
    <w:r w:rsidR="00155EAC">
      <w:instrText>NUMPAGES   \* MERGEFORMAT</w:instrText>
    </w:r>
    <w:r w:rsidR="00155EAC">
      <w:fldChar w:fldCharType="separate"/>
    </w:r>
    <w:r w:rsidRPr="00B94C77">
      <w:rPr>
        <w:noProof/>
      </w:rPr>
      <w:t>9</w:t>
    </w:r>
    <w:r w:rsidR="00155EA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AD09" w14:textId="77777777" w:rsidR="003027DE" w:rsidRDefault="003027DE" w:rsidP="00B83F26">
      <w:r>
        <w:separator/>
      </w:r>
    </w:p>
  </w:footnote>
  <w:footnote w:type="continuationSeparator" w:id="0">
    <w:p w14:paraId="0A636600" w14:textId="77777777" w:rsidR="003027DE" w:rsidRDefault="003027DE" w:rsidP="00B83F26">
      <w:r>
        <w:continuationSeparator/>
      </w:r>
    </w:p>
  </w:footnote>
  <w:footnote w:type="continuationNotice" w:id="1">
    <w:p w14:paraId="73CCEC54" w14:textId="77777777" w:rsidR="003027DE" w:rsidRDefault="003027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2EE44980" w:rsidR="00B94C77" w:rsidRDefault="00B94C77" w:rsidP="00DB5561">
    <w:pPr>
      <w:jc w:val="right"/>
      <w:rPr>
        <w:sz w:val="16"/>
        <w:szCs w:val="16"/>
      </w:rPr>
    </w:pPr>
    <w:r w:rsidRPr="00174B74">
      <w:rPr>
        <w:sz w:val="16"/>
        <w:szCs w:val="16"/>
      </w:rPr>
      <w:t>Č.j. objednatele:</w:t>
    </w:r>
    <w:r w:rsidR="004D3F6B">
      <w:rPr>
        <w:sz w:val="16"/>
        <w:szCs w:val="16"/>
      </w:rPr>
      <w:t>1007</w:t>
    </w:r>
    <w:r w:rsidR="001C03AA" w:rsidRPr="00174B74">
      <w:rPr>
        <w:sz w:val="16"/>
        <w:szCs w:val="16"/>
      </w:rPr>
      <w:t>-2025-523203</w:t>
    </w:r>
  </w:p>
  <w:p w14:paraId="2CCC095F" w14:textId="12E235E7" w:rsidR="00CF6044" w:rsidRPr="00174B74" w:rsidRDefault="00CF6044" w:rsidP="00DB5561">
    <w:pPr>
      <w:jc w:val="right"/>
      <w:rPr>
        <w:sz w:val="16"/>
        <w:szCs w:val="16"/>
      </w:rPr>
    </w:pPr>
    <w:r>
      <w:rPr>
        <w:sz w:val="16"/>
        <w:szCs w:val="16"/>
      </w:rPr>
      <w:t>UID:</w:t>
    </w:r>
    <w:r w:rsidRPr="00CF6044">
      <w:rPr>
        <w:sz w:val="16"/>
        <w:szCs w:val="16"/>
      </w:rPr>
      <w:t>spudms00000015963341</w:t>
    </w:r>
  </w:p>
  <w:p w14:paraId="4BE65E1E" w14:textId="4ED5534D" w:rsidR="00B94C77" w:rsidRPr="00174B74" w:rsidRDefault="00B94C77" w:rsidP="00DB5561">
    <w:pPr>
      <w:jc w:val="right"/>
      <w:rPr>
        <w:sz w:val="16"/>
        <w:szCs w:val="16"/>
      </w:rPr>
    </w:pPr>
    <w:r w:rsidRPr="008703F2">
      <w:rPr>
        <w:sz w:val="16"/>
        <w:szCs w:val="16"/>
      </w:rPr>
      <w:t>Č.j. zhotovitele:</w:t>
    </w:r>
    <w:r w:rsidR="008703F2" w:rsidRPr="008703F2">
      <w:rPr>
        <w:sz w:val="16"/>
        <w:szCs w:val="16"/>
      </w:rPr>
      <w:t>027 70/23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45C7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1B8B"/>
    <w:rsid w:val="000E5D20"/>
    <w:rsid w:val="000E6467"/>
    <w:rsid w:val="000F1247"/>
    <w:rsid w:val="0010113C"/>
    <w:rsid w:val="00104E9E"/>
    <w:rsid w:val="001068B7"/>
    <w:rsid w:val="00112268"/>
    <w:rsid w:val="00126A2D"/>
    <w:rsid w:val="0012753E"/>
    <w:rsid w:val="001348A2"/>
    <w:rsid w:val="00155EAC"/>
    <w:rsid w:val="001634AE"/>
    <w:rsid w:val="00165F4C"/>
    <w:rsid w:val="00167323"/>
    <w:rsid w:val="00167C3A"/>
    <w:rsid w:val="001715DA"/>
    <w:rsid w:val="00173730"/>
    <w:rsid w:val="00174B74"/>
    <w:rsid w:val="00180850"/>
    <w:rsid w:val="00181A77"/>
    <w:rsid w:val="001829B6"/>
    <w:rsid w:val="00185DB2"/>
    <w:rsid w:val="00186DAA"/>
    <w:rsid w:val="00193E18"/>
    <w:rsid w:val="001971F1"/>
    <w:rsid w:val="001A2231"/>
    <w:rsid w:val="001A4873"/>
    <w:rsid w:val="001A5183"/>
    <w:rsid w:val="001B0CE2"/>
    <w:rsid w:val="001B4E11"/>
    <w:rsid w:val="001C03AA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4BF4"/>
    <w:rsid w:val="00215458"/>
    <w:rsid w:val="00216227"/>
    <w:rsid w:val="0021725F"/>
    <w:rsid w:val="002213F5"/>
    <w:rsid w:val="002233D7"/>
    <w:rsid w:val="00223F47"/>
    <w:rsid w:val="00224FAD"/>
    <w:rsid w:val="00230724"/>
    <w:rsid w:val="00234282"/>
    <w:rsid w:val="00235DC9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27DE"/>
    <w:rsid w:val="00304813"/>
    <w:rsid w:val="00305045"/>
    <w:rsid w:val="00306498"/>
    <w:rsid w:val="0031011B"/>
    <w:rsid w:val="003104A2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6C25"/>
    <w:rsid w:val="00357E86"/>
    <w:rsid w:val="003611E2"/>
    <w:rsid w:val="003620AC"/>
    <w:rsid w:val="00363183"/>
    <w:rsid w:val="00380C7F"/>
    <w:rsid w:val="00381B1B"/>
    <w:rsid w:val="00395879"/>
    <w:rsid w:val="00397219"/>
    <w:rsid w:val="003A4E29"/>
    <w:rsid w:val="003A6937"/>
    <w:rsid w:val="003B5990"/>
    <w:rsid w:val="003B70C7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366D"/>
    <w:rsid w:val="0040723A"/>
    <w:rsid w:val="004158D5"/>
    <w:rsid w:val="00430EE4"/>
    <w:rsid w:val="0043137E"/>
    <w:rsid w:val="0043415F"/>
    <w:rsid w:val="0044232D"/>
    <w:rsid w:val="004453EA"/>
    <w:rsid w:val="00445932"/>
    <w:rsid w:val="00446E40"/>
    <w:rsid w:val="00450827"/>
    <w:rsid w:val="00455478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186"/>
    <w:rsid w:val="00494719"/>
    <w:rsid w:val="004A410A"/>
    <w:rsid w:val="004A5779"/>
    <w:rsid w:val="004B49E7"/>
    <w:rsid w:val="004C0349"/>
    <w:rsid w:val="004C0885"/>
    <w:rsid w:val="004C24FA"/>
    <w:rsid w:val="004C38D1"/>
    <w:rsid w:val="004D3F6B"/>
    <w:rsid w:val="004D456A"/>
    <w:rsid w:val="004D6A6C"/>
    <w:rsid w:val="004D73F3"/>
    <w:rsid w:val="004E0F7D"/>
    <w:rsid w:val="004E2267"/>
    <w:rsid w:val="004E62D6"/>
    <w:rsid w:val="004E693F"/>
    <w:rsid w:val="00505E0D"/>
    <w:rsid w:val="005077E5"/>
    <w:rsid w:val="00512091"/>
    <w:rsid w:val="00512127"/>
    <w:rsid w:val="005127B2"/>
    <w:rsid w:val="00514BC1"/>
    <w:rsid w:val="00514FF7"/>
    <w:rsid w:val="0051649A"/>
    <w:rsid w:val="00522E7B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324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553E"/>
    <w:rsid w:val="0060602F"/>
    <w:rsid w:val="00613E9A"/>
    <w:rsid w:val="006160AE"/>
    <w:rsid w:val="00616346"/>
    <w:rsid w:val="0061794B"/>
    <w:rsid w:val="00622A24"/>
    <w:rsid w:val="00632DCD"/>
    <w:rsid w:val="00641117"/>
    <w:rsid w:val="006464FF"/>
    <w:rsid w:val="00653A09"/>
    <w:rsid w:val="006543D6"/>
    <w:rsid w:val="00654BF5"/>
    <w:rsid w:val="006642C9"/>
    <w:rsid w:val="006662DA"/>
    <w:rsid w:val="00670D48"/>
    <w:rsid w:val="00673154"/>
    <w:rsid w:val="00683E9F"/>
    <w:rsid w:val="00683F62"/>
    <w:rsid w:val="0069019E"/>
    <w:rsid w:val="0069213B"/>
    <w:rsid w:val="0069264C"/>
    <w:rsid w:val="00693F06"/>
    <w:rsid w:val="00693F15"/>
    <w:rsid w:val="006A0635"/>
    <w:rsid w:val="006A1168"/>
    <w:rsid w:val="006A4457"/>
    <w:rsid w:val="006A5D46"/>
    <w:rsid w:val="006A6AA5"/>
    <w:rsid w:val="006B42A7"/>
    <w:rsid w:val="006B6D36"/>
    <w:rsid w:val="006B71E8"/>
    <w:rsid w:val="006C0E04"/>
    <w:rsid w:val="006C1D2C"/>
    <w:rsid w:val="006C1E59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321D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466A1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752FC"/>
    <w:rsid w:val="00780060"/>
    <w:rsid w:val="00782A85"/>
    <w:rsid w:val="00790362"/>
    <w:rsid w:val="0079121C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7F74A1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03F2"/>
    <w:rsid w:val="00871CFF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64E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4E6C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51A20"/>
    <w:rsid w:val="00A5362D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677"/>
    <w:rsid w:val="00AC4A03"/>
    <w:rsid w:val="00AC5801"/>
    <w:rsid w:val="00AC6FB4"/>
    <w:rsid w:val="00AD2C2F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7DB"/>
    <w:rsid w:val="00B53EA9"/>
    <w:rsid w:val="00B54C2E"/>
    <w:rsid w:val="00B55849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875CC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3445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3C90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97F5D"/>
    <w:rsid w:val="00CA4C8F"/>
    <w:rsid w:val="00CA7572"/>
    <w:rsid w:val="00CB3BB5"/>
    <w:rsid w:val="00CB4F7C"/>
    <w:rsid w:val="00CB72CB"/>
    <w:rsid w:val="00CC07D3"/>
    <w:rsid w:val="00CC3E8C"/>
    <w:rsid w:val="00CC45A0"/>
    <w:rsid w:val="00CD1E8F"/>
    <w:rsid w:val="00CD628A"/>
    <w:rsid w:val="00CD7362"/>
    <w:rsid w:val="00CE7F49"/>
    <w:rsid w:val="00CF0417"/>
    <w:rsid w:val="00CF116D"/>
    <w:rsid w:val="00CF205B"/>
    <w:rsid w:val="00CF3231"/>
    <w:rsid w:val="00CF38A5"/>
    <w:rsid w:val="00CF3DAE"/>
    <w:rsid w:val="00CF6044"/>
    <w:rsid w:val="00D0196C"/>
    <w:rsid w:val="00D01ACB"/>
    <w:rsid w:val="00D02089"/>
    <w:rsid w:val="00D03DA7"/>
    <w:rsid w:val="00D063D9"/>
    <w:rsid w:val="00D12D68"/>
    <w:rsid w:val="00D14853"/>
    <w:rsid w:val="00D1571A"/>
    <w:rsid w:val="00D178FE"/>
    <w:rsid w:val="00D2086E"/>
    <w:rsid w:val="00D2184E"/>
    <w:rsid w:val="00D274CE"/>
    <w:rsid w:val="00D32776"/>
    <w:rsid w:val="00D35873"/>
    <w:rsid w:val="00D46FFD"/>
    <w:rsid w:val="00D474CA"/>
    <w:rsid w:val="00D53952"/>
    <w:rsid w:val="00D5611A"/>
    <w:rsid w:val="00D56522"/>
    <w:rsid w:val="00D6247C"/>
    <w:rsid w:val="00D64398"/>
    <w:rsid w:val="00D70B2E"/>
    <w:rsid w:val="00D72AB6"/>
    <w:rsid w:val="00D75A2F"/>
    <w:rsid w:val="00D77600"/>
    <w:rsid w:val="00D778E0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0852"/>
    <w:rsid w:val="00DD34EC"/>
    <w:rsid w:val="00DE26A1"/>
    <w:rsid w:val="00DE43B6"/>
    <w:rsid w:val="00DE5176"/>
    <w:rsid w:val="00DE6580"/>
    <w:rsid w:val="00DF4A58"/>
    <w:rsid w:val="00E00093"/>
    <w:rsid w:val="00E035AE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32C1"/>
    <w:rsid w:val="00E64472"/>
    <w:rsid w:val="00E649F4"/>
    <w:rsid w:val="00E724F1"/>
    <w:rsid w:val="00E74E11"/>
    <w:rsid w:val="00E75F8D"/>
    <w:rsid w:val="00E7616C"/>
    <w:rsid w:val="00E867F2"/>
    <w:rsid w:val="00E9393A"/>
    <w:rsid w:val="00E959E2"/>
    <w:rsid w:val="00E969F7"/>
    <w:rsid w:val="00E977B5"/>
    <w:rsid w:val="00EA35AE"/>
    <w:rsid w:val="00EA401B"/>
    <w:rsid w:val="00EA4E8B"/>
    <w:rsid w:val="00EB5E26"/>
    <w:rsid w:val="00EB64F1"/>
    <w:rsid w:val="00EC3260"/>
    <w:rsid w:val="00EC535B"/>
    <w:rsid w:val="00ED6F85"/>
    <w:rsid w:val="00EE0DC4"/>
    <w:rsid w:val="00EE1539"/>
    <w:rsid w:val="00EE3B83"/>
    <w:rsid w:val="00EF1A5F"/>
    <w:rsid w:val="00EF2A82"/>
    <w:rsid w:val="00EF315E"/>
    <w:rsid w:val="00EF3698"/>
    <w:rsid w:val="00EF7455"/>
    <w:rsid w:val="00EF7CB8"/>
    <w:rsid w:val="00F0000B"/>
    <w:rsid w:val="00F10683"/>
    <w:rsid w:val="00F133C5"/>
    <w:rsid w:val="00F1380F"/>
    <w:rsid w:val="00F16EEB"/>
    <w:rsid w:val="00F25344"/>
    <w:rsid w:val="00F31B94"/>
    <w:rsid w:val="00F31FC7"/>
    <w:rsid w:val="00F32916"/>
    <w:rsid w:val="00F33FE9"/>
    <w:rsid w:val="00F45CC4"/>
    <w:rsid w:val="00F51DCF"/>
    <w:rsid w:val="00F60711"/>
    <w:rsid w:val="00F6242E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1F2B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C2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85f4b5cc-4033-44c7-b405-f5eed34c8154"/>
    <ds:schemaRef ds:uri="http://purl.org/dc/dcmitype/"/>
    <ds:schemaRef ds:uri="http://purl.org/dc/elements/1.1/"/>
    <ds:schemaRef ds:uri="http://schemas.microsoft.com/office/2006/metadata/properties"/>
    <ds:schemaRef ds:uri="ada3fa48-c231-4f9d-a491-19361e04fcb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046fdb6-fa60-49a6-a635-1115ab0d20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9</Pages>
  <Words>3380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Tisarová Mária Ing.</cp:lastModifiedBy>
  <cp:revision>150</cp:revision>
  <cp:lastPrinted>2025-09-24T12:47:00Z</cp:lastPrinted>
  <dcterms:created xsi:type="dcterms:W3CDTF">2025-02-03T12:37:00Z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