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339" w:line="1" w:lineRule="exact"/>
      </w:pPr>
    </w:p>
    <w:tbl>
      <w:tblPr>
        <w:tblOverlap w:val="never"/>
        <w:jc w:val="center"/>
        <w:tblLayout w:type="fixed"/>
      </w:tblPr>
      <w:tblGrid>
        <w:gridCol w:w="3389"/>
        <w:gridCol w:w="5429"/>
      </w:tblGrid>
      <w:tr>
        <w:trPr>
          <w:trHeight w:val="51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32"/>
                <w:szCs w:val="32"/>
              </w:rPr>
            </w:pPr>
            <w:r>
              <w:rPr>
                <w:b/>
                <w:bCs/>
                <w:color w:val="000000"/>
                <w:spacing w:val="0"/>
                <w:w w:val="100"/>
                <w:position w:val="0"/>
                <w:sz w:val="32"/>
                <w:szCs w:val="32"/>
                <w:shd w:val="clear" w:color="auto" w:fill="auto"/>
                <w:lang w:val="cs-CZ" w:eastAsia="cs-CZ" w:bidi="cs-CZ"/>
              </w:rPr>
              <w:t>DODATEK č. 1</w:t>
            </w:r>
          </w:p>
        </w:tc>
      </w:tr>
    </w:tbl>
    <w:p>
      <w:pPr>
        <w:widowControl w:val="0"/>
        <w:spacing w:after="239" w:line="1" w:lineRule="exact"/>
      </w:pPr>
    </w:p>
    <w:p>
      <w:pPr>
        <w:pStyle w:val="Style11"/>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ke smlouvě č. 872/2024 o výkonu činnosti koordinátora BOZP</w:t>
        <w:br/>
        <w:t>při realizaci stavby</w:t>
      </w:r>
      <w:bookmarkEnd w:id="0"/>
      <w:bookmarkEnd w:id="1"/>
      <w:bookmarkEnd w:id="2"/>
    </w:p>
    <w:p>
      <w:pPr>
        <w:pStyle w:val="Style11"/>
        <w:keepNext/>
        <w:keepLines/>
        <w:widowControl w:val="0"/>
        <w:shd w:val="clear" w:color="auto" w:fill="auto"/>
        <w:bidi w:val="0"/>
        <w:spacing w:before="0" w:after="1160" w:line="240" w:lineRule="auto"/>
        <w:ind w:left="0" w:right="0" w:firstLine="440"/>
        <w:jc w:val="left"/>
      </w:pPr>
      <w:bookmarkStart w:id="0" w:name="bookmark0"/>
      <w:bookmarkStart w:id="1" w:name="bookmark1"/>
      <w:bookmarkStart w:id="3" w:name="bookmark3"/>
      <w:r>
        <w:rPr>
          <w:color w:val="000000"/>
          <w:spacing w:val="0"/>
          <w:w w:val="100"/>
          <w:position w:val="0"/>
          <w:shd w:val="clear" w:color="auto" w:fill="auto"/>
          <w:lang w:val="cs-CZ" w:eastAsia="cs-CZ" w:bidi="cs-CZ"/>
        </w:rPr>
        <w:t>„ČS Stranná - rozvodna 110 kV, transformátory T 101 a T 102“</w:t>
      </w:r>
      <w:bookmarkEnd w:id="0"/>
      <w:bookmarkEnd w:id="1"/>
      <w:bookmarkEnd w:id="3"/>
    </w:p>
    <w:tbl>
      <w:tblPr>
        <w:tblOverlap w:val="never"/>
        <w:jc w:val="center"/>
        <w:tblLayout w:type="fixed"/>
      </w:tblPr>
      <w:tblGrid>
        <w:gridCol w:w="3389"/>
        <w:gridCol w:w="5429"/>
      </w:tblGrid>
      <w:tr>
        <w:trPr>
          <w:trHeight w:val="219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 statutární orgán: zastoupený ve věcech smluvních: zástupce ve věcech technických</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1080" w:right="0" w:firstLine="0"/>
              <w:jc w:val="left"/>
            </w:pPr>
            <w:r>
              <w:rPr>
                <w:b/>
                <w:bCs/>
                <w:color w:val="000000"/>
                <w:spacing w:val="0"/>
                <w:w w:val="100"/>
                <w:position w:val="0"/>
                <w:shd w:val="clear" w:color="auto" w:fill="auto"/>
                <w:lang w:val="cs-CZ" w:eastAsia="cs-CZ" w:bidi="cs-CZ"/>
              </w:rPr>
              <w:t>1.</w:t>
            </w:r>
          </w:p>
          <w:p>
            <w:pPr>
              <w:pStyle w:val="Style4"/>
              <w:keepNext w:val="0"/>
              <w:keepLines w:val="0"/>
              <w:widowControl w:val="0"/>
              <w:shd w:val="clear" w:color="auto" w:fill="auto"/>
              <w:bidi w:val="0"/>
              <w:spacing w:before="0" w:after="440" w:line="240" w:lineRule="auto"/>
              <w:ind w:left="0" w:right="0" w:firstLine="380"/>
              <w:jc w:val="left"/>
            </w:pPr>
            <w:r>
              <w:rPr>
                <w:b/>
                <w:bCs/>
                <w:color w:val="000000"/>
                <w:spacing w:val="0"/>
                <w:w w:val="100"/>
                <w:position w:val="0"/>
                <w:shd w:val="clear" w:color="auto" w:fill="auto"/>
                <w:lang w:val="cs-CZ" w:eastAsia="cs-CZ" w:bidi="cs-CZ"/>
              </w:rPr>
              <w:t>Smluvní strany</w:t>
            </w:r>
          </w:p>
          <w:p>
            <w:pPr>
              <w:pStyle w:val="Style4"/>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Bezručova 4219, 430 03 Chomutov</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investora:</w:t>
      </w:r>
    </w:p>
    <w:p>
      <w:pPr>
        <w:widowControl w:val="0"/>
        <w:spacing w:line="1" w:lineRule="exact"/>
      </w:pPr>
    </w:p>
    <w:tbl>
      <w:tblPr>
        <w:tblOverlap w:val="never"/>
        <w:jc w:val="center"/>
        <w:tblLayout w:type="fixed"/>
      </w:tblPr>
      <w:tblGrid>
        <w:gridCol w:w="3389"/>
        <w:gridCol w:w="5434"/>
      </w:tblGrid>
      <w:tr>
        <w:trPr>
          <w:trHeight w:val="100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70889988</w:t>
            </w:r>
          </w:p>
          <w:p>
            <w:pPr>
              <w:pStyle w:val="Style4"/>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CZ70889988</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widowControl w:val="0"/>
        <w:spacing w:after="959" w:line="1" w:lineRule="exact"/>
      </w:pPr>
    </w:p>
    <w:p>
      <w:pPr>
        <w:pStyle w:val="Style2"/>
        <w:keepNext w:val="0"/>
        <w:keepLines w:val="0"/>
        <w:widowControl w:val="0"/>
        <w:shd w:val="clear" w:color="auto" w:fill="auto"/>
        <w:bidi w:val="0"/>
        <w:spacing w:before="0" w:after="660" w:line="240" w:lineRule="auto"/>
        <w:ind w:left="0" w:right="0" w:firstLine="0"/>
        <w:jc w:val="left"/>
      </w:pPr>
      <w:r>
        <w:rPr>
          <w:color w:val="000000"/>
          <w:spacing w:val="0"/>
          <w:w w:val="100"/>
          <w:position w:val="0"/>
          <w:shd w:val="clear" w:color="auto" w:fill="auto"/>
          <w:lang w:val="cs-CZ" w:eastAsia="cs-CZ" w:bidi="cs-CZ"/>
        </w:rPr>
        <w:t>a</w:t>
      </w:r>
    </w:p>
    <w:tbl>
      <w:tblPr>
        <w:tblOverlap w:val="never"/>
        <w:jc w:val="center"/>
        <w:tblLayout w:type="fixed"/>
      </w:tblPr>
      <w:tblGrid>
        <w:gridCol w:w="3389"/>
        <w:gridCol w:w="5429"/>
      </w:tblGrid>
      <w:tr>
        <w:trPr>
          <w:trHeight w:val="1123"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SINNET.EU s.r.o. </w:t>
            </w:r>
            <w:r>
              <w:rPr>
                <w:color w:val="000000"/>
                <w:spacing w:val="0"/>
                <w:w w:val="100"/>
                <w:position w:val="0"/>
                <w:shd w:val="clear" w:color="auto" w:fill="auto"/>
                <w:lang w:val="cs-CZ" w:eastAsia="cs-CZ" w:bidi="cs-CZ"/>
              </w:rPr>
              <w:t>se sídlem: zastoupený: odborně způsobilá osoba:</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Patočkova 2386/83, Břevnov, 169 00 Praha 6</w:t>
            </w:r>
          </w:p>
        </w:tc>
      </w:tr>
    </w:tbl>
    <w:p>
      <w:pPr>
        <w:widowControl w:val="0"/>
        <w:spacing w:after="159" w:line="1" w:lineRule="exact"/>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hlavní koordinátor BOZP na staveništi: koordinátor BOZP na staveništi:</w:t>
      </w:r>
    </w:p>
    <w:tbl>
      <w:tblPr>
        <w:tblOverlap w:val="never"/>
        <w:jc w:val="center"/>
        <w:tblLayout w:type="fixed"/>
      </w:tblPr>
      <w:tblGrid>
        <w:gridCol w:w="3389"/>
        <w:gridCol w:w="5429"/>
      </w:tblGrid>
      <w:tr>
        <w:trPr>
          <w:trHeight w:val="864"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28741447</w:t>
            </w:r>
          </w:p>
          <w:p>
            <w:pPr>
              <w:pStyle w:val="Style4"/>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CZ28741447</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C, vložka 182802 (</w:t>
      </w:r>
      <w:r>
        <w:rPr>
          <w:i/>
          <w:iCs/>
          <w:color w:val="000000"/>
          <w:spacing w:val="0"/>
          <w:w w:val="100"/>
          <w:position w:val="0"/>
          <w:shd w:val="clear" w:color="auto" w:fill="auto"/>
          <w:lang w:val="cs-CZ" w:eastAsia="cs-CZ" w:bidi="cs-CZ"/>
        </w:rPr>
        <w:t>dále jen koordinátor)</w:t>
      </w:r>
    </w:p>
    <w:p>
      <w:pPr>
        <w:pStyle w:val="Style17"/>
        <w:keepNext/>
        <w:keepLines/>
        <w:widowControl w:val="0"/>
        <w:shd w:val="clear" w:color="auto" w:fill="auto"/>
        <w:bidi w:val="0"/>
        <w:spacing w:before="0" w:after="0" w:line="240" w:lineRule="auto"/>
        <w:ind w:left="0" w:right="0" w:firstLine="0"/>
        <w:jc w:val="center"/>
      </w:pPr>
      <w:bookmarkStart w:id="4" w:name="bookmark4"/>
      <w:bookmarkStart w:id="5" w:name="bookmark5"/>
      <w:bookmarkStart w:id="6" w:name="bookmark6"/>
      <w:r>
        <w:rPr>
          <w:color w:val="000000"/>
          <w:spacing w:val="0"/>
          <w:w w:val="100"/>
          <w:position w:val="0"/>
          <w:shd w:val="clear" w:color="auto" w:fill="auto"/>
          <w:lang w:val="cs-CZ" w:eastAsia="cs-CZ" w:bidi="cs-CZ"/>
        </w:rPr>
        <w:t>2.</w:t>
      </w:r>
      <w:bookmarkEnd w:id="4"/>
      <w:bookmarkEnd w:id="5"/>
      <w:bookmarkEnd w:id="6"/>
    </w:p>
    <w:p>
      <w:pPr>
        <w:pStyle w:val="Style17"/>
        <w:keepNext/>
        <w:keepLines/>
        <w:widowControl w:val="0"/>
        <w:shd w:val="clear" w:color="auto" w:fill="auto"/>
        <w:bidi w:val="0"/>
        <w:spacing w:before="0" w:after="200" w:line="240" w:lineRule="auto"/>
        <w:ind w:left="0" w:right="0" w:firstLine="0"/>
        <w:jc w:val="center"/>
      </w:pPr>
      <w:bookmarkStart w:id="4" w:name="bookmark4"/>
      <w:bookmarkStart w:id="5" w:name="bookmark5"/>
      <w:bookmarkStart w:id="7" w:name="bookmark7"/>
      <w:r>
        <w:rPr>
          <w:color w:val="000000"/>
          <w:spacing w:val="0"/>
          <w:w w:val="100"/>
          <w:position w:val="0"/>
          <w:shd w:val="clear" w:color="auto" w:fill="auto"/>
          <w:lang w:val="cs-CZ" w:eastAsia="cs-CZ" w:bidi="cs-CZ"/>
        </w:rPr>
        <w:t>Předmět dodatku</w:t>
      </w:r>
      <w:bookmarkEnd w:id="4"/>
      <w:bookmarkEnd w:id="5"/>
      <w:bookmarkEnd w:id="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tohoto dodatku je změna maximální ceny a ceny za výkon činnosti koordinátora ve fázi realizace uvedené v čl. 6. odst. 6.1. smlouvy o výkonu činnosti koordinátora BOZP při realizaci stavby č. 872/2024 z důvodu náročnější realizace, která vyvolala potřebu zvýšených činností výkonu koordinátora BOZP na stavbě.</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Cena za výkon činnosti koordinátora ve fázi realizace stavby včetně případné aktualizace plánu BOZP se sjednává ve výši </w:t>
      </w:r>
      <w:r>
        <w:rPr>
          <w:b/>
          <w:bCs/>
          <w:color w:val="000000"/>
          <w:spacing w:val="0"/>
          <w:w w:val="100"/>
          <w:position w:val="0"/>
          <w:shd w:val="clear" w:color="auto" w:fill="auto"/>
          <w:lang w:val="cs-CZ" w:eastAsia="cs-CZ" w:bidi="cs-CZ"/>
        </w:rPr>
        <w:t xml:space="preserve">1680,- Kč/týden bez DPH </w:t>
      </w:r>
      <w:r>
        <w:rPr>
          <w:color w:val="000000"/>
          <w:spacing w:val="0"/>
          <w:w w:val="100"/>
          <w:position w:val="0"/>
          <w:shd w:val="clear" w:color="auto" w:fill="auto"/>
          <w:lang w:val="cs-CZ" w:eastAsia="cs-CZ" w:bidi="cs-CZ"/>
        </w:rPr>
        <w:t>počítán je i započatý kalendářní týden.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Maximální cena činí: </w:t>
      </w:r>
      <w:r>
        <w:rPr>
          <w:b/>
          <w:bCs/>
          <w:color w:val="000000"/>
          <w:spacing w:val="0"/>
          <w:w w:val="100"/>
          <w:position w:val="0"/>
          <w:shd w:val="clear" w:color="auto" w:fill="auto"/>
          <w:lang w:val="cs-CZ" w:eastAsia="cs-CZ" w:bidi="cs-CZ"/>
        </w:rPr>
        <w:t>74 560,- Kč bez DPH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Cena za výkon činnosti koordinátora ve fázi realizace stavby včetně případné aktualizace plánu BOZP se sjednává ve výši </w:t>
      </w:r>
      <w:r>
        <w:rPr>
          <w:b/>
          <w:bCs/>
          <w:color w:val="000000"/>
          <w:spacing w:val="0"/>
          <w:w w:val="100"/>
          <w:position w:val="0"/>
          <w:shd w:val="clear" w:color="auto" w:fill="auto"/>
          <w:lang w:val="cs-CZ" w:eastAsia="cs-CZ" w:bidi="cs-CZ"/>
        </w:rPr>
        <w:t xml:space="preserve">1680,- Kč/týden bez DPH </w:t>
      </w:r>
      <w:r>
        <w:rPr>
          <w:color w:val="000000"/>
          <w:spacing w:val="0"/>
          <w:w w:val="100"/>
          <w:position w:val="0"/>
          <w:shd w:val="clear" w:color="auto" w:fill="auto"/>
          <w:lang w:val="cs-CZ" w:eastAsia="cs-CZ" w:bidi="cs-CZ"/>
        </w:rPr>
        <w:t xml:space="preserve">počítán je i započatý kalendářní týden. Cena za mimořádný dodatečný výkon koordinátora na výzvu objednatele se sjednává ve výši </w:t>
      </w:r>
      <w:r>
        <w:rPr>
          <w:b/>
          <w:bCs/>
          <w:color w:val="000000"/>
          <w:spacing w:val="0"/>
          <w:w w:val="100"/>
          <w:position w:val="0"/>
          <w:shd w:val="clear" w:color="auto" w:fill="auto"/>
          <w:lang w:val="cs-CZ" w:eastAsia="cs-CZ" w:bidi="cs-CZ"/>
        </w:rPr>
        <w:t>560,- Kč/hod bez DPH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Maximální cena činí: </w:t>
      </w:r>
      <w:r>
        <w:rPr>
          <w:b/>
          <w:bCs/>
          <w:color w:val="000000"/>
          <w:spacing w:val="0"/>
          <w:w w:val="100"/>
          <w:position w:val="0"/>
          <w:shd w:val="clear" w:color="auto" w:fill="auto"/>
          <w:lang w:val="cs-CZ" w:eastAsia="cs-CZ" w:bidi="cs-CZ"/>
        </w:rPr>
        <w:t>134 400,- Kč bez DPH</w:t>
      </w:r>
      <w:r>
        <w:rPr>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after="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3.</w:t>
      </w:r>
      <w:bookmarkEnd w:id="10"/>
      <w:bookmarkEnd w:id="8"/>
      <w:bookmarkEnd w:id="9"/>
    </w:p>
    <w:p>
      <w:pPr>
        <w:pStyle w:val="Style17"/>
        <w:keepNext/>
        <w:keepLines/>
        <w:widowControl w:val="0"/>
        <w:shd w:val="clear" w:color="auto" w:fill="auto"/>
        <w:bidi w:val="0"/>
        <w:spacing w:before="0" w:after="200" w:line="240" w:lineRule="auto"/>
        <w:ind w:left="0" w:right="0" w:firstLine="0"/>
        <w:jc w:val="center"/>
      </w:pPr>
      <w:bookmarkStart w:id="11" w:name="bookmark11"/>
      <w:bookmarkStart w:id="8" w:name="bookmark8"/>
      <w:bookmarkStart w:id="9" w:name="bookmark9"/>
      <w:r>
        <w:rPr>
          <w:color w:val="000000"/>
          <w:spacing w:val="0"/>
          <w:w w:val="100"/>
          <w:position w:val="0"/>
          <w:shd w:val="clear" w:color="auto" w:fill="auto"/>
          <w:lang w:val="cs-CZ" w:eastAsia="cs-CZ" w:bidi="cs-CZ"/>
        </w:rPr>
        <w:t>Závěrečná ujednání</w:t>
      </w:r>
      <w:bookmarkEnd w:id="11"/>
      <w:bookmarkEnd w:id="8"/>
      <w:bookmarkEnd w:id="9"/>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Tento dodatek č. 1 je nedílnou součástí smlouvy o výkonu činnosti koordinátora BOZP při realizaci stavby č. 872/2024 ze dne 13.08.2024. Ostatní ustanovení smlouvy se nemění.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dodatku a metadat v registru smluv zajistí Povodí Ohře, státní podnik, který má právo tento dodatek zveřejnit rovněž v pochybnostech o tom, zda tento dodatek zveřejnění podléhá či nikoliv.</w:t>
      </w:r>
    </w:p>
    <w:p>
      <w:pPr>
        <w:pStyle w:val="Style2"/>
        <w:keepNext w:val="0"/>
        <w:keepLines w:val="0"/>
        <w:widowControl w:val="0"/>
        <w:shd w:val="clear" w:color="auto" w:fill="auto"/>
        <w:bidi w:val="0"/>
        <w:spacing w:before="0" w:after="0" w:line="240" w:lineRule="auto"/>
        <w:ind w:left="3300" w:right="0" w:firstLine="0"/>
        <w:jc w:val="both"/>
        <w:sectPr>
          <w:headerReference w:type="default" r:id="rId5"/>
          <w:footerReference w:type="default" r:id="rId6"/>
          <w:footnotePr>
            <w:pos w:val="pageBottom"/>
            <w:numFmt w:val="decimal"/>
            <w:numRestart w:val="continuous"/>
          </w:footnotePr>
          <w:pgSz w:w="11909" w:h="16838"/>
          <w:pgMar w:top="1363" w:left="1319" w:right="1465" w:bottom="1704"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837565</wp:posOffset>
                </wp:positionH>
                <wp:positionV relativeFrom="paragraph">
                  <wp:posOffset>12700</wp:posOffset>
                </wp:positionV>
                <wp:extent cx="948055" cy="387350"/>
                <wp:wrapSquare wrapText="bothSides"/>
                <wp:docPr id="5" name="Shape 5"/>
                <a:graphic xmlns:a="http://schemas.openxmlformats.org/drawingml/2006/main">
                  <a:graphicData uri="http://schemas.microsoft.com/office/word/2010/wordprocessingShape">
                    <wps:wsp>
                      <wps:cNvSpPr txBox="1"/>
                      <wps:spPr>
                        <a:xfrm>
                          <a:ext cx="94805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wps:txbx>
                      <wps:bodyPr lIns="0" tIns="0" rIns="0" bIns="0">
                        <a:noAutoFit/>
                      </wps:bodyPr>
                    </wps:wsp>
                  </a:graphicData>
                </a:graphic>
              </wp:anchor>
            </w:drawing>
          </mc:Choice>
          <mc:Fallback>
            <w:pict>
              <v:shape id="_x0000_s1031" type="#_x0000_t202" style="position:absolute;margin-left:65.950000000000003pt;margin-top:1.pt;width:74.650000000000006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v:textbox>
                <w10:wrap type="square" anchorx="page"/>
              </v:shape>
            </w:pict>
          </mc:Fallback>
        </mc:AlternateContent>
      </w:r>
      <w:r>
        <w:rPr>
          <w:color w:val="000000"/>
          <w:spacing w:val="0"/>
          <w:w w:val="100"/>
          <w:position w:val="0"/>
          <w:shd w:val="clear" w:color="auto" w:fill="auto"/>
          <w:lang w:val="cs-CZ" w:eastAsia="cs-CZ" w:bidi="cs-CZ"/>
        </w:rPr>
        <w:t>V Chomutově za koordinátora</w:t>
      </w:r>
    </w:p>
    <w:p>
      <w:pPr>
        <w:widowControl w:val="0"/>
        <w:spacing w:line="240" w:lineRule="exact"/>
        <w:rPr>
          <w:sz w:val="19"/>
          <w:szCs w:val="19"/>
        </w:rPr>
      </w:pPr>
    </w:p>
    <w:p>
      <w:pPr>
        <w:widowControl w:val="0"/>
        <w:spacing w:before="113" w:after="11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 společnosti</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2796" w:bottom="1363" w:header="0" w:footer="3" w:gutter="0"/>
          <w:cols w:num="2" w:space="2208"/>
          <w:noEndnote/>
          <w:rtlGutter w:val="0"/>
          <w:docGrid w:linePitch="360"/>
        </w:sectPr>
      </w:pPr>
      <w:r>
        <w:rPr>
          <w:color w:val="000000"/>
          <w:spacing w:val="0"/>
          <w:w w:val="100"/>
          <w:position w:val="0"/>
          <w:shd w:val="clear" w:color="auto" w:fill="auto"/>
          <w:lang w:val="cs-CZ" w:eastAsia="cs-CZ" w:bidi="cs-CZ"/>
        </w:rPr>
        <w:t>SINNET.EU s.r.o.</w:t>
      </w:r>
    </w:p>
    <w:sectPr>
      <w:footnotePr>
        <w:pos w:val="pageBottom"/>
        <w:numFmt w:val="decimal"/>
        <w:numRestart w:val="continuous"/>
      </w:footnotePr>
      <w:type w:val="continuous"/>
      <w:pgSz w:w="11909" w:h="16838"/>
      <w:pgMar w:top="1363" w:left="1394" w:right="2796" w:bottom="1363" w:header="0" w:footer="3" w:gutter="0"/>
      <w:cols w:num="2" w:space="220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3383915</wp:posOffset>
              </wp:positionH>
              <wp:positionV relativeFrom="page">
                <wp:posOffset>10097770</wp:posOffset>
              </wp:positionV>
              <wp:extent cx="895985" cy="155575"/>
              <wp:wrapNone/>
              <wp:docPr id="3" name="Shape 3"/>
              <a:graphic xmlns:a="http://schemas.openxmlformats.org/drawingml/2006/main">
                <a:graphicData uri="http://schemas.microsoft.com/office/word/2010/wordprocessingShape">
                  <wps:wsp>
                    <wps:cNvSpPr txBox="1"/>
                    <wps:spPr>
                      <a:xfrm>
                        <a:ext cx="89598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8"/>
                                <w:szCs w:val="18"/>
                                <w:shd w:val="clear" w:color="auto" w:fill="auto"/>
                                <w:lang w:val="cs-CZ" w:eastAsia="cs-CZ" w:bidi="cs-CZ"/>
                              </w:rPr>
                              <w:t>#</w:t>
                            </w:r>
                          </w:fldSimple>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 (celkem 2)</w:t>
                          </w:r>
                        </w:p>
                      </w:txbxContent>
                    </wps:txbx>
                    <wps:bodyPr wrap="none" lIns="0" tIns="0" rIns="0" bIns="0">
                      <a:spAutoFit/>
                    </wps:bodyPr>
                  </wps:wsp>
                </a:graphicData>
              </a:graphic>
            </wp:anchor>
          </w:drawing>
        </mc:Choice>
        <mc:Fallback>
          <w:pict>
            <v:shape id="_x0000_s1029" type="#_x0000_t202" style="position:absolute;margin-left:266.44999999999999pt;margin-top:795.10000000000002pt;width:70.549999999999997pt;height:12.2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18"/>
                          <w:szCs w:val="18"/>
                          <w:shd w:val="clear" w:color="auto" w:fill="auto"/>
                          <w:lang w:val="cs-CZ" w:eastAsia="cs-CZ" w:bidi="cs-CZ"/>
                        </w:rPr>
                        <w:t>#</w:t>
                      </w:r>
                    </w:fldSimple>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 (celkem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5892165</wp:posOffset>
              </wp:positionH>
              <wp:positionV relativeFrom="page">
                <wp:posOffset>438785</wp:posOffset>
              </wp:positionV>
              <wp:extent cx="819785" cy="155575"/>
              <wp:wrapNone/>
              <wp:docPr id="1" name="Shape 1"/>
              <a:graphic xmlns:a="http://schemas.openxmlformats.org/drawingml/2006/main">
                <a:graphicData uri="http://schemas.microsoft.com/office/word/2010/wordprocessingShape">
                  <wps:wsp>
                    <wps:cNvSpPr txBox="1"/>
                    <wps:spPr>
                      <a:xfrm>
                        <a:ext cx="81978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Akce č. 502 650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3.94999999999999pt;margin-top:34.550000000000004pt;width:64.549999999999997pt;height:12.2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Akce č. 502 650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580"/>
      <w:ind w:firstLine="220"/>
      <w:jc w:val="center"/>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00"/>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SMLOUVA O ZAJIŠTĚNÍ PODMÍNEK PRO REALIZACI STAVBY A BUDOUCÍM MAJEKOPRÁVNÍM VYPOŘÁDÁNÍ</dc:title>
  <dc:subject/>
  <dc:creator>Sykora</dc:creator>
  <cp:keywords/>
</cp:coreProperties>
</file>