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5F73" w14:textId="77777777" w:rsidR="00335684" w:rsidRPr="00F44D15" w:rsidRDefault="003865AB" w:rsidP="00F31EB4">
      <w:pPr>
        <w:jc w:val="right"/>
      </w:pPr>
      <w:r w:rsidRPr="00F44D15">
        <w:rPr>
          <w:noProof/>
        </w:rPr>
        <w:drawing>
          <wp:anchor distT="0" distB="0" distL="114300" distR="114300" simplePos="0" relativeHeight="251658240"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31BF5D41" w14:textId="54E0053F" w:rsidR="00E479DB" w:rsidRPr="00F44D15" w:rsidRDefault="008C70C4" w:rsidP="00D7357B">
      <w:pPr>
        <w:rPr>
          <w:rFonts w:cs="Arial"/>
          <w:b/>
          <w:sz w:val="32"/>
        </w:rPr>
      </w:pPr>
      <w:bookmarkStart w:id="0" w:name="Priloha_1"/>
      <w:bookmarkEnd w:id="0"/>
      <w:r w:rsidRPr="00F44D15">
        <w:rPr>
          <w:rFonts w:cs="Arial"/>
          <w:b/>
          <w:sz w:val="32"/>
        </w:rPr>
        <w:t xml:space="preserve">Dodatek č. </w:t>
      </w:r>
      <w:r w:rsidR="00FC2A03">
        <w:rPr>
          <w:rFonts w:cs="Arial"/>
          <w:b/>
          <w:sz w:val="32"/>
        </w:rPr>
        <w:t>1</w:t>
      </w:r>
      <w:r w:rsidR="00D35866">
        <w:rPr>
          <w:rFonts w:cs="Arial"/>
          <w:b/>
          <w:sz w:val="32"/>
        </w:rPr>
        <w:t>9</w:t>
      </w:r>
    </w:p>
    <w:p w14:paraId="08466A24" w14:textId="4D339946"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AD0946" w:rsidRPr="00AD0946">
        <w:rPr>
          <w:rFonts w:cs="Arial"/>
          <w:b/>
          <w:sz w:val="32"/>
        </w:rPr>
        <w:t>7720904410</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t>Výše uvedená pojistná smlouva (včetně výše uvedených údajů o výše uvedených subjektech) nově zní takto:</w:t>
      </w:r>
    </w:p>
    <w:p w14:paraId="4726BFA8" w14:textId="77777777" w:rsidR="00EF6D62" w:rsidRDefault="00EF6D62" w:rsidP="003725E1">
      <w:pPr>
        <w:jc w:val="center"/>
        <w:rPr>
          <w:rFonts w:cs="Arial"/>
          <w:b/>
          <w:sz w:val="24"/>
        </w:rPr>
      </w:pPr>
      <w:bookmarkStart w:id="1" w:name="_Toc367839357"/>
    </w:p>
    <w:p w14:paraId="6A0A5F9E" w14:textId="03AAB678" w:rsidR="003725E1" w:rsidRPr="00F44D15" w:rsidRDefault="003725E1" w:rsidP="003725E1">
      <w:pPr>
        <w:jc w:val="center"/>
        <w:rPr>
          <w:rFonts w:cs="Arial"/>
          <w:b/>
          <w:sz w:val="24"/>
        </w:rPr>
      </w:pPr>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5234D8E5" w:rsidR="003725E1"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071B7B6" w14:textId="3B41CCCF" w:rsidR="003B673E" w:rsidRPr="00F44D15" w:rsidRDefault="008D704F" w:rsidP="003725E1">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proofErr w:type="gramStart"/>
      <w:r w:rsidRPr="00F44D15">
        <w:rPr>
          <w:rFonts w:cs="Arial"/>
          <w:sz w:val="20"/>
        </w:rPr>
        <w:t>DZ101 - Lehké</w:t>
      </w:r>
      <w:proofErr w:type="gramEnd"/>
      <w:r w:rsidRPr="00F44D15">
        <w:rPr>
          <w:rFonts w:cs="Arial"/>
          <w:sz w:val="20"/>
        </w:rPr>
        <w:t xml:space="preserve">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proofErr w:type="gramStart"/>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Fotovoltaická</w:t>
      </w:r>
      <w:proofErr w:type="gramEnd"/>
      <w:r w:rsidRPr="00F44D15">
        <w:rPr>
          <w:rFonts w:cs="Arial"/>
          <w:bCs/>
          <w:sz w:val="20"/>
        </w:rPr>
        <w:t xml:space="preserve">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proofErr w:type="gramStart"/>
      <w:r w:rsidRPr="00F44D15">
        <w:rPr>
          <w:rFonts w:cs="Arial"/>
          <w:bCs/>
          <w:sz w:val="20"/>
          <w:szCs w:val="20"/>
        </w:rPr>
        <w:t xml:space="preserve">DZ113 - </w:t>
      </w:r>
      <w:r w:rsidRPr="00F44D15">
        <w:rPr>
          <w:sz w:val="20"/>
          <w:szCs w:val="20"/>
        </w:rPr>
        <w:t>Atmosférické</w:t>
      </w:r>
      <w:proofErr w:type="gramEnd"/>
      <w:r w:rsidRPr="00F44D15">
        <w:rPr>
          <w:sz w:val="20"/>
          <w:szCs w:val="20"/>
        </w:rPr>
        <w:t xml:space="preserve">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proofErr w:type="gramStart"/>
      <w:r w:rsidRPr="00F44D15">
        <w:rPr>
          <w:rFonts w:cs="Arial"/>
          <w:bCs/>
          <w:sz w:val="20"/>
          <w:szCs w:val="20"/>
        </w:rPr>
        <w:t>DZ114 - Nepřímý</w:t>
      </w:r>
      <w:proofErr w:type="gramEnd"/>
      <w:r w:rsidRPr="00F44D15">
        <w:rPr>
          <w:rFonts w:cs="Arial"/>
          <w:bCs/>
          <w:sz w:val="20"/>
          <w:szCs w:val="20"/>
        </w:rPr>
        <w:t xml:space="preserve">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proofErr w:type="gramStart"/>
      <w:r w:rsidRPr="00F44D15">
        <w:rPr>
          <w:rFonts w:cs="Arial"/>
          <w:bCs/>
          <w:sz w:val="20"/>
          <w:szCs w:val="20"/>
        </w:rPr>
        <w:t>DOZ101 - Předepsané</w:t>
      </w:r>
      <w:proofErr w:type="gramEnd"/>
      <w:r w:rsidRPr="00F44D15">
        <w:rPr>
          <w:rFonts w:cs="Arial"/>
          <w:bCs/>
          <w:sz w:val="20"/>
          <w:szCs w:val="20"/>
        </w:rPr>
        <w:t xml:space="preserve">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proofErr w:type="gramStart"/>
      <w:r w:rsidRPr="00F44D15">
        <w:rPr>
          <w:rFonts w:cs="Arial"/>
          <w:bCs/>
          <w:sz w:val="20"/>
          <w:szCs w:val="20"/>
        </w:rPr>
        <w:t>DOZ102 - Předepsané</w:t>
      </w:r>
      <w:proofErr w:type="gramEnd"/>
      <w:r w:rsidRPr="00F44D15">
        <w:rPr>
          <w:rFonts w:cs="Arial"/>
          <w:bCs/>
          <w:sz w:val="20"/>
          <w:szCs w:val="20"/>
        </w:rPr>
        <w:t xml:space="preserve">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proofErr w:type="gramStart"/>
      <w:r w:rsidRPr="00F44D15">
        <w:rPr>
          <w:rFonts w:cs="Arial"/>
          <w:bCs/>
          <w:sz w:val="20"/>
          <w:szCs w:val="20"/>
        </w:rPr>
        <w:t>DOZ105 - Předepsané</w:t>
      </w:r>
      <w:proofErr w:type="gramEnd"/>
      <w:r w:rsidRPr="00F44D15">
        <w:rPr>
          <w:rFonts w:cs="Arial"/>
          <w:bCs/>
          <w:sz w:val="20"/>
          <w:szCs w:val="20"/>
        </w:rPr>
        <w:t xml:space="preserve">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DOB101 - Elektronická</w:t>
      </w:r>
      <w:proofErr w:type="gramEnd"/>
      <w:r w:rsidRPr="00F44D15">
        <w:rPr>
          <w:rFonts w:cs="Arial"/>
          <w:sz w:val="20"/>
          <w:szCs w:val="20"/>
        </w:rPr>
        <w:t xml:space="preserve"> rizika - Výluka (1401)</w:t>
      </w:r>
    </w:p>
    <w:p w14:paraId="710A1AEA" w14:textId="77777777" w:rsidR="003725E1" w:rsidRPr="00F44D15" w:rsidRDefault="003725E1" w:rsidP="003725E1">
      <w:pPr>
        <w:tabs>
          <w:tab w:val="left" w:pos="426"/>
        </w:tabs>
        <w:ind w:firstLine="426"/>
        <w:rPr>
          <w:rFonts w:cs="Arial"/>
          <w:sz w:val="20"/>
          <w:szCs w:val="20"/>
        </w:rPr>
      </w:pPr>
      <w:proofErr w:type="gramStart"/>
      <w:r w:rsidRPr="00F44D15">
        <w:rPr>
          <w:rFonts w:cs="Arial"/>
          <w:sz w:val="20"/>
          <w:szCs w:val="20"/>
        </w:rPr>
        <w:t>DOB103 - Výklad</w:t>
      </w:r>
      <w:proofErr w:type="gramEnd"/>
      <w:r w:rsidRPr="00F44D15">
        <w:rPr>
          <w:rFonts w:cs="Arial"/>
          <w:sz w:val="20"/>
          <w:szCs w:val="20"/>
        </w:rPr>
        <w:t xml:space="preserve">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proofErr w:type="gramStart"/>
      <w:r w:rsidRPr="00F44D15">
        <w:rPr>
          <w:rFonts w:cs="Arial"/>
          <w:bCs/>
          <w:sz w:val="20"/>
          <w:szCs w:val="20"/>
        </w:rPr>
        <w:t>DOB107 - Definice</w:t>
      </w:r>
      <w:proofErr w:type="gramEnd"/>
      <w:r w:rsidRPr="00F44D15">
        <w:rPr>
          <w:rFonts w:cs="Arial"/>
          <w:bCs/>
          <w:sz w:val="20"/>
          <w:szCs w:val="20"/>
        </w:rPr>
        <w:t xml:space="preserv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proofErr w:type="gramStart"/>
      <w:r w:rsidRPr="00F44D15">
        <w:rPr>
          <w:sz w:val="20"/>
          <w:szCs w:val="20"/>
        </w:rPr>
        <w:t xml:space="preserve">DODC102- </w:t>
      </w:r>
      <w:r w:rsidRPr="00F44D15">
        <w:rPr>
          <w:bCs/>
          <w:sz w:val="20"/>
          <w:szCs w:val="20"/>
        </w:rPr>
        <w:t>Malby</w:t>
      </w:r>
      <w:proofErr w:type="gramEnd"/>
      <w:r w:rsidRPr="00F44D15">
        <w:rPr>
          <w:bCs/>
          <w:sz w:val="20"/>
          <w:szCs w:val="20"/>
        </w:rPr>
        <w:t>,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F44D15" w:rsidRDefault="009B5BC3" w:rsidP="009B5BC3">
      <w:pPr>
        <w:keepNext/>
        <w:rPr>
          <w:b/>
          <w:sz w:val="20"/>
          <w:szCs w:val="20"/>
        </w:rPr>
      </w:pPr>
      <w:r w:rsidRPr="00F44D15">
        <w:rPr>
          <w:b/>
          <w:sz w:val="20"/>
          <w:szCs w:val="20"/>
        </w:rPr>
        <w:lastRenderedPageBreak/>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75930302" w:rsidR="009B5BC3" w:rsidRPr="00FC2A03" w:rsidRDefault="009B5BC3" w:rsidP="00E5250D">
            <w:pPr>
              <w:jc w:val="center"/>
              <w:rPr>
                <w:sz w:val="20"/>
                <w:szCs w:val="20"/>
              </w:rPr>
            </w:pPr>
            <w:r w:rsidRPr="00FC2A03">
              <w:rPr>
                <w:sz w:val="20"/>
                <w:szCs w:val="20"/>
              </w:rPr>
              <w:t>1</w:t>
            </w:r>
            <w:r w:rsidR="00D35866">
              <w:rPr>
                <w:sz w:val="20"/>
                <w:szCs w:val="20"/>
              </w:rPr>
              <w:t>2</w:t>
            </w:r>
            <w:r w:rsidR="00B804BA" w:rsidRPr="00FC2A03">
              <w:rPr>
                <w:sz w:val="20"/>
                <w:szCs w:val="20"/>
              </w:rPr>
              <w:t> </w:t>
            </w:r>
            <w:r w:rsidR="00D35866">
              <w:rPr>
                <w:sz w:val="20"/>
                <w:szCs w:val="20"/>
              </w:rPr>
              <w:t>15</w:t>
            </w:r>
            <w:r w:rsidR="00B804BA" w:rsidRPr="00FC2A03">
              <w:rPr>
                <w:sz w:val="20"/>
                <w:szCs w:val="20"/>
              </w:rPr>
              <w:t>0 000</w:t>
            </w:r>
            <w:r w:rsidRPr="00FC2A03">
              <w:rPr>
                <w:sz w:val="20"/>
                <w:szCs w:val="20"/>
              </w:rPr>
              <w:t> 000 Kč</w:t>
            </w:r>
          </w:p>
        </w:tc>
        <w:tc>
          <w:tcPr>
            <w:tcW w:w="1417" w:type="dxa"/>
            <w:vAlign w:val="center"/>
          </w:tcPr>
          <w:p w14:paraId="2A339C10" w14:textId="38F649F2" w:rsidR="009B5BC3" w:rsidRPr="00FC2A03" w:rsidRDefault="007F4CA7" w:rsidP="00CD082A">
            <w:pPr>
              <w:rPr>
                <w:sz w:val="20"/>
                <w:szCs w:val="20"/>
              </w:rPr>
            </w:pPr>
            <w:r w:rsidRPr="00FC2A03">
              <w:rPr>
                <w:sz w:val="20"/>
                <w:szCs w:val="20"/>
              </w:rPr>
              <w:t>500 000 Kč</w:t>
            </w:r>
          </w:p>
        </w:tc>
        <w:tc>
          <w:tcPr>
            <w:tcW w:w="1418" w:type="dxa"/>
            <w:vAlign w:val="center"/>
          </w:tcPr>
          <w:p w14:paraId="18F6E9C8" w14:textId="77777777" w:rsidR="009B5BC3" w:rsidRPr="00FC2A03" w:rsidRDefault="009B5BC3" w:rsidP="00CD082A">
            <w:pPr>
              <w:rPr>
                <w:sz w:val="20"/>
                <w:szCs w:val="20"/>
                <w:vertAlign w:val="superscript"/>
              </w:rPr>
            </w:pPr>
            <w:r w:rsidRPr="00FC2A03">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7F4CA7" w:rsidRPr="00F44D15" w14:paraId="489226DD" w14:textId="77777777" w:rsidTr="00CD082A">
        <w:tc>
          <w:tcPr>
            <w:tcW w:w="709" w:type="dxa"/>
            <w:vAlign w:val="center"/>
          </w:tcPr>
          <w:p w14:paraId="2565DAD1" w14:textId="77777777" w:rsidR="007F4CA7" w:rsidRPr="00F44D15" w:rsidRDefault="007F4CA7" w:rsidP="007F4CA7">
            <w:pPr>
              <w:rPr>
                <w:sz w:val="20"/>
                <w:szCs w:val="20"/>
              </w:rPr>
            </w:pPr>
            <w:r w:rsidRPr="00F44D15">
              <w:rPr>
                <w:sz w:val="20"/>
                <w:szCs w:val="20"/>
              </w:rPr>
              <w:t>2.</w:t>
            </w:r>
          </w:p>
        </w:tc>
        <w:tc>
          <w:tcPr>
            <w:tcW w:w="1276" w:type="dxa"/>
            <w:vAlign w:val="center"/>
          </w:tcPr>
          <w:p w14:paraId="4F883A19" w14:textId="77777777" w:rsidR="007F4CA7" w:rsidRPr="00F44D15" w:rsidRDefault="007F4CA7" w:rsidP="007F4CA7">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3B0D7E96" w:rsidR="007F4CA7" w:rsidRPr="00FC2A03" w:rsidRDefault="007F4CA7" w:rsidP="007F4CA7">
            <w:pPr>
              <w:jc w:val="center"/>
              <w:rPr>
                <w:sz w:val="20"/>
                <w:szCs w:val="20"/>
              </w:rPr>
            </w:pPr>
            <w:r w:rsidRPr="00FC2A03">
              <w:rPr>
                <w:sz w:val="20"/>
                <w:szCs w:val="20"/>
              </w:rPr>
              <w:t>3</w:t>
            </w:r>
            <w:r w:rsidR="00B804BA" w:rsidRPr="00FC2A03">
              <w:rPr>
                <w:sz w:val="20"/>
                <w:szCs w:val="20"/>
              </w:rPr>
              <w:t xml:space="preserve"> 843 000 </w:t>
            </w:r>
            <w:r w:rsidRPr="00FC2A03">
              <w:rPr>
                <w:sz w:val="20"/>
                <w:szCs w:val="20"/>
              </w:rPr>
              <w:t>000 Kč</w:t>
            </w:r>
          </w:p>
        </w:tc>
        <w:tc>
          <w:tcPr>
            <w:tcW w:w="1417" w:type="dxa"/>
            <w:vAlign w:val="center"/>
          </w:tcPr>
          <w:p w14:paraId="336EFBCF" w14:textId="103A4E46" w:rsidR="007F4CA7" w:rsidRPr="00FC2A03" w:rsidRDefault="007F4CA7" w:rsidP="007F4CA7">
            <w:pPr>
              <w:rPr>
                <w:sz w:val="20"/>
                <w:szCs w:val="20"/>
              </w:rPr>
            </w:pPr>
            <w:r w:rsidRPr="00FC2A03">
              <w:rPr>
                <w:sz w:val="20"/>
                <w:szCs w:val="20"/>
              </w:rPr>
              <w:t>500 000 Kč</w:t>
            </w:r>
          </w:p>
        </w:tc>
        <w:tc>
          <w:tcPr>
            <w:tcW w:w="1418" w:type="dxa"/>
            <w:vAlign w:val="center"/>
          </w:tcPr>
          <w:p w14:paraId="43BF0FE9" w14:textId="77777777" w:rsidR="007F4CA7" w:rsidRPr="00FC2A03" w:rsidRDefault="007F4CA7" w:rsidP="007F4CA7">
            <w:pPr>
              <w:rPr>
                <w:sz w:val="20"/>
                <w:szCs w:val="20"/>
                <w:vertAlign w:val="superscript"/>
              </w:rPr>
            </w:pPr>
            <w:r w:rsidRPr="00FC2A03">
              <w:rPr>
                <w:sz w:val="20"/>
                <w:szCs w:val="20"/>
              </w:rPr>
              <w:t>*)</w:t>
            </w:r>
          </w:p>
        </w:tc>
        <w:tc>
          <w:tcPr>
            <w:tcW w:w="1417" w:type="dxa"/>
            <w:vAlign w:val="center"/>
          </w:tcPr>
          <w:p w14:paraId="13D24413" w14:textId="77777777" w:rsidR="007F4CA7" w:rsidRPr="00F44D15" w:rsidRDefault="007F4CA7" w:rsidP="007F4CA7">
            <w:pPr>
              <w:rPr>
                <w:sz w:val="20"/>
                <w:szCs w:val="20"/>
              </w:rPr>
            </w:pPr>
            <w:r w:rsidRPr="00F44D15">
              <w:rPr>
                <w:rFonts w:cs="Arial"/>
                <w:sz w:val="20"/>
                <w:szCs w:val="20"/>
              </w:rPr>
              <w:t>nesjednává se</w:t>
            </w:r>
          </w:p>
        </w:tc>
        <w:tc>
          <w:tcPr>
            <w:tcW w:w="1560" w:type="dxa"/>
            <w:vAlign w:val="center"/>
          </w:tcPr>
          <w:p w14:paraId="048A4BFF" w14:textId="77777777" w:rsidR="007F4CA7" w:rsidRPr="00F44D15" w:rsidRDefault="007F4CA7" w:rsidP="007F4CA7">
            <w:pPr>
              <w:rPr>
                <w:sz w:val="20"/>
                <w:szCs w:val="20"/>
              </w:rPr>
            </w:pPr>
            <w:r w:rsidRPr="00F44D15">
              <w:rPr>
                <w:rFonts w:cs="Arial"/>
                <w:sz w:val="20"/>
                <w:szCs w:val="20"/>
              </w:rPr>
              <w:t>nesjednává se</w:t>
            </w:r>
          </w:p>
        </w:tc>
      </w:tr>
      <w:tr w:rsidR="007F4CA7" w:rsidRPr="00F44D15" w14:paraId="57D929BA" w14:textId="77777777" w:rsidTr="00CD082A">
        <w:tc>
          <w:tcPr>
            <w:tcW w:w="709" w:type="dxa"/>
            <w:vAlign w:val="center"/>
          </w:tcPr>
          <w:p w14:paraId="29E9D317" w14:textId="77777777" w:rsidR="007F4CA7" w:rsidRPr="00F44D15" w:rsidRDefault="007F4CA7" w:rsidP="007F4CA7">
            <w:pPr>
              <w:rPr>
                <w:sz w:val="20"/>
                <w:szCs w:val="20"/>
              </w:rPr>
            </w:pPr>
            <w:r w:rsidRPr="00F44D15">
              <w:rPr>
                <w:sz w:val="20"/>
                <w:szCs w:val="20"/>
              </w:rPr>
              <w:t>3.</w:t>
            </w:r>
          </w:p>
        </w:tc>
        <w:tc>
          <w:tcPr>
            <w:tcW w:w="1276" w:type="dxa"/>
            <w:vAlign w:val="center"/>
          </w:tcPr>
          <w:p w14:paraId="0A53D4ED" w14:textId="77777777" w:rsidR="007F4CA7" w:rsidRPr="00F44D15" w:rsidRDefault="007F4CA7" w:rsidP="007F4CA7">
            <w:pPr>
              <w:rPr>
                <w:sz w:val="20"/>
                <w:szCs w:val="20"/>
              </w:rPr>
            </w:pPr>
            <w:r w:rsidRPr="00F44D15">
              <w:rPr>
                <w:sz w:val="20"/>
                <w:szCs w:val="20"/>
              </w:rPr>
              <w:t>Soubor zásob</w:t>
            </w:r>
          </w:p>
        </w:tc>
        <w:tc>
          <w:tcPr>
            <w:tcW w:w="1701" w:type="dxa"/>
            <w:vAlign w:val="center"/>
          </w:tcPr>
          <w:p w14:paraId="4D1C4B15" w14:textId="51AE2736" w:rsidR="007F4CA7" w:rsidRPr="00FC2A03" w:rsidRDefault="007F4CA7" w:rsidP="007F4CA7">
            <w:pPr>
              <w:rPr>
                <w:sz w:val="20"/>
                <w:szCs w:val="20"/>
              </w:rPr>
            </w:pPr>
            <w:r w:rsidRPr="00FC2A03">
              <w:rPr>
                <w:sz w:val="20"/>
                <w:szCs w:val="20"/>
              </w:rPr>
              <w:t>245 983 000 Kč</w:t>
            </w:r>
          </w:p>
        </w:tc>
        <w:tc>
          <w:tcPr>
            <w:tcW w:w="1417" w:type="dxa"/>
            <w:vAlign w:val="center"/>
          </w:tcPr>
          <w:p w14:paraId="51794D4E" w14:textId="5836F924" w:rsidR="007F4CA7" w:rsidRPr="00FC2A03" w:rsidRDefault="007F4CA7" w:rsidP="007F4CA7">
            <w:pPr>
              <w:rPr>
                <w:sz w:val="20"/>
                <w:szCs w:val="20"/>
              </w:rPr>
            </w:pPr>
            <w:r w:rsidRPr="00FC2A03">
              <w:rPr>
                <w:sz w:val="20"/>
                <w:szCs w:val="20"/>
              </w:rPr>
              <w:t>500 000 Kč</w:t>
            </w:r>
          </w:p>
        </w:tc>
        <w:tc>
          <w:tcPr>
            <w:tcW w:w="1418" w:type="dxa"/>
            <w:vAlign w:val="center"/>
          </w:tcPr>
          <w:p w14:paraId="359779A9" w14:textId="77777777" w:rsidR="007F4CA7" w:rsidRPr="00FC2A03" w:rsidRDefault="007F4CA7" w:rsidP="007F4CA7">
            <w:pPr>
              <w:rPr>
                <w:sz w:val="20"/>
                <w:szCs w:val="20"/>
                <w:vertAlign w:val="superscript"/>
              </w:rPr>
            </w:pPr>
            <w:r w:rsidRPr="00FC2A03">
              <w:rPr>
                <w:sz w:val="20"/>
                <w:szCs w:val="20"/>
              </w:rPr>
              <w:t>*)</w:t>
            </w:r>
          </w:p>
        </w:tc>
        <w:tc>
          <w:tcPr>
            <w:tcW w:w="1417" w:type="dxa"/>
            <w:vAlign w:val="center"/>
          </w:tcPr>
          <w:p w14:paraId="0F231772" w14:textId="77777777" w:rsidR="007F4CA7" w:rsidRPr="00F44D15" w:rsidRDefault="007F4CA7" w:rsidP="007F4CA7">
            <w:pPr>
              <w:rPr>
                <w:sz w:val="20"/>
                <w:szCs w:val="20"/>
              </w:rPr>
            </w:pPr>
            <w:r w:rsidRPr="00F44D15">
              <w:rPr>
                <w:rFonts w:cs="Arial"/>
                <w:sz w:val="20"/>
                <w:szCs w:val="20"/>
              </w:rPr>
              <w:t>nesjednává se</w:t>
            </w:r>
          </w:p>
        </w:tc>
        <w:tc>
          <w:tcPr>
            <w:tcW w:w="1560" w:type="dxa"/>
            <w:vAlign w:val="center"/>
          </w:tcPr>
          <w:p w14:paraId="50473C17" w14:textId="77777777" w:rsidR="007F4CA7" w:rsidRPr="00F44D15" w:rsidRDefault="007F4CA7" w:rsidP="007F4CA7">
            <w:pPr>
              <w:rPr>
                <w:sz w:val="20"/>
                <w:szCs w:val="20"/>
              </w:rPr>
            </w:pPr>
            <w:r w:rsidRPr="00F44D15">
              <w:rPr>
                <w:rFonts w:cs="Arial"/>
                <w:sz w:val="20"/>
                <w:szCs w:val="20"/>
              </w:rPr>
              <w:t>nesjednává se</w:t>
            </w:r>
          </w:p>
        </w:tc>
      </w:tr>
      <w:tr w:rsidR="00B81AAA" w:rsidRPr="00F44D15" w14:paraId="199588C4" w14:textId="77777777" w:rsidTr="00CD082A">
        <w:tc>
          <w:tcPr>
            <w:tcW w:w="709" w:type="dxa"/>
            <w:vAlign w:val="center"/>
          </w:tcPr>
          <w:p w14:paraId="4122A993" w14:textId="77777777" w:rsidR="00B81AAA" w:rsidRPr="00F44D15" w:rsidRDefault="00B81AAA" w:rsidP="00B81AAA">
            <w:pPr>
              <w:rPr>
                <w:sz w:val="20"/>
                <w:szCs w:val="20"/>
              </w:rPr>
            </w:pPr>
            <w:r w:rsidRPr="00F44D15">
              <w:rPr>
                <w:sz w:val="20"/>
                <w:szCs w:val="20"/>
              </w:rPr>
              <w:t>4.</w:t>
            </w:r>
          </w:p>
        </w:tc>
        <w:tc>
          <w:tcPr>
            <w:tcW w:w="1276" w:type="dxa"/>
            <w:vAlign w:val="center"/>
          </w:tcPr>
          <w:p w14:paraId="69D0408B" w14:textId="77777777" w:rsidR="00B81AAA" w:rsidRPr="00F44D15" w:rsidRDefault="00B81AAA" w:rsidP="00B81AAA">
            <w:pPr>
              <w:rPr>
                <w:sz w:val="20"/>
                <w:szCs w:val="20"/>
              </w:rPr>
            </w:pPr>
            <w:r w:rsidRPr="00F44D15">
              <w:rPr>
                <w:sz w:val="20"/>
                <w:szCs w:val="20"/>
              </w:rPr>
              <w:t>Soubor cenných předmětů a finančních prostředků</w:t>
            </w:r>
          </w:p>
        </w:tc>
        <w:tc>
          <w:tcPr>
            <w:tcW w:w="1701" w:type="dxa"/>
            <w:vAlign w:val="center"/>
          </w:tcPr>
          <w:p w14:paraId="75491405" w14:textId="77777777" w:rsidR="00B81AAA" w:rsidRPr="00FC2A03" w:rsidRDefault="00B81AAA" w:rsidP="00B81AAA">
            <w:pPr>
              <w:rPr>
                <w:sz w:val="20"/>
                <w:szCs w:val="20"/>
              </w:rPr>
            </w:pPr>
            <w:r w:rsidRPr="00FC2A03">
              <w:rPr>
                <w:rFonts w:cs="Arial"/>
                <w:sz w:val="20"/>
                <w:szCs w:val="20"/>
              </w:rPr>
              <w:t>nesjednává se</w:t>
            </w:r>
          </w:p>
        </w:tc>
        <w:tc>
          <w:tcPr>
            <w:tcW w:w="1417" w:type="dxa"/>
            <w:vAlign w:val="center"/>
          </w:tcPr>
          <w:p w14:paraId="0F9209DE" w14:textId="4E8978A7" w:rsidR="00B81AAA" w:rsidRPr="00FC2A03" w:rsidRDefault="00B81AAA" w:rsidP="00B81AAA">
            <w:pPr>
              <w:rPr>
                <w:sz w:val="20"/>
                <w:szCs w:val="20"/>
              </w:rPr>
            </w:pPr>
            <w:r w:rsidRPr="00FC2A03">
              <w:rPr>
                <w:sz w:val="20"/>
                <w:szCs w:val="20"/>
              </w:rPr>
              <w:t>100 000 Kč</w:t>
            </w:r>
          </w:p>
        </w:tc>
        <w:tc>
          <w:tcPr>
            <w:tcW w:w="1418" w:type="dxa"/>
            <w:vAlign w:val="center"/>
          </w:tcPr>
          <w:p w14:paraId="70913B79" w14:textId="77777777" w:rsidR="00B81AAA" w:rsidRPr="00FC2A03" w:rsidRDefault="00B81AAA" w:rsidP="00B81AAA">
            <w:pPr>
              <w:rPr>
                <w:sz w:val="20"/>
                <w:szCs w:val="20"/>
                <w:vertAlign w:val="superscript"/>
              </w:rPr>
            </w:pPr>
            <w:r w:rsidRPr="00FC2A03">
              <w:rPr>
                <w:sz w:val="20"/>
                <w:szCs w:val="20"/>
              </w:rPr>
              <w:t>*)</w:t>
            </w:r>
          </w:p>
        </w:tc>
        <w:tc>
          <w:tcPr>
            <w:tcW w:w="1417" w:type="dxa"/>
            <w:vAlign w:val="center"/>
          </w:tcPr>
          <w:p w14:paraId="0EA38925" w14:textId="77777777" w:rsidR="00B81AAA" w:rsidRPr="00F44D15" w:rsidRDefault="00B81AAA" w:rsidP="00B81AAA">
            <w:pPr>
              <w:rPr>
                <w:sz w:val="20"/>
                <w:szCs w:val="20"/>
              </w:rPr>
            </w:pPr>
            <w:r w:rsidRPr="00F44D15">
              <w:rPr>
                <w:rFonts w:cs="Arial"/>
                <w:sz w:val="20"/>
                <w:szCs w:val="20"/>
              </w:rPr>
              <w:t>1 500 000 Kč</w:t>
            </w:r>
          </w:p>
        </w:tc>
        <w:tc>
          <w:tcPr>
            <w:tcW w:w="1560" w:type="dxa"/>
            <w:vAlign w:val="center"/>
          </w:tcPr>
          <w:p w14:paraId="32D11168" w14:textId="77777777" w:rsidR="00B81AAA" w:rsidRPr="00F44D15" w:rsidRDefault="00B81AAA" w:rsidP="00B81AA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w:t>
            </w:r>
            <w:proofErr w:type="gramStart"/>
            <w:r w:rsidRPr="00F44D15">
              <w:rPr>
                <w:sz w:val="20"/>
                <w:szCs w:val="20"/>
              </w:rPr>
              <w:t>5. :</w:t>
            </w:r>
            <w:proofErr w:type="gramEnd"/>
            <w:r w:rsidRPr="00F44D15">
              <w:rPr>
                <w:sz w:val="20"/>
                <w:szCs w:val="20"/>
              </w:rPr>
              <w:t xml:space="preserve">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Ujednává se, že se ustanovení čl. 3 odst. 3) ZPP P-150/14 ruší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t>1.</w:t>
            </w:r>
          </w:p>
        </w:tc>
        <w:tc>
          <w:tcPr>
            <w:tcW w:w="1730" w:type="dxa"/>
            <w:vAlign w:val="center"/>
          </w:tcPr>
          <w:p w14:paraId="6181E4D2" w14:textId="3182DEBB" w:rsidR="00E519ED" w:rsidRPr="00F44D15" w:rsidRDefault="00F4018E" w:rsidP="008F4A99">
            <w:pPr>
              <w:rPr>
                <w:sz w:val="20"/>
                <w:szCs w:val="20"/>
              </w:rPr>
            </w:pPr>
            <w:r>
              <w:rPr>
                <w:sz w:val="20"/>
                <w:szCs w:val="20"/>
              </w:rPr>
              <w:t>Platební automaty</w:t>
            </w:r>
            <w:r w:rsidR="002510E1">
              <w:rPr>
                <w:sz w:val="20"/>
                <w:szCs w:val="20"/>
              </w:rPr>
              <w:t xml:space="preserve"> – 3 hotovostní, 1 </w:t>
            </w:r>
            <w:proofErr w:type="spellStart"/>
            <w:r w:rsidR="002510E1">
              <w:rPr>
                <w:sz w:val="20"/>
                <w:szCs w:val="20"/>
              </w:rPr>
              <w:t>bezehotovostní</w:t>
            </w:r>
            <w:proofErr w:type="spellEnd"/>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lastRenderedPageBreak/>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01EBF097" w:rsidR="009B5BC3" w:rsidRPr="00FC2A03" w:rsidRDefault="00B81AAA" w:rsidP="00CD082A">
            <w:pPr>
              <w:jc w:val="both"/>
              <w:rPr>
                <w:sz w:val="20"/>
                <w:szCs w:val="20"/>
              </w:rPr>
            </w:pPr>
            <w:r w:rsidRPr="00FC2A03">
              <w:rPr>
                <w:sz w:val="20"/>
                <w:szCs w:val="20"/>
              </w:rPr>
              <w:t>5</w:t>
            </w:r>
            <w:r w:rsidR="009B5BC3" w:rsidRPr="00FC2A03">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17B3D416" w:rsidR="002510E1" w:rsidRPr="00F44D15" w:rsidRDefault="002510E1" w:rsidP="002510E1">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lastRenderedPageBreak/>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05C7596B" w:rsidR="009B5BC3" w:rsidRPr="00FC2A03" w:rsidRDefault="00B81AAA" w:rsidP="00CD082A">
            <w:pPr>
              <w:jc w:val="both"/>
              <w:rPr>
                <w:sz w:val="20"/>
                <w:szCs w:val="20"/>
              </w:rPr>
            </w:pPr>
            <w:r w:rsidRPr="00FC2A03">
              <w:rPr>
                <w:sz w:val="20"/>
                <w:szCs w:val="20"/>
              </w:rPr>
              <w:t>50 000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xml:space="preserve">. č. 1. - včetně litinové sochy Josefa II. vypůjčená od Alšovy jihočeské galerie, výška 2 metry, neznámý autor, pro pojištění této sochy se odchylně od výše uvedeného sjednává spoluúčast ve výši </w:t>
            </w:r>
            <w:proofErr w:type="gramStart"/>
            <w:r w:rsidRPr="00F44D15">
              <w:rPr>
                <w:sz w:val="20"/>
                <w:szCs w:val="20"/>
              </w:rPr>
              <w:t>10%</w:t>
            </w:r>
            <w:proofErr w:type="gramEnd"/>
            <w:r w:rsidRPr="00F44D15">
              <w:rPr>
                <w:sz w:val="20"/>
                <w:szCs w:val="20"/>
              </w:rPr>
              <w:t>,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1276"/>
        <w:gridCol w:w="1105"/>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441EC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1276"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105"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441EC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1CEC5C75" w:rsidR="00847218" w:rsidRPr="00F44D15" w:rsidRDefault="00847218" w:rsidP="00847218">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76"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105"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 xml:space="preserve">poj. nebezpečí dle Článku 2 ZPP </w:t>
            </w:r>
            <w:proofErr w:type="gramStart"/>
            <w:r w:rsidRPr="00F44D15">
              <w:rPr>
                <w:sz w:val="20"/>
                <w:szCs w:val="20"/>
              </w:rPr>
              <w:t>P- 250</w:t>
            </w:r>
            <w:proofErr w:type="gramEnd"/>
            <w:r w:rsidRPr="00F44D15">
              <w:rPr>
                <w:sz w:val="20"/>
                <w:szCs w:val="20"/>
              </w:rPr>
              <w:t>/14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11716CA2" w:rsidR="001132FB" w:rsidRDefault="001132FB" w:rsidP="001132FB">
      <w:pPr>
        <w:ind w:left="284" w:hanging="284"/>
        <w:rPr>
          <w:sz w:val="20"/>
          <w:szCs w:val="20"/>
        </w:rPr>
      </w:pPr>
    </w:p>
    <w:p w14:paraId="4761355A" w14:textId="77777777" w:rsidR="00B95D6C" w:rsidRDefault="00B95D6C" w:rsidP="001132FB">
      <w:pPr>
        <w:ind w:left="284" w:hanging="284"/>
        <w:rPr>
          <w:sz w:val="20"/>
          <w:szCs w:val="20"/>
        </w:rPr>
      </w:pPr>
    </w:p>
    <w:p w14:paraId="47F7F91C" w14:textId="395CD840" w:rsidR="00B95D6C" w:rsidRPr="006368D9" w:rsidRDefault="00B95D6C" w:rsidP="00B95D6C">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B95D6C" w:rsidRPr="006368D9" w14:paraId="54181B8E" w14:textId="77777777" w:rsidTr="00BF7625">
        <w:tc>
          <w:tcPr>
            <w:tcW w:w="9498" w:type="dxa"/>
            <w:gridSpan w:val="7"/>
          </w:tcPr>
          <w:p w14:paraId="0F1C849C" w14:textId="2EDD0F77" w:rsidR="00B95D6C" w:rsidRPr="00B95D6C" w:rsidRDefault="00B95D6C" w:rsidP="00BF7625">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B95D6C" w:rsidRPr="006368D9" w14:paraId="7E4E2263" w14:textId="77777777" w:rsidTr="00BF7625">
        <w:tc>
          <w:tcPr>
            <w:tcW w:w="9498" w:type="dxa"/>
            <w:gridSpan w:val="7"/>
          </w:tcPr>
          <w:p w14:paraId="3BE5E9FB" w14:textId="77777777" w:rsidR="00B95D6C" w:rsidRPr="00B95D6C" w:rsidRDefault="00B95D6C" w:rsidP="00BF7625">
            <w:pPr>
              <w:rPr>
                <w:sz w:val="20"/>
                <w:szCs w:val="20"/>
              </w:rPr>
            </w:pPr>
            <w:r w:rsidRPr="00B95D6C">
              <w:rPr>
                <w:b/>
                <w:sz w:val="20"/>
                <w:szCs w:val="20"/>
              </w:rPr>
              <w:t xml:space="preserve">Pojištění se řídí: </w:t>
            </w:r>
            <w:r w:rsidRPr="00B95D6C">
              <w:rPr>
                <w:sz w:val="20"/>
                <w:szCs w:val="20"/>
              </w:rPr>
              <w:t>VPP P-100/14, ZPP P-320/14 a doložkou DOB103</w:t>
            </w:r>
          </w:p>
        </w:tc>
      </w:tr>
      <w:tr w:rsidR="00B95D6C" w:rsidRPr="006368D9" w14:paraId="7CB22503" w14:textId="77777777" w:rsidTr="00BF7625">
        <w:tc>
          <w:tcPr>
            <w:tcW w:w="709" w:type="dxa"/>
            <w:vAlign w:val="center"/>
          </w:tcPr>
          <w:p w14:paraId="168A38DD" w14:textId="77777777" w:rsidR="00B95D6C" w:rsidRPr="00B95D6C" w:rsidRDefault="00B95D6C" w:rsidP="00BF7625">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FB4245E" w14:textId="77777777" w:rsidR="00B95D6C" w:rsidRPr="00B95D6C" w:rsidRDefault="00B95D6C" w:rsidP="00BF7625">
            <w:pPr>
              <w:jc w:val="center"/>
              <w:rPr>
                <w:b/>
                <w:sz w:val="20"/>
                <w:szCs w:val="20"/>
              </w:rPr>
            </w:pPr>
            <w:r w:rsidRPr="00B95D6C">
              <w:rPr>
                <w:b/>
                <w:sz w:val="20"/>
                <w:szCs w:val="20"/>
              </w:rPr>
              <w:t>Předmět pojištění</w:t>
            </w:r>
          </w:p>
        </w:tc>
        <w:tc>
          <w:tcPr>
            <w:tcW w:w="964" w:type="dxa"/>
            <w:vAlign w:val="center"/>
          </w:tcPr>
          <w:p w14:paraId="4CE3F8D3" w14:textId="77777777" w:rsidR="00B95D6C" w:rsidRPr="00B95D6C" w:rsidRDefault="00B95D6C" w:rsidP="00BF7625">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60CD85DA" w14:textId="77777777" w:rsidR="00B95D6C" w:rsidRPr="00B95D6C" w:rsidRDefault="00B95D6C" w:rsidP="00BF7625">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4794D5CF" w14:textId="77777777" w:rsidR="00B95D6C" w:rsidRPr="00B95D6C" w:rsidRDefault="00B95D6C" w:rsidP="00BF7625">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33DB4955" w14:textId="77777777" w:rsidR="00B95D6C" w:rsidRPr="00B95D6C" w:rsidRDefault="00B95D6C" w:rsidP="00BF7625">
            <w:pPr>
              <w:jc w:val="center"/>
              <w:rPr>
                <w:b/>
                <w:sz w:val="20"/>
                <w:szCs w:val="20"/>
                <w:vertAlign w:val="superscript"/>
              </w:rPr>
            </w:pPr>
            <w:r w:rsidRPr="00B95D6C">
              <w:rPr>
                <w:b/>
                <w:sz w:val="20"/>
                <w:szCs w:val="20"/>
              </w:rPr>
              <w:t>MRLP</w:t>
            </w:r>
            <w:r w:rsidRPr="00B95D6C">
              <w:rPr>
                <w:b/>
                <w:sz w:val="20"/>
                <w:szCs w:val="20"/>
                <w:vertAlign w:val="superscript"/>
              </w:rPr>
              <w:t>3)</w:t>
            </w:r>
          </w:p>
          <w:p w14:paraId="7E990144" w14:textId="77777777" w:rsidR="00B95D6C" w:rsidRPr="00B95D6C" w:rsidRDefault="00B95D6C" w:rsidP="00BF7625">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4ED2812B" w14:textId="77777777" w:rsidR="00B95D6C" w:rsidRPr="00B95D6C" w:rsidRDefault="00B95D6C" w:rsidP="00BF7625">
            <w:pPr>
              <w:jc w:val="center"/>
              <w:rPr>
                <w:b/>
                <w:sz w:val="20"/>
                <w:szCs w:val="20"/>
              </w:rPr>
            </w:pPr>
            <w:r w:rsidRPr="00B95D6C">
              <w:rPr>
                <w:b/>
                <w:sz w:val="20"/>
                <w:szCs w:val="20"/>
              </w:rPr>
              <w:t>MRLP</w:t>
            </w:r>
            <w:r w:rsidRPr="00B95D6C">
              <w:rPr>
                <w:b/>
                <w:sz w:val="20"/>
                <w:szCs w:val="20"/>
                <w:vertAlign w:val="superscript"/>
              </w:rPr>
              <w:t>3)</w:t>
            </w:r>
          </w:p>
        </w:tc>
      </w:tr>
      <w:tr w:rsidR="00B95D6C" w:rsidRPr="006368D9" w14:paraId="33D02AAD" w14:textId="77777777" w:rsidTr="00BF7625">
        <w:tc>
          <w:tcPr>
            <w:tcW w:w="709" w:type="dxa"/>
            <w:vAlign w:val="center"/>
          </w:tcPr>
          <w:p w14:paraId="5942CE7D" w14:textId="77777777" w:rsidR="00B95D6C" w:rsidRPr="00B95D6C" w:rsidRDefault="00B95D6C" w:rsidP="00B95D6C">
            <w:pPr>
              <w:rPr>
                <w:sz w:val="20"/>
                <w:szCs w:val="20"/>
              </w:rPr>
            </w:pPr>
            <w:r w:rsidRPr="00B95D6C">
              <w:rPr>
                <w:sz w:val="20"/>
                <w:szCs w:val="20"/>
              </w:rPr>
              <w:t>1.</w:t>
            </w:r>
          </w:p>
        </w:tc>
        <w:tc>
          <w:tcPr>
            <w:tcW w:w="1588" w:type="dxa"/>
            <w:vAlign w:val="center"/>
          </w:tcPr>
          <w:p w14:paraId="72F8688D" w14:textId="77777777" w:rsidR="00B95D6C" w:rsidRPr="00B95D6C" w:rsidRDefault="00B95D6C" w:rsidP="00B95D6C">
            <w:pPr>
              <w:rPr>
                <w:sz w:val="20"/>
                <w:szCs w:val="20"/>
              </w:rPr>
            </w:pPr>
            <w:r w:rsidRPr="00B95D6C">
              <w:rPr>
                <w:sz w:val="20"/>
                <w:szCs w:val="20"/>
              </w:rPr>
              <w:t>Soubor vlastních elektronických zařízení</w:t>
            </w:r>
          </w:p>
        </w:tc>
        <w:tc>
          <w:tcPr>
            <w:tcW w:w="964" w:type="dxa"/>
            <w:vAlign w:val="center"/>
          </w:tcPr>
          <w:p w14:paraId="3ECFCC94" w14:textId="77777777" w:rsidR="00B95D6C" w:rsidRPr="00B95D6C" w:rsidRDefault="00B95D6C" w:rsidP="00B95D6C">
            <w:pPr>
              <w:rPr>
                <w:sz w:val="20"/>
                <w:szCs w:val="20"/>
              </w:rPr>
            </w:pPr>
          </w:p>
        </w:tc>
        <w:tc>
          <w:tcPr>
            <w:tcW w:w="1417" w:type="dxa"/>
            <w:vAlign w:val="center"/>
          </w:tcPr>
          <w:p w14:paraId="44E81E36" w14:textId="462E95A8" w:rsidR="00B95D6C" w:rsidRPr="00FC2A03" w:rsidRDefault="00441EC8" w:rsidP="00B95D6C">
            <w:pPr>
              <w:spacing w:line="480" w:lineRule="auto"/>
              <w:rPr>
                <w:sz w:val="20"/>
                <w:szCs w:val="20"/>
              </w:rPr>
            </w:pPr>
            <w:r w:rsidRPr="00FC2A03">
              <w:rPr>
                <w:sz w:val="20"/>
                <w:szCs w:val="20"/>
              </w:rPr>
              <w:t>200 000 Kč</w:t>
            </w:r>
          </w:p>
        </w:tc>
        <w:tc>
          <w:tcPr>
            <w:tcW w:w="1559" w:type="dxa"/>
            <w:vAlign w:val="center"/>
          </w:tcPr>
          <w:p w14:paraId="17DBCC4B" w14:textId="77777777" w:rsidR="00B95D6C" w:rsidRPr="00B95D6C" w:rsidRDefault="00B95D6C" w:rsidP="00B95D6C">
            <w:pPr>
              <w:rPr>
                <w:sz w:val="20"/>
                <w:szCs w:val="20"/>
                <w:vertAlign w:val="superscript"/>
              </w:rPr>
            </w:pPr>
            <w:r w:rsidRPr="00B95D6C">
              <w:rPr>
                <w:sz w:val="20"/>
                <w:szCs w:val="20"/>
                <w:vertAlign w:val="superscript"/>
              </w:rPr>
              <w:t>*)</w:t>
            </w:r>
          </w:p>
        </w:tc>
        <w:tc>
          <w:tcPr>
            <w:tcW w:w="1701" w:type="dxa"/>
            <w:vAlign w:val="center"/>
          </w:tcPr>
          <w:p w14:paraId="66392871" w14:textId="3157F0D2" w:rsidR="00B95D6C" w:rsidRPr="00B95D6C" w:rsidRDefault="00B95D6C" w:rsidP="00B95D6C">
            <w:pPr>
              <w:rPr>
                <w:sz w:val="20"/>
                <w:szCs w:val="20"/>
              </w:rPr>
            </w:pPr>
            <w:r w:rsidRPr="00B95D6C">
              <w:rPr>
                <w:rFonts w:cs="Arial"/>
                <w:sz w:val="20"/>
                <w:szCs w:val="20"/>
              </w:rPr>
              <w:t>1</w:t>
            </w:r>
            <w:r w:rsidR="00AF6F51">
              <w:rPr>
                <w:rFonts w:cs="Arial"/>
                <w:sz w:val="20"/>
                <w:szCs w:val="20"/>
              </w:rPr>
              <w:t>3</w:t>
            </w:r>
            <w:r w:rsidRPr="00B95D6C">
              <w:rPr>
                <w:rFonts w:cs="Arial"/>
                <w:sz w:val="20"/>
                <w:szCs w:val="20"/>
              </w:rPr>
              <w:t> 000 000 Kč</w:t>
            </w:r>
          </w:p>
        </w:tc>
        <w:tc>
          <w:tcPr>
            <w:tcW w:w="1560" w:type="dxa"/>
            <w:vAlign w:val="center"/>
          </w:tcPr>
          <w:p w14:paraId="39D17707" w14:textId="0D1526E4" w:rsidR="00B95D6C" w:rsidRPr="00B95D6C" w:rsidRDefault="00B95D6C" w:rsidP="00B95D6C">
            <w:pPr>
              <w:rPr>
                <w:sz w:val="20"/>
                <w:szCs w:val="20"/>
              </w:rPr>
            </w:pPr>
            <w:r w:rsidRPr="00B95D6C">
              <w:rPr>
                <w:rFonts w:cs="Arial"/>
                <w:sz w:val="20"/>
                <w:szCs w:val="20"/>
              </w:rPr>
              <w:t>nesjednává se</w:t>
            </w:r>
          </w:p>
        </w:tc>
      </w:tr>
      <w:tr w:rsidR="00B95D6C" w:rsidRPr="006368D9" w14:paraId="6DD64F75" w14:textId="77777777" w:rsidTr="00BF7625">
        <w:tc>
          <w:tcPr>
            <w:tcW w:w="9498" w:type="dxa"/>
            <w:gridSpan w:val="7"/>
          </w:tcPr>
          <w:p w14:paraId="5401EE3C" w14:textId="77777777" w:rsidR="00B95D6C" w:rsidRDefault="00B95D6C" w:rsidP="00BF7625">
            <w:pPr>
              <w:rPr>
                <w:sz w:val="20"/>
                <w:szCs w:val="20"/>
              </w:rPr>
            </w:pPr>
            <w:r w:rsidRPr="00793522">
              <w:rPr>
                <w:sz w:val="20"/>
                <w:szCs w:val="20"/>
              </w:rPr>
              <w:t>Poznámky:</w:t>
            </w:r>
          </w:p>
          <w:p w14:paraId="691D6742" w14:textId="77777777" w:rsidR="00B95D6C" w:rsidRPr="00BE6289" w:rsidRDefault="00B95D6C" w:rsidP="00BF7625">
            <w:pPr>
              <w:jc w:val="both"/>
              <w:rPr>
                <w:i/>
                <w:sz w:val="20"/>
                <w:szCs w:val="20"/>
              </w:rPr>
            </w:pPr>
            <w:r w:rsidRPr="00BE6289">
              <w:rPr>
                <w:i/>
                <w:sz w:val="20"/>
                <w:szCs w:val="20"/>
              </w:rPr>
              <w:lastRenderedPageBreak/>
              <w:t>Ujednává se, že se ustanovení čl. 3 odst. 2) písm. h) ZPP P-320/14 ruší a nově zní:</w:t>
            </w:r>
          </w:p>
          <w:p w14:paraId="2B001E02" w14:textId="77777777" w:rsidR="00B95D6C" w:rsidRDefault="00B95D6C" w:rsidP="00BF7625">
            <w:pPr>
              <w:rPr>
                <w:i/>
                <w:sz w:val="20"/>
                <w:szCs w:val="20"/>
              </w:rPr>
            </w:pPr>
            <w:r w:rsidRPr="00BE6289">
              <w:rPr>
                <w:i/>
                <w:sz w:val="20"/>
                <w:szCs w:val="20"/>
              </w:rPr>
              <w:t>„Z pojištění nevzniká právo na plnění pojistitele za škody vzniklé na pojištěném zařízení během jeho přepravy jako nákladu.“</w:t>
            </w:r>
          </w:p>
          <w:p w14:paraId="69273341" w14:textId="3D678B41" w:rsidR="00B95D6C" w:rsidRDefault="00B95D6C" w:rsidP="00BF7625">
            <w:pPr>
              <w:rPr>
                <w:sz w:val="20"/>
                <w:szCs w:val="20"/>
              </w:rPr>
            </w:pPr>
          </w:p>
          <w:p w14:paraId="48560106" w14:textId="09AECF0E" w:rsidR="00DA303C" w:rsidRDefault="00DA303C" w:rsidP="00BF7625">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sidR="007A02B7">
              <w:rPr>
                <w:i/>
                <w:sz w:val="20"/>
                <w:szCs w:val="20"/>
              </w:rPr>
              <w:t>4</w:t>
            </w:r>
            <w:r w:rsidRPr="00BE6289">
              <w:rPr>
                <w:i/>
                <w:sz w:val="20"/>
                <w:szCs w:val="20"/>
              </w:rPr>
              <w:t>) ZPP P-320/14 ruší a nově zní:</w:t>
            </w:r>
          </w:p>
          <w:p w14:paraId="280F4BA9" w14:textId="22C5DA6D" w:rsidR="00DA303C" w:rsidRPr="00793522" w:rsidRDefault="00DA303C" w:rsidP="00BF7625">
            <w:pPr>
              <w:rPr>
                <w:sz w:val="20"/>
                <w:szCs w:val="20"/>
              </w:rPr>
            </w:pPr>
            <w:r w:rsidRPr="00404260">
              <w:rPr>
                <w:sz w:val="20"/>
                <w:szCs w:val="22"/>
              </w:rPr>
              <w:t>V případě pojištění souboru se pojištění vztahuje pouze na zařízení, jejichž stáří nepřesáhlo v době vzniku škody 5 let</w:t>
            </w:r>
            <w:r w:rsidR="007A02B7" w:rsidRPr="00404260">
              <w:rPr>
                <w:sz w:val="20"/>
                <w:szCs w:val="22"/>
              </w:rPr>
              <w:t>, resp. 10 let v případě zdravotnických přístrojů</w:t>
            </w:r>
            <w:r w:rsidRPr="00404260">
              <w:rPr>
                <w:sz w:val="20"/>
                <w:szCs w:val="22"/>
              </w:rPr>
              <w:t xml:space="preserve">.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w:t>
            </w:r>
            <w:proofErr w:type="gramStart"/>
            <w:r w:rsidRPr="00404260">
              <w:rPr>
                <w:sz w:val="20"/>
                <w:szCs w:val="22"/>
              </w:rPr>
              <w:t>5 leté</w:t>
            </w:r>
            <w:proofErr w:type="gramEnd"/>
            <w:r w:rsidR="007A02B7" w:rsidRPr="00404260">
              <w:rPr>
                <w:sz w:val="20"/>
                <w:szCs w:val="22"/>
              </w:rPr>
              <w:t xml:space="preserve">, resp. 10 leté </w:t>
            </w:r>
            <w:r w:rsidRPr="00404260">
              <w:rPr>
                <w:sz w:val="20"/>
                <w:szCs w:val="22"/>
              </w:rPr>
              <w:t>doby stáří zařízení nezapočítává</w:t>
            </w:r>
            <w:r w:rsidR="00404260" w:rsidRPr="00404260">
              <w:rPr>
                <w:sz w:val="20"/>
                <w:szCs w:val="22"/>
              </w:rPr>
              <w:t>.</w:t>
            </w:r>
          </w:p>
        </w:tc>
      </w:tr>
    </w:tbl>
    <w:p w14:paraId="114851F8" w14:textId="51B33D21" w:rsidR="008D704F" w:rsidRPr="00F44D15" w:rsidRDefault="00B95D6C" w:rsidP="001132FB">
      <w:pPr>
        <w:ind w:left="284" w:hanging="284"/>
        <w:rPr>
          <w:sz w:val="20"/>
          <w:szCs w:val="20"/>
        </w:rPr>
      </w:pPr>
      <w:r w:rsidRPr="006368D9">
        <w:rPr>
          <w:sz w:val="16"/>
          <w:szCs w:val="16"/>
        </w:rPr>
        <w:lastRenderedPageBreak/>
        <w:t>*</w:t>
      </w:r>
      <w:r>
        <w:rPr>
          <w:sz w:val="16"/>
          <w:szCs w:val="16"/>
        </w:rPr>
        <w:t>)</w:t>
      </w:r>
      <w:r w:rsidRPr="006368D9">
        <w:rPr>
          <w:sz w:val="16"/>
          <w:szCs w:val="16"/>
        </w:rPr>
        <w:t xml:space="preserve"> není-li uvedeno, sjednává se pojištění s pojistnou hodnotou uvedenou v příslušných pojistných podmínkách</w:t>
      </w: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26C2E32C"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 xml:space="preserve">MRLP je horní hranicí pojistného plnění v souhrnu ze všech pojistných událostí vzniklých v jednom pojistném roce. Je-li pojištění sjednáno na dobu </w:t>
      </w:r>
      <w:r w:rsidR="00D67C00" w:rsidRPr="00F44D15">
        <w:rPr>
          <w:rFonts w:cs="Arial"/>
          <w:bCs/>
          <w:sz w:val="18"/>
        </w:rPr>
        <w:t>kratší,</w:t>
      </w:r>
      <w:r w:rsidRPr="00F44D15">
        <w:rPr>
          <w:rFonts w:cs="Arial"/>
          <w:bCs/>
          <w:sz w:val="18"/>
        </w:rPr>
        <w:t xml:space="preserve">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77777777"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w:t>
      </w:r>
      <w:r w:rsidRPr="00F44D15">
        <w:rPr>
          <w:sz w:val="20"/>
          <w:szCs w:val="20"/>
        </w:rPr>
        <w:lastRenderedPageBreak/>
        <w:t>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26C963F0" w14:textId="5FBBDCFE" w:rsidR="00ED3BD2" w:rsidRPr="00F44D15" w:rsidRDefault="00ED3BD2" w:rsidP="00ED3BD2">
      <w:pPr>
        <w:keepNext/>
        <w:numPr>
          <w:ilvl w:val="0"/>
          <w:numId w:val="12"/>
        </w:numPr>
        <w:tabs>
          <w:tab w:val="left" w:pos="-1560"/>
        </w:tabs>
        <w:spacing w:before="120"/>
        <w:jc w:val="both"/>
        <w:rPr>
          <w:rFonts w:cs="Arial"/>
          <w:b/>
          <w:sz w:val="20"/>
        </w:rPr>
      </w:pPr>
      <w:r w:rsidRPr="00F44D15">
        <w:rPr>
          <w:rFonts w:cs="Arial"/>
          <w:b/>
          <w:sz w:val="20"/>
        </w:rPr>
        <w:t xml:space="preserve">Pojistné za </w:t>
      </w:r>
      <w:r w:rsidR="00D35866">
        <w:rPr>
          <w:rFonts w:cs="Arial"/>
          <w:b/>
          <w:sz w:val="20"/>
        </w:rPr>
        <w:t xml:space="preserve">změny provedené tímto dodatkem od </w:t>
      </w:r>
      <w:r w:rsidR="00A52B71">
        <w:rPr>
          <w:rFonts w:cs="Arial"/>
          <w:b/>
          <w:sz w:val="20"/>
        </w:rPr>
        <w:t>22. 8. 2025 do</w:t>
      </w:r>
      <w:r w:rsidRPr="00F44D15">
        <w:rPr>
          <w:rFonts w:cs="Arial"/>
          <w:b/>
          <w:sz w:val="20"/>
        </w:rPr>
        <w:t xml:space="preserve"> 1</w:t>
      </w:r>
      <w:r w:rsidR="00EA58C8">
        <w:rPr>
          <w:rFonts w:cs="Arial"/>
          <w:b/>
          <w:sz w:val="20"/>
        </w:rPr>
        <w:t>4</w:t>
      </w:r>
      <w:r w:rsidRPr="00F44D15">
        <w:rPr>
          <w:rFonts w:cs="Arial"/>
          <w:b/>
          <w:sz w:val="20"/>
        </w:rPr>
        <w:t>. 5. 202</w:t>
      </w:r>
      <w:r w:rsidR="00A52B71">
        <w:rPr>
          <w:rFonts w:cs="Arial"/>
          <w:b/>
          <w:sz w:val="20"/>
        </w:rPr>
        <w:t>6</w:t>
      </w:r>
      <w:r w:rsidRPr="00F44D15">
        <w:rPr>
          <w:rFonts w:cs="Arial"/>
          <w:b/>
          <w:sz w:val="20"/>
        </w:rPr>
        <w:t xml:space="preserve"> činí:</w:t>
      </w:r>
    </w:p>
    <w:p w14:paraId="170BBDD7"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Živelní pojištění</w:t>
      </w:r>
    </w:p>
    <w:p w14:paraId="387E97CE" w14:textId="6C4507AE"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r>
      <w:r w:rsidR="00776082">
        <w:rPr>
          <w:rFonts w:cs="Arial"/>
          <w:sz w:val="20"/>
        </w:rPr>
        <w:t>8</w:t>
      </w:r>
      <w:r w:rsidR="00696009">
        <w:rPr>
          <w:rFonts w:cs="Arial"/>
          <w:sz w:val="20"/>
        </w:rPr>
        <w:t>9 175</w:t>
      </w:r>
      <w:r w:rsidRPr="00F44D15">
        <w:rPr>
          <w:rFonts w:cs="Arial"/>
          <w:sz w:val="20"/>
        </w:rPr>
        <w:t xml:space="preserve"> Kč</w:t>
      </w:r>
    </w:p>
    <w:p w14:paraId="33A1FEBB" w14:textId="77777777" w:rsidR="002244A7" w:rsidRPr="00F44D15" w:rsidRDefault="002244A7" w:rsidP="00ED3BD2">
      <w:pPr>
        <w:numPr>
          <w:ilvl w:val="12"/>
          <w:numId w:val="0"/>
        </w:numPr>
        <w:tabs>
          <w:tab w:val="right" w:leader="dot" w:pos="9638"/>
        </w:tabs>
        <w:ind w:left="425"/>
        <w:jc w:val="both"/>
        <w:rPr>
          <w:rFonts w:cs="Arial"/>
          <w:sz w:val="20"/>
        </w:rPr>
      </w:pPr>
    </w:p>
    <w:p w14:paraId="529AB486" w14:textId="76A93863" w:rsidR="00ED3BD2" w:rsidRPr="00F44D15" w:rsidRDefault="00ED3BD2" w:rsidP="00ED3BD2">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w:t>
      </w:r>
      <w:r w:rsidR="00EA58C8">
        <w:rPr>
          <w:rFonts w:cs="Arial"/>
          <w:b/>
          <w:sz w:val="20"/>
        </w:rPr>
        <w:t xml:space="preserve">změny provedené tímto dodatkem </w:t>
      </w:r>
      <w:r w:rsidRPr="00F44D15">
        <w:rPr>
          <w:rFonts w:cs="Arial"/>
          <w:b/>
          <w:sz w:val="20"/>
        </w:rPr>
        <w:t xml:space="preserve">činí </w:t>
      </w:r>
      <w:r w:rsidRPr="00F44D15">
        <w:rPr>
          <w:rFonts w:cs="Arial"/>
          <w:b/>
          <w:sz w:val="20"/>
        </w:rPr>
        <w:tab/>
        <w:t xml:space="preserve"> </w:t>
      </w:r>
      <w:r w:rsidR="00776082">
        <w:rPr>
          <w:rFonts w:cs="Arial"/>
          <w:b/>
          <w:sz w:val="20"/>
        </w:rPr>
        <w:t>8</w:t>
      </w:r>
      <w:r w:rsidR="00696009">
        <w:rPr>
          <w:rFonts w:cs="Arial"/>
          <w:b/>
          <w:sz w:val="20"/>
        </w:rPr>
        <w:t>9 175</w:t>
      </w:r>
      <w:r w:rsidR="00441EC8" w:rsidRPr="002F2422">
        <w:rPr>
          <w:rFonts w:cs="Arial"/>
          <w:b/>
          <w:sz w:val="20"/>
        </w:rPr>
        <w:t xml:space="preserve"> </w:t>
      </w:r>
      <w:r w:rsidRPr="002F2422">
        <w:rPr>
          <w:rFonts w:cs="Arial"/>
          <w:b/>
          <w:sz w:val="20"/>
        </w:rPr>
        <w:t>Kč</w:t>
      </w:r>
    </w:p>
    <w:p w14:paraId="7BC45E5D" w14:textId="77777777" w:rsidR="00ED3BD2" w:rsidRPr="00F44D15" w:rsidRDefault="00ED3BD2" w:rsidP="00ED3BD2">
      <w:pPr>
        <w:keepNext/>
        <w:tabs>
          <w:tab w:val="left" w:pos="-1560"/>
        </w:tabs>
        <w:jc w:val="both"/>
        <w:rPr>
          <w:rFonts w:cs="Arial"/>
          <w:b/>
          <w:sz w:val="20"/>
        </w:rPr>
      </w:pPr>
    </w:p>
    <w:p w14:paraId="37652174" w14:textId="75AAAAA4" w:rsidR="00ED3BD2" w:rsidRPr="00F44D15" w:rsidRDefault="00ED3BD2" w:rsidP="00ED3BD2">
      <w:pPr>
        <w:keepNext/>
        <w:numPr>
          <w:ilvl w:val="0"/>
          <w:numId w:val="20"/>
        </w:numPr>
        <w:tabs>
          <w:tab w:val="left" w:pos="-1560"/>
        </w:tabs>
        <w:jc w:val="both"/>
        <w:rPr>
          <w:rFonts w:cs="Arial"/>
          <w:b/>
          <w:sz w:val="20"/>
        </w:rPr>
      </w:pPr>
      <w:r w:rsidRPr="00F44D15">
        <w:rPr>
          <w:rFonts w:cs="Arial"/>
          <w:sz w:val="20"/>
        </w:rPr>
        <w:t xml:space="preserve">Pojistné </w:t>
      </w:r>
      <w:r w:rsidR="00EA58C8">
        <w:rPr>
          <w:rFonts w:cs="Arial"/>
          <w:sz w:val="20"/>
        </w:rPr>
        <w:t>ve výši</w:t>
      </w:r>
      <w:r w:rsidR="00696009">
        <w:rPr>
          <w:rFonts w:cs="Arial"/>
          <w:sz w:val="20"/>
        </w:rPr>
        <w:t xml:space="preserve"> </w:t>
      </w:r>
      <w:r w:rsidR="00776082">
        <w:rPr>
          <w:rFonts w:cs="Arial"/>
          <w:sz w:val="20"/>
        </w:rPr>
        <w:t>8</w:t>
      </w:r>
      <w:r w:rsidR="00696009">
        <w:rPr>
          <w:rFonts w:cs="Arial"/>
          <w:sz w:val="20"/>
        </w:rPr>
        <w:t>9 175</w:t>
      </w:r>
      <w:r w:rsidR="00EA58C8">
        <w:rPr>
          <w:rFonts w:cs="Arial"/>
          <w:sz w:val="20"/>
        </w:rPr>
        <w:t xml:space="preserve"> Kč je splatné ke dni </w:t>
      </w:r>
      <w:r w:rsidR="00951266">
        <w:rPr>
          <w:rFonts w:cs="Arial"/>
          <w:sz w:val="20"/>
        </w:rPr>
        <w:t>15. 9. 2025</w:t>
      </w:r>
      <w:r w:rsidRPr="00F44D15">
        <w:rPr>
          <w:rFonts w:cs="Arial"/>
          <w:sz w:val="20"/>
        </w:rPr>
        <w:t>.</w:t>
      </w:r>
    </w:p>
    <w:p w14:paraId="5F7307B9" w14:textId="76E54743" w:rsidR="003725E1" w:rsidRPr="00F44D15" w:rsidRDefault="00ED3BD2" w:rsidP="00ED3BD2">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7720904410</w:t>
      </w:r>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77777777" w:rsidR="001C6B2C" w:rsidRPr="00F44D15" w:rsidRDefault="001C6B2C" w:rsidP="001C6B2C">
      <w:pPr>
        <w:spacing w:before="60" w:after="60"/>
        <w:ind w:left="425"/>
        <w:rPr>
          <w:sz w:val="20"/>
        </w:rPr>
      </w:pPr>
      <w:r w:rsidRPr="00F44D15">
        <w:rPr>
          <w:sz w:val="20"/>
        </w:rPr>
        <w:t>tel.: 957 105 105</w:t>
      </w:r>
    </w:p>
    <w:p w14:paraId="09C050E5" w14:textId="77777777" w:rsidR="001C6B2C" w:rsidRPr="00F44D15" w:rsidRDefault="001C6B2C" w:rsidP="001C6B2C">
      <w:pPr>
        <w:spacing w:after="60"/>
        <w:ind w:left="425"/>
        <w:rPr>
          <w:sz w:val="20"/>
        </w:rPr>
      </w:pPr>
      <w:r w:rsidRPr="00F44D15">
        <w:rPr>
          <w:sz w:val="20"/>
        </w:rPr>
        <w:t>fax: 547 212 602, 547 212 561</w:t>
      </w:r>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t>Na výzvu pojistitele je pojistník (pojištěný nebo jakákoliv jiná osoba) povinen oznámit vznik škodné události písemnou formou</w:t>
      </w:r>
      <w:r w:rsidR="003725E1" w:rsidRPr="00F44D15">
        <w:t>.</w:t>
      </w:r>
    </w:p>
    <w:p w14:paraId="05FBDFE1" w14:textId="03381EE2"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lastRenderedPageBreak/>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w:t>
      </w:r>
      <w:proofErr w:type="gramStart"/>
      <w:r w:rsidRPr="00F44D15">
        <w:rPr>
          <w:sz w:val="20"/>
        </w:rPr>
        <w:t xml:space="preserve">užívaného - </w:t>
      </w:r>
      <w:r w:rsidRPr="00F44D15">
        <w:rPr>
          <w:sz w:val="20"/>
          <w:szCs w:val="20"/>
        </w:rPr>
        <w:t>lit</w:t>
      </w:r>
      <w:r w:rsidR="00B7187A" w:rsidRPr="00F44D15">
        <w:rPr>
          <w:sz w:val="20"/>
          <w:szCs w:val="20"/>
        </w:rPr>
        <w:t>inové</w:t>
      </w:r>
      <w:proofErr w:type="gramEnd"/>
      <w:r w:rsidR="00B7187A" w:rsidRPr="00F44D15">
        <w:rPr>
          <w:sz w:val="20"/>
          <w:szCs w:val="20"/>
        </w:rPr>
        <w:t xml:space="preserve">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lastRenderedPageBreak/>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4476AD67" w14:textId="3E2ABFD8" w:rsidR="00951266" w:rsidRPr="00951266" w:rsidRDefault="00951266" w:rsidP="00951266">
      <w:pPr>
        <w:pStyle w:val="Odstavecseseznamem"/>
        <w:numPr>
          <w:ilvl w:val="0"/>
          <w:numId w:val="15"/>
        </w:numPr>
        <w:spacing w:before="120" w:after="120" w:line="240" w:lineRule="auto"/>
        <w:contextualSpacing w:val="0"/>
        <w:jc w:val="both"/>
        <w:rPr>
          <w:rFonts w:ascii="Koop Office" w:hAnsi="Koop Office"/>
          <w:sz w:val="20"/>
        </w:rPr>
      </w:pPr>
      <w:r w:rsidRPr="00951266">
        <w:rPr>
          <w:rFonts w:ascii="Koop Office" w:hAnsi="Koop Office"/>
          <w:sz w:val="20"/>
        </w:rPr>
        <w:t xml:space="preserve">Pojištění </w:t>
      </w:r>
      <w:r w:rsidR="001649C2">
        <w:rPr>
          <w:rFonts w:ascii="Koop Office" w:hAnsi="Koop Office"/>
          <w:sz w:val="20"/>
        </w:rPr>
        <w:t xml:space="preserve">se </w:t>
      </w:r>
      <w:r w:rsidRPr="00951266">
        <w:rPr>
          <w:rFonts w:ascii="Koop Office" w:hAnsi="Koop Office"/>
          <w:sz w:val="20"/>
        </w:rPr>
        <w:t>vztahuje i na věci umělecké, historické nebo sběratelské hodnoty, které jsou součástí nebo příslušenstvím budov nebo staveb</w:t>
      </w:r>
      <w:r w:rsidR="001649C2">
        <w:rPr>
          <w:rFonts w:ascii="Koop Office" w:hAnsi="Koop Office"/>
          <w:sz w:val="20"/>
        </w:rPr>
        <w:t xml:space="preserve"> na místě pojištění: </w:t>
      </w:r>
      <w:r w:rsidR="00211CA1" w:rsidRPr="00211CA1">
        <w:rPr>
          <w:rFonts w:ascii="Koop Office" w:hAnsi="Koop Office"/>
          <w:sz w:val="20"/>
        </w:rPr>
        <w:t xml:space="preserve">objekt tzv. Faustův dům č.p. 502 – parcely 1648/6, 1643/1, 1648/5, 1648/1 a 1648/4 </w:t>
      </w:r>
      <w:proofErr w:type="spellStart"/>
      <w:r w:rsidR="00211CA1" w:rsidRPr="00211CA1">
        <w:rPr>
          <w:rFonts w:ascii="Koop Office" w:hAnsi="Koop Office"/>
          <w:sz w:val="20"/>
        </w:rPr>
        <w:t>k.ú</w:t>
      </w:r>
      <w:proofErr w:type="spellEnd"/>
      <w:r w:rsidR="00211CA1" w:rsidRPr="00211CA1">
        <w:rPr>
          <w:rFonts w:ascii="Koop Office" w:hAnsi="Koop Office"/>
          <w:sz w:val="20"/>
        </w:rPr>
        <w:t>. Nové Město v katastrálním území Nové Město</w:t>
      </w:r>
      <w:r w:rsidR="00211CA1">
        <w:rPr>
          <w:rFonts w:ascii="Koop Office" w:hAnsi="Koop Office"/>
          <w:sz w:val="20"/>
        </w:rPr>
        <w:t xml:space="preserve"> </w:t>
      </w:r>
      <w:r w:rsidRPr="00951266">
        <w:rPr>
          <w:rFonts w:ascii="Koop Office" w:hAnsi="Koop Office"/>
          <w:sz w:val="20"/>
        </w:rPr>
        <w:t>pojištěných</w:t>
      </w:r>
      <w:r w:rsidR="006F008A">
        <w:rPr>
          <w:rFonts w:ascii="Koop Office" w:hAnsi="Koop Office"/>
          <w:sz w:val="20"/>
        </w:rPr>
        <w:t xml:space="preserve"> v rámci </w:t>
      </w:r>
      <w:r w:rsidRPr="00951266">
        <w:rPr>
          <w:rFonts w:ascii="Koop Office" w:hAnsi="Koop Office"/>
          <w:sz w:val="20"/>
        </w:rPr>
        <w:t>čl. II. tabul</w:t>
      </w:r>
      <w:r w:rsidR="006F008A">
        <w:rPr>
          <w:rFonts w:ascii="Koop Office" w:hAnsi="Koop Office"/>
          <w:sz w:val="20"/>
        </w:rPr>
        <w:t>ky</w:t>
      </w:r>
      <w:r w:rsidRPr="00951266">
        <w:rPr>
          <w:rFonts w:ascii="Koop Office" w:hAnsi="Koop Office"/>
          <w:sz w:val="20"/>
        </w:rPr>
        <w:t xml:space="preserve"> </w:t>
      </w:r>
      <w:r w:rsidR="00211CA1">
        <w:rPr>
          <w:rFonts w:ascii="Koop Office" w:hAnsi="Koop Office"/>
          <w:sz w:val="20"/>
        </w:rPr>
        <w:t>2</w:t>
      </w:r>
      <w:r w:rsidRPr="00951266">
        <w:rPr>
          <w:rFonts w:ascii="Koop Office" w:hAnsi="Koop Office"/>
          <w:sz w:val="20"/>
        </w:rPr>
        <w:t>.</w:t>
      </w:r>
      <w:r w:rsidR="00211CA1">
        <w:rPr>
          <w:rFonts w:ascii="Koop Office" w:hAnsi="Koop Office"/>
          <w:sz w:val="20"/>
        </w:rPr>
        <w:t>1.1</w:t>
      </w:r>
      <w:r w:rsidRPr="00951266">
        <w:rPr>
          <w:rFonts w:ascii="Koop Office" w:hAnsi="Koop Office"/>
          <w:sz w:val="20"/>
        </w:rPr>
        <w:t xml:space="preserve"> pod </w:t>
      </w:r>
      <w:proofErr w:type="spellStart"/>
      <w:r w:rsidRPr="00951266">
        <w:rPr>
          <w:rFonts w:ascii="Koop Office" w:hAnsi="Koop Office"/>
          <w:sz w:val="20"/>
        </w:rPr>
        <w:t>poř</w:t>
      </w:r>
      <w:proofErr w:type="spellEnd"/>
      <w:r w:rsidRPr="00951266">
        <w:rPr>
          <w:rFonts w:ascii="Koop Office" w:hAnsi="Koop Office"/>
          <w:sz w:val="20"/>
        </w:rPr>
        <w:t>. č.</w:t>
      </w:r>
      <w:r w:rsidR="006F008A">
        <w:rPr>
          <w:rFonts w:ascii="Koop Office" w:hAnsi="Koop Office"/>
          <w:sz w:val="20"/>
        </w:rPr>
        <w:t>1</w:t>
      </w:r>
      <w:r w:rsidRPr="00951266">
        <w:rPr>
          <w:rFonts w:ascii="Koop Office" w:hAnsi="Koop Office"/>
          <w:sz w:val="20"/>
        </w:rPr>
        <w:t xml:space="preserve">. </w:t>
      </w:r>
      <w:r w:rsidR="006F008A">
        <w:rPr>
          <w:rFonts w:ascii="Koop Office" w:hAnsi="Koop Office"/>
          <w:sz w:val="20"/>
        </w:rPr>
        <w:t>tohoto dodatku</w:t>
      </w:r>
      <w:r w:rsidRPr="00951266">
        <w:rPr>
          <w:rFonts w:ascii="Koop Office" w:hAnsi="Koop Office"/>
          <w:sz w:val="20"/>
        </w:rPr>
        <w:t>.</w:t>
      </w:r>
    </w:p>
    <w:p w14:paraId="17E72D59" w14:textId="77777777" w:rsidR="00951266" w:rsidRPr="00951266" w:rsidRDefault="00951266" w:rsidP="00951266">
      <w:pPr>
        <w:pStyle w:val="Odstavecseseznamem"/>
        <w:spacing w:before="120" w:after="120" w:line="240" w:lineRule="auto"/>
        <w:ind w:left="425"/>
        <w:contextualSpacing w:val="0"/>
        <w:jc w:val="both"/>
        <w:rPr>
          <w:rFonts w:ascii="Koop Office" w:hAnsi="Koop Office"/>
          <w:sz w:val="20"/>
        </w:rPr>
      </w:pPr>
      <w:r w:rsidRPr="00951266">
        <w:rPr>
          <w:rFonts w:ascii="Koop Office" w:hAnsi="Koop Office"/>
          <w:sz w:val="20"/>
        </w:rPr>
        <w:t>Vznikne-li pojistná událost na věci umělecké nebo historické hodnoty vyplatí pojistitel v případě:</w:t>
      </w:r>
    </w:p>
    <w:p w14:paraId="1AC37C83" w14:textId="77777777" w:rsidR="00951266" w:rsidRPr="00951266" w:rsidRDefault="00951266" w:rsidP="00951266">
      <w:pPr>
        <w:pStyle w:val="Odstavecseseznamem"/>
        <w:spacing w:before="120" w:after="120" w:line="240" w:lineRule="auto"/>
        <w:ind w:left="425"/>
        <w:contextualSpacing w:val="0"/>
        <w:jc w:val="both"/>
        <w:rPr>
          <w:rFonts w:ascii="Koop Office" w:hAnsi="Koop Office"/>
          <w:sz w:val="20"/>
        </w:rPr>
      </w:pPr>
      <w:r w:rsidRPr="00951266">
        <w:rPr>
          <w:rFonts w:ascii="Koop Office" w:hAnsi="Koop Office"/>
          <w:sz w:val="20"/>
        </w:rPr>
        <w:t>poškození částku odpovídající přiměřeným nákladům na její uvedení do původního stavu opravou/restaurováním,</w:t>
      </w:r>
    </w:p>
    <w:p w14:paraId="588C6483" w14:textId="77777777" w:rsidR="00951266" w:rsidRPr="00951266" w:rsidRDefault="00951266" w:rsidP="00951266">
      <w:pPr>
        <w:pStyle w:val="Odstavecseseznamem"/>
        <w:spacing w:before="120" w:after="120" w:line="240" w:lineRule="auto"/>
        <w:ind w:left="425"/>
        <w:contextualSpacing w:val="0"/>
        <w:jc w:val="both"/>
        <w:rPr>
          <w:rFonts w:ascii="Koop Office" w:hAnsi="Koop Office"/>
          <w:sz w:val="20"/>
        </w:rPr>
      </w:pPr>
      <w:r w:rsidRPr="00951266">
        <w:rPr>
          <w:rFonts w:ascii="Koop Office" w:hAnsi="Koop Office"/>
          <w:sz w:val="20"/>
        </w:rPr>
        <w:t>zničení, odcizení nebo ztráty částku vynaloženou na výrobu řemeslné repliky této věci v provedení a kvalitě použitého materiálu maximálně odpovídající původnímu stavu.</w:t>
      </w:r>
    </w:p>
    <w:p w14:paraId="1CF8D4E7" w14:textId="77777777" w:rsidR="00951266" w:rsidRPr="00951266" w:rsidRDefault="00951266" w:rsidP="00951266">
      <w:pPr>
        <w:pStyle w:val="Odstavecseseznamem"/>
        <w:spacing w:before="120" w:after="120" w:line="240" w:lineRule="auto"/>
        <w:ind w:left="425"/>
        <w:contextualSpacing w:val="0"/>
        <w:jc w:val="both"/>
        <w:rPr>
          <w:rFonts w:ascii="Koop Office" w:hAnsi="Koop Office"/>
          <w:sz w:val="20"/>
        </w:rPr>
      </w:pPr>
      <w:r w:rsidRPr="00951266">
        <w:rPr>
          <w:rFonts w:ascii="Koop Office" w:hAnsi="Koop Office"/>
          <w:sz w:val="20"/>
        </w:rPr>
        <w:t>Plnění pojistitele stanovené podle písm. a) však nepřevýší částku vypočtenou podle písm. b).</w:t>
      </w:r>
    </w:p>
    <w:p w14:paraId="2179D243" w14:textId="77777777" w:rsidR="00951266" w:rsidRPr="00951266" w:rsidRDefault="00951266" w:rsidP="00951266">
      <w:pPr>
        <w:pStyle w:val="Odstavecseseznamem"/>
        <w:spacing w:before="120" w:after="120" w:line="240" w:lineRule="auto"/>
        <w:ind w:left="425"/>
        <w:contextualSpacing w:val="0"/>
        <w:jc w:val="both"/>
        <w:rPr>
          <w:rFonts w:ascii="Koop Office" w:hAnsi="Koop Office"/>
          <w:sz w:val="20"/>
        </w:rPr>
      </w:pPr>
      <w:r w:rsidRPr="00951266">
        <w:rPr>
          <w:rFonts w:ascii="Koop Office" w:hAnsi="Koop Office"/>
          <w:sz w:val="20"/>
        </w:rPr>
        <w:t>Předmětem pojistného plnění není náhrada ztráty umělecké nebo historické hodnoty, tj. při stanovení výše pojistného plnění nebude brán zřetel na případnou ztrátu jejich umělecké, historické nebo sběratelské hodnoty.</w:t>
      </w:r>
    </w:p>
    <w:p w14:paraId="1D6C06A1" w14:textId="1D45749C" w:rsidR="00951266" w:rsidRPr="00F44D15" w:rsidRDefault="00FE1962" w:rsidP="00951266">
      <w:pPr>
        <w:pStyle w:val="Odstavecseseznamem"/>
        <w:spacing w:before="120" w:after="120" w:line="240" w:lineRule="auto"/>
        <w:ind w:left="425"/>
        <w:contextualSpacing w:val="0"/>
        <w:jc w:val="both"/>
        <w:rPr>
          <w:rFonts w:ascii="Koop Office" w:hAnsi="Koop Office"/>
          <w:sz w:val="20"/>
        </w:rPr>
      </w:pPr>
      <w:r>
        <w:rPr>
          <w:rFonts w:ascii="Koop Office" w:hAnsi="Koop Office"/>
          <w:sz w:val="20"/>
        </w:rPr>
        <w:t>Pojistné plnění dle tohoto odstavce se sjednává maximálním ročním limitem pojistného plnění ve výši 5 000 000 Kč a spoluúčastí ve výši 50 000 Kč.</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t xml:space="preserve">Pojistník potvrzuje, že v dostatečném předstihu před uzavřením tohoto dodatku převzal v listinné nebo jiné textové podobě (např. na trvalém nosiči dat) dokumenty uvedené v čl. I. bodu 2. této pojistné smlouvy ve znění tohoto </w:t>
      </w:r>
      <w:r w:rsidRPr="00F44D15">
        <w:lastRenderedPageBreak/>
        <w:t>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lastRenderedPageBreak/>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7EC3D630"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441EC8">
        <w:rPr>
          <w:sz w:val="20"/>
          <w:szCs w:val="20"/>
        </w:rPr>
        <w:t>6</w:t>
      </w:r>
      <w:r w:rsidR="00F42AC2" w:rsidRPr="00F44D15">
        <w:rPr>
          <w:sz w:val="20"/>
          <w:szCs w:val="20"/>
        </w:rPr>
        <w:t xml:space="preserve"> </w:t>
      </w:r>
      <w:r w:rsidRPr="00F44D15">
        <w:rPr>
          <w:sz w:val="20"/>
          <w:szCs w:val="20"/>
        </w:rPr>
        <w:t xml:space="preserve">(konec pojištění). </w:t>
      </w:r>
    </w:p>
    <w:p w14:paraId="5CC2E3E3" w14:textId="77777777" w:rsidR="00C06AA0" w:rsidRPr="00C06AA0" w:rsidRDefault="00C06AA0" w:rsidP="00C06AA0">
      <w:pPr>
        <w:pStyle w:val="Odstavecseseznamem"/>
        <w:ind w:left="425"/>
        <w:rPr>
          <w:rFonts w:ascii="Koop Office" w:hAnsi="Koop Office"/>
          <w:sz w:val="20"/>
          <w:szCs w:val="20"/>
        </w:rPr>
      </w:pPr>
    </w:p>
    <w:p w14:paraId="41E31AF8" w14:textId="21670F13" w:rsidR="00C06AA0" w:rsidRPr="00C06AA0" w:rsidRDefault="00C06AA0" w:rsidP="00C06AA0">
      <w:pPr>
        <w:pStyle w:val="Odstavecseseznamem"/>
        <w:ind w:left="425"/>
        <w:rPr>
          <w:rFonts w:ascii="Koop Office" w:hAnsi="Koop Office"/>
          <w:sz w:val="20"/>
          <w:szCs w:val="20"/>
        </w:rPr>
      </w:pPr>
      <w:r w:rsidRPr="00C06AA0">
        <w:rPr>
          <w:rFonts w:ascii="Koop Office" w:hAnsi="Koop Office"/>
          <w:sz w:val="20"/>
          <w:szCs w:val="20"/>
        </w:rPr>
        <w:t xml:space="preserve">Počátek změn provedených tímto dodatkem: </w:t>
      </w:r>
      <w:r w:rsidR="00A33648">
        <w:rPr>
          <w:rFonts w:ascii="Koop Office" w:hAnsi="Koop Office"/>
          <w:sz w:val="20"/>
          <w:szCs w:val="20"/>
        </w:rPr>
        <w:t>22</w:t>
      </w:r>
      <w:r w:rsidRPr="00C06AA0">
        <w:rPr>
          <w:rFonts w:ascii="Koop Office" w:hAnsi="Koop Office"/>
          <w:sz w:val="20"/>
          <w:szCs w:val="20"/>
        </w:rPr>
        <w:t>.</w:t>
      </w:r>
      <w:r w:rsidR="00621595">
        <w:rPr>
          <w:rFonts w:ascii="Koop Office" w:hAnsi="Koop Office"/>
          <w:sz w:val="20"/>
          <w:szCs w:val="20"/>
        </w:rPr>
        <w:t xml:space="preserve"> </w:t>
      </w:r>
      <w:r w:rsidR="00A33648">
        <w:rPr>
          <w:rFonts w:ascii="Koop Office" w:hAnsi="Koop Office"/>
          <w:sz w:val="20"/>
          <w:szCs w:val="20"/>
        </w:rPr>
        <w:t>8</w:t>
      </w:r>
      <w:r w:rsidRPr="00C06AA0">
        <w:rPr>
          <w:rFonts w:ascii="Koop Office" w:hAnsi="Koop Office"/>
          <w:sz w:val="20"/>
          <w:szCs w:val="20"/>
        </w:rPr>
        <w:t>.</w:t>
      </w:r>
      <w:r w:rsidR="00621595">
        <w:rPr>
          <w:rFonts w:ascii="Koop Office" w:hAnsi="Koop Office"/>
          <w:sz w:val="20"/>
          <w:szCs w:val="20"/>
        </w:rPr>
        <w:t xml:space="preserve"> </w:t>
      </w:r>
      <w:r w:rsidRPr="00C06AA0">
        <w:rPr>
          <w:rFonts w:ascii="Koop Office" w:hAnsi="Koop Office"/>
          <w:sz w:val="20"/>
          <w:szCs w:val="20"/>
        </w:rPr>
        <w:t>2025.</w:t>
      </w:r>
    </w:p>
    <w:p w14:paraId="033E480E" w14:textId="77777777" w:rsidR="00C06AA0" w:rsidRPr="00C06AA0" w:rsidRDefault="00C06AA0" w:rsidP="00C06AA0">
      <w:pPr>
        <w:pStyle w:val="Odstavecseseznamem"/>
        <w:ind w:left="425"/>
        <w:jc w:val="both"/>
        <w:rPr>
          <w:rFonts w:ascii="Koop Office" w:hAnsi="Koop Office"/>
          <w:sz w:val="20"/>
          <w:szCs w:val="20"/>
        </w:rPr>
      </w:pPr>
    </w:p>
    <w:p w14:paraId="13A22C38" w14:textId="3BAD5262" w:rsidR="0000723D" w:rsidRPr="00C06AA0" w:rsidRDefault="00C06AA0" w:rsidP="00C06AA0">
      <w:pPr>
        <w:pStyle w:val="Odstavecseseznamem"/>
        <w:ind w:left="425"/>
        <w:jc w:val="both"/>
        <w:rPr>
          <w:rFonts w:ascii="Koop Office" w:hAnsi="Koop Office"/>
          <w:sz w:val="20"/>
          <w:szCs w:val="20"/>
        </w:rPr>
      </w:pPr>
      <w:r w:rsidRPr="00C06AA0">
        <w:rPr>
          <w:rFonts w:ascii="Koop Office" w:hAnsi="Koop Office"/>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r w:rsidR="0000723D" w:rsidRPr="00C06AA0">
        <w:rPr>
          <w:rFonts w:ascii="Koop Office" w:hAnsi="Koop Office"/>
          <w:sz w:val="20"/>
          <w:szCs w:val="20"/>
        </w:rPr>
        <w:t>.</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B73C6E2" w14:textId="597B93FE" w:rsidR="00F0416C" w:rsidRPr="00F0416C" w:rsidRDefault="00F0416C" w:rsidP="0030333C">
      <w:pPr>
        <w:numPr>
          <w:ilvl w:val="0"/>
          <w:numId w:val="14"/>
        </w:numPr>
        <w:tabs>
          <w:tab w:val="left" w:pos="-1418"/>
        </w:tabs>
        <w:spacing w:before="120"/>
        <w:jc w:val="both"/>
        <w:rPr>
          <w:rFonts w:cs="Arial"/>
          <w:sz w:val="18"/>
          <w:szCs w:val="22"/>
        </w:rPr>
      </w:pPr>
      <w:r w:rsidRPr="00F0416C">
        <w:rPr>
          <w:b/>
          <w:bCs/>
          <w:sz w:val="20"/>
          <w:szCs w:val="22"/>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F0416C">
        <w:rPr>
          <w:sz w:val="20"/>
          <w:szCs w:val="22"/>
        </w:rPr>
        <w:t>ve smyslu zákona č. 297/2016 Sb., o službách vytvářejících důvěru pro elektronické transakce,</w:t>
      </w:r>
      <w:r w:rsidRPr="00F0416C">
        <w:rPr>
          <w:b/>
          <w:bCs/>
          <w:sz w:val="20"/>
          <w:szCs w:val="22"/>
        </w:rPr>
        <w:t xml:space="preserve"> a nezaplatí-li tímto dodatkem předepsané jednorázové pojistné nebo běžné pojistné za tímto dodatkem sjednané první pojistné období řádně a včas, tento dodatek se od počátku ruší.</w:t>
      </w:r>
    </w:p>
    <w:p w14:paraId="0CDE8ABE" w14:textId="7FC0CCE3" w:rsidR="00F42AC2" w:rsidRPr="00482353" w:rsidRDefault="00482353" w:rsidP="00F42AC2">
      <w:pPr>
        <w:numPr>
          <w:ilvl w:val="0"/>
          <w:numId w:val="14"/>
        </w:numPr>
        <w:tabs>
          <w:tab w:val="left" w:pos="-1418"/>
        </w:tabs>
        <w:spacing w:before="120"/>
        <w:jc w:val="both"/>
        <w:rPr>
          <w:sz w:val="20"/>
        </w:rPr>
      </w:pPr>
      <w:r w:rsidRPr="00482353">
        <w:rPr>
          <w:sz w:val="20"/>
        </w:rPr>
        <w:lastRenderedPageBreak/>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482353">
        <w:rPr>
          <w:sz w:val="20"/>
        </w:rPr>
        <w:t>z.ú</w:t>
      </w:r>
      <w:proofErr w:type="spellEnd"/>
      <w:r w:rsidRPr="00482353">
        <w:rPr>
          <w:sz w:val="20"/>
        </w:rPr>
        <w:t>., Elišky Krásnohorské 135/7, 110 00 Praha 1, www.ombudsmancap.cz</w:t>
      </w:r>
      <w:r w:rsidR="00AE4DE0" w:rsidRPr="00482353">
        <w:rPr>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3B8AC58D" w14:textId="40CAACFE" w:rsidR="00621595" w:rsidRDefault="002D5673" w:rsidP="00902577">
      <w:pPr>
        <w:numPr>
          <w:ilvl w:val="0"/>
          <w:numId w:val="14"/>
        </w:numPr>
        <w:spacing w:before="120"/>
        <w:jc w:val="both"/>
        <w:rPr>
          <w:rFonts w:cs="Arial"/>
          <w:bCs/>
          <w:sz w:val="20"/>
          <w:szCs w:val="20"/>
        </w:rPr>
      </w:pPr>
      <w:bookmarkStart w:id="19" w:name="_Ref489759092"/>
      <w:r w:rsidRPr="002D5673">
        <w:rPr>
          <w:rFonts w:cs="Arial"/>
          <w:bCs/>
          <w:sz w:val="20"/>
          <w:szCs w:val="20"/>
        </w:rPr>
        <w:t>Pojistník i pojistitel a samostatný zprostředkovatel v postavení pojišťovacího makléře obdrží originál tohoto dodatku</w:t>
      </w:r>
      <w:r>
        <w:rPr>
          <w:rFonts w:cs="Arial"/>
          <w:bCs/>
          <w:sz w:val="20"/>
          <w:szCs w:val="20"/>
        </w:rPr>
        <w:t>.</w:t>
      </w:r>
      <w:r w:rsidRPr="002D5673">
        <w:rPr>
          <w:rFonts w:cs="Arial"/>
          <w:bCs/>
          <w:sz w:val="20"/>
          <w:szCs w:val="20"/>
        </w:rPr>
        <w:t xml:space="preserve"> </w:t>
      </w:r>
    </w:p>
    <w:p w14:paraId="3A5B55A1" w14:textId="77777777" w:rsidR="00621595" w:rsidRDefault="00621595">
      <w:pPr>
        <w:rPr>
          <w:rFonts w:cs="Arial"/>
          <w:bCs/>
          <w:sz w:val="20"/>
          <w:szCs w:val="20"/>
        </w:rPr>
      </w:pPr>
      <w:r>
        <w:rPr>
          <w:rFonts w:cs="Arial"/>
          <w:bCs/>
          <w:sz w:val="20"/>
          <w:szCs w:val="20"/>
        </w:rPr>
        <w:br w:type="page"/>
      </w:r>
    </w:p>
    <w:p w14:paraId="6A8BD590" w14:textId="1A0C4AF7" w:rsidR="001132FB" w:rsidRPr="004B12B8" w:rsidRDefault="00964BBE" w:rsidP="00902577">
      <w:pPr>
        <w:numPr>
          <w:ilvl w:val="0"/>
          <w:numId w:val="14"/>
        </w:numPr>
        <w:spacing w:before="120"/>
        <w:jc w:val="both"/>
        <w:rPr>
          <w:sz w:val="20"/>
          <w:szCs w:val="20"/>
        </w:rPr>
      </w:pPr>
      <w:r w:rsidRPr="004B12B8">
        <w:rPr>
          <w:rFonts w:cs="Arial"/>
          <w:sz w:val="20"/>
        </w:rPr>
        <w:lastRenderedPageBreak/>
        <w:t>Tento dodatek</w:t>
      </w:r>
      <w:r w:rsidR="00D7357B" w:rsidRPr="004B12B8">
        <w:rPr>
          <w:rFonts w:cs="Arial"/>
          <w:sz w:val="20"/>
        </w:rPr>
        <w:t xml:space="preserve"> obsahuje </w:t>
      </w:r>
      <w:r w:rsidR="00621994" w:rsidRPr="004B12B8">
        <w:rPr>
          <w:rFonts w:cs="Arial"/>
          <w:sz w:val="20"/>
        </w:rPr>
        <w:t>1</w:t>
      </w:r>
      <w:r w:rsidR="002D5673">
        <w:rPr>
          <w:rFonts w:cs="Arial"/>
          <w:sz w:val="20"/>
        </w:rPr>
        <w:t>3</w:t>
      </w:r>
      <w:r w:rsidR="003679A4" w:rsidRPr="004B12B8">
        <w:rPr>
          <w:rFonts w:cs="Arial"/>
          <w:sz w:val="20"/>
        </w:rPr>
        <w:t xml:space="preserve"> stran</w:t>
      </w:r>
      <w:bookmarkEnd w:id="19"/>
      <w:r w:rsidR="001132FB" w:rsidRPr="004B12B8">
        <w:rPr>
          <w:rFonts w:cs="Arial"/>
          <w:sz w:val="20"/>
        </w:rPr>
        <w:t>, k pojistné smlouvě ve znění tohoto dodatku náleží 1 příloha,</w:t>
      </w:r>
      <w:r w:rsidR="00992817" w:rsidRPr="004B12B8">
        <w:rPr>
          <w:rFonts w:cs="Arial"/>
          <w:sz w:val="20"/>
        </w:rPr>
        <w:t xml:space="preserve"> která </w:t>
      </w:r>
      <w:r w:rsidR="004B12B8">
        <w:rPr>
          <w:rFonts w:cs="Arial"/>
          <w:sz w:val="20"/>
        </w:rPr>
        <w:t>je fyzicky</w:t>
      </w:r>
      <w:r w:rsidR="001132FB" w:rsidRPr="004B12B8">
        <w:rPr>
          <w:rFonts w:cs="Arial"/>
          <w:bCs/>
          <w:sz w:val="20"/>
          <w:szCs w:val="20"/>
        </w:rPr>
        <w:t xml:space="preserve"> přiložena k tomuto dodatku</w:t>
      </w:r>
      <w:r w:rsidR="00D7357B" w:rsidRPr="004B12B8">
        <w:rPr>
          <w:rFonts w:cs="Arial"/>
          <w:sz w:val="20"/>
        </w:rPr>
        <w:t>.</w:t>
      </w:r>
      <w:r w:rsidR="00B750EE" w:rsidRPr="004B12B8">
        <w:rPr>
          <w:rFonts w:cs="Arial"/>
          <w:sz w:val="20"/>
        </w:rPr>
        <w:t xml:space="preserve"> Součástí pojistné smlouvy </w:t>
      </w:r>
      <w:r w:rsidR="00846E11" w:rsidRPr="004B12B8">
        <w:rPr>
          <w:rFonts w:cs="Arial"/>
          <w:sz w:val="20"/>
        </w:rPr>
        <w:t xml:space="preserve">ve znění tohoto dodatku </w:t>
      </w:r>
      <w:r w:rsidR="00B750EE" w:rsidRPr="004B12B8">
        <w:rPr>
          <w:rFonts w:cs="Arial"/>
          <w:sz w:val="20"/>
        </w:rPr>
        <w:t>jsou pojistné podmínky pojistitele uvedené v čl. I. této pojistné smlouvy</w:t>
      </w:r>
      <w:r w:rsidR="00F42AC2" w:rsidRPr="004B12B8">
        <w:rPr>
          <w:rFonts w:cs="Arial"/>
          <w:sz w:val="20"/>
        </w:rPr>
        <w:t>.</w:t>
      </w:r>
      <w:r w:rsidR="00484118" w:rsidRPr="004B12B8">
        <w:rPr>
          <w:rFonts w:cs="Arial"/>
          <w:sz w:val="20"/>
        </w:rPr>
        <w:t xml:space="preserve"> </w:t>
      </w:r>
    </w:p>
    <w:p w14:paraId="562CBC15" w14:textId="77777777" w:rsidR="004B12B8" w:rsidRPr="004B12B8" w:rsidRDefault="004B12B8" w:rsidP="004B12B8">
      <w:pPr>
        <w:spacing w:before="120"/>
        <w:ind w:left="425"/>
        <w:jc w:val="both"/>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982083" w:rsidRDefault="001132FB" w:rsidP="001132FB">
      <w:pPr>
        <w:tabs>
          <w:tab w:val="left" w:pos="2977"/>
        </w:tabs>
        <w:rPr>
          <w:sz w:val="20"/>
          <w:szCs w:val="20"/>
        </w:rPr>
      </w:pPr>
      <w:r w:rsidRPr="00982083">
        <w:rPr>
          <w:sz w:val="20"/>
          <w:szCs w:val="20"/>
        </w:rPr>
        <w:t xml:space="preserve">příloha č. 1 – seznam míst pojištění </w:t>
      </w:r>
    </w:p>
    <w:p w14:paraId="2440526C" w14:textId="77777777" w:rsidR="00F42AC2" w:rsidRPr="00982083" w:rsidRDefault="00F42AC2" w:rsidP="001132FB">
      <w:pPr>
        <w:rPr>
          <w:rFonts w:cs="Arial"/>
          <w:sz w:val="20"/>
        </w:rPr>
      </w:pPr>
    </w:p>
    <w:p w14:paraId="31821159" w14:textId="77777777" w:rsidR="009F47CF" w:rsidRPr="00982083" w:rsidRDefault="009F47CF" w:rsidP="001132FB">
      <w:pPr>
        <w:keepNext/>
        <w:tabs>
          <w:tab w:val="left" w:pos="-1418"/>
          <w:tab w:val="left" w:pos="2835"/>
        </w:tabs>
        <w:spacing w:before="120"/>
        <w:jc w:val="both"/>
        <w:rPr>
          <w:rFonts w:cs="Arial"/>
          <w:sz w:val="20"/>
        </w:rPr>
      </w:pPr>
    </w:p>
    <w:p w14:paraId="65E03FDF" w14:textId="77777777" w:rsidR="00AD5EE6" w:rsidRPr="00982083" w:rsidRDefault="00AD5EE6" w:rsidP="001132FB">
      <w:pPr>
        <w:keepNext/>
        <w:tabs>
          <w:tab w:val="left" w:pos="-1418"/>
          <w:tab w:val="left" w:pos="2835"/>
        </w:tabs>
        <w:spacing w:before="120"/>
        <w:jc w:val="both"/>
        <w:rPr>
          <w:rFonts w:cs="Arial"/>
          <w:sz w:val="20"/>
        </w:rPr>
      </w:pPr>
    </w:p>
    <w:p w14:paraId="58BCCF22" w14:textId="77777777" w:rsidR="006B738E" w:rsidRPr="006B738E" w:rsidRDefault="006B738E" w:rsidP="006B738E">
      <w:pPr>
        <w:keepNext/>
        <w:keepLines/>
        <w:tabs>
          <w:tab w:val="left" w:pos="3402"/>
          <w:tab w:val="right" w:leader="dot" w:pos="6237"/>
          <w:tab w:val="left" w:pos="6521"/>
          <w:tab w:val="right" w:leader="dot" w:pos="9356"/>
        </w:tabs>
        <w:spacing w:before="48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r w:rsidRPr="006B738E">
        <w:rPr>
          <w:sz w:val="20"/>
          <w:szCs w:val="22"/>
        </w:rPr>
        <w:tab/>
      </w:r>
      <w:r w:rsidRPr="006B738E">
        <w:rPr>
          <w:sz w:val="20"/>
          <w:szCs w:val="22"/>
        </w:rPr>
        <w:tab/>
      </w:r>
    </w:p>
    <w:p w14:paraId="5E633BF8" w14:textId="77777777" w:rsidR="006B738E" w:rsidRPr="006B738E" w:rsidRDefault="006B738E" w:rsidP="006B738E">
      <w:pPr>
        <w:keepNext/>
        <w:keepLines/>
        <w:tabs>
          <w:tab w:val="center" w:pos="4820"/>
          <w:tab w:val="center" w:pos="7938"/>
        </w:tabs>
        <w:spacing w:after="720"/>
        <w:rPr>
          <w:sz w:val="20"/>
          <w:szCs w:val="22"/>
        </w:rPr>
      </w:pPr>
      <w:r w:rsidRPr="006B738E">
        <w:rPr>
          <w:sz w:val="20"/>
          <w:szCs w:val="22"/>
        </w:rPr>
        <w:tab/>
        <w:t>za pojistitele</w:t>
      </w:r>
      <w:r w:rsidRPr="006B738E">
        <w:rPr>
          <w:sz w:val="20"/>
          <w:szCs w:val="22"/>
        </w:rPr>
        <w:tab/>
        <w:t>za pojistitele</w:t>
      </w:r>
    </w:p>
    <w:p w14:paraId="20007329"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p>
    <w:p w14:paraId="4C4EAC1C" w14:textId="77777777" w:rsidR="006B738E" w:rsidRPr="006B738E" w:rsidRDefault="006B738E" w:rsidP="006B738E">
      <w:pPr>
        <w:keepNext/>
        <w:keepLines/>
        <w:tabs>
          <w:tab w:val="left" w:pos="3402"/>
          <w:tab w:val="right" w:leader="dot" w:pos="6237"/>
          <w:tab w:val="left" w:pos="6804"/>
          <w:tab w:val="right" w:leader="dot" w:pos="9072"/>
        </w:tabs>
        <w:spacing w:before="720"/>
        <w:rPr>
          <w:sz w:val="20"/>
          <w:szCs w:val="22"/>
        </w:rPr>
      </w:pPr>
      <w:r w:rsidRPr="006B738E">
        <w:rPr>
          <w:sz w:val="20"/>
          <w:szCs w:val="22"/>
        </w:rPr>
        <w:t>Podepsáno dne</w:t>
      </w:r>
      <w:r w:rsidRPr="006B738E">
        <w:rPr>
          <w:sz w:val="20"/>
          <w:szCs w:val="22"/>
          <w:vertAlign w:val="superscript"/>
        </w:rPr>
        <w:t>+</w:t>
      </w:r>
      <w:r w:rsidRPr="006B738E">
        <w:rPr>
          <w:sz w:val="20"/>
          <w:szCs w:val="22"/>
        </w:rPr>
        <w:t xml:space="preserve"> ............................</w:t>
      </w:r>
      <w:r w:rsidRPr="006B738E">
        <w:rPr>
          <w:sz w:val="20"/>
          <w:szCs w:val="22"/>
        </w:rPr>
        <w:tab/>
      </w:r>
      <w:r w:rsidRPr="006B738E">
        <w:rPr>
          <w:sz w:val="20"/>
          <w:szCs w:val="22"/>
        </w:rPr>
        <w:tab/>
      </w:r>
    </w:p>
    <w:p w14:paraId="012D7B34" w14:textId="77777777" w:rsidR="006B738E" w:rsidRPr="006B738E" w:rsidRDefault="006B738E" w:rsidP="006B738E">
      <w:pPr>
        <w:keepNext/>
        <w:keepLines/>
        <w:tabs>
          <w:tab w:val="center" w:pos="4820"/>
          <w:tab w:val="center" w:pos="7938"/>
        </w:tabs>
        <w:spacing w:after="480"/>
        <w:rPr>
          <w:sz w:val="20"/>
          <w:szCs w:val="22"/>
        </w:rPr>
      </w:pPr>
      <w:r w:rsidRPr="006B738E">
        <w:rPr>
          <w:sz w:val="20"/>
          <w:szCs w:val="22"/>
        </w:rPr>
        <w:tab/>
        <w:t>za pojistníka</w:t>
      </w:r>
      <w:r w:rsidRPr="006B738E">
        <w:rPr>
          <w:sz w:val="20"/>
          <w:szCs w:val="22"/>
          <w:vertAlign w:val="superscript"/>
        </w:rPr>
        <w:t>++</w:t>
      </w:r>
    </w:p>
    <w:p w14:paraId="4FEAA2B4" w14:textId="77777777" w:rsidR="008F6936" w:rsidRDefault="008F6936" w:rsidP="006B738E">
      <w:pPr>
        <w:rPr>
          <w:sz w:val="16"/>
          <w:szCs w:val="16"/>
          <w:vertAlign w:val="superscript"/>
        </w:rPr>
      </w:pPr>
      <w:bookmarkStart w:id="20" w:name="_Hlk25570604"/>
    </w:p>
    <w:p w14:paraId="3B72C26C" w14:textId="77777777" w:rsidR="008F6936" w:rsidRDefault="008F6936" w:rsidP="006B738E">
      <w:pPr>
        <w:rPr>
          <w:sz w:val="16"/>
          <w:szCs w:val="16"/>
          <w:vertAlign w:val="superscript"/>
        </w:rPr>
      </w:pPr>
    </w:p>
    <w:p w14:paraId="48DC22E0" w14:textId="7770BF96" w:rsidR="006B738E" w:rsidRPr="00F025DC" w:rsidRDefault="006B738E" w:rsidP="006B738E">
      <w:pPr>
        <w:rPr>
          <w:sz w:val="16"/>
          <w:szCs w:val="16"/>
        </w:rPr>
      </w:pPr>
      <w:r w:rsidRPr="00F025DC">
        <w:rPr>
          <w:sz w:val="16"/>
          <w:szCs w:val="16"/>
          <w:vertAlign w:val="superscript"/>
        </w:rPr>
        <w:t xml:space="preserve">+ </w:t>
      </w:r>
      <w:r w:rsidRPr="00F025DC">
        <w:rPr>
          <w:sz w:val="16"/>
          <w:szCs w:val="16"/>
        </w:rPr>
        <w:t>Je-li tento dodatek podepsán uznávaným elektronickým podpisem, je okamžik podpisu vždy obsažen v tomto podpisu.</w:t>
      </w:r>
    </w:p>
    <w:p w14:paraId="4032D2ED" w14:textId="77777777" w:rsidR="006B738E" w:rsidRPr="00F025DC" w:rsidRDefault="006B738E" w:rsidP="006B738E">
      <w:pPr>
        <w:tabs>
          <w:tab w:val="left" w:pos="142"/>
          <w:tab w:val="left" w:pos="426"/>
        </w:tabs>
        <w:ind w:left="426" w:hanging="426"/>
        <w:rPr>
          <w:sz w:val="16"/>
          <w:szCs w:val="16"/>
        </w:rPr>
      </w:pPr>
      <w:r w:rsidRPr="00F025DC">
        <w:rPr>
          <w:sz w:val="16"/>
          <w:szCs w:val="16"/>
          <w:vertAlign w:val="superscript"/>
        </w:rPr>
        <w:t>++</w:t>
      </w:r>
      <w:r w:rsidRPr="00F025DC">
        <w:rPr>
          <w:sz w:val="16"/>
          <w:szCs w:val="16"/>
        </w:rPr>
        <w:tab/>
        <w:t xml:space="preserve">a) </w:t>
      </w:r>
      <w:r w:rsidRPr="00F025DC">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8D2B472" w14:textId="28A0EF86" w:rsidR="006B738E" w:rsidRPr="00F025DC" w:rsidRDefault="006B738E" w:rsidP="006B738E">
      <w:pPr>
        <w:tabs>
          <w:tab w:val="left" w:pos="142"/>
          <w:tab w:val="left" w:pos="426"/>
        </w:tabs>
        <w:ind w:left="426" w:hanging="426"/>
        <w:rPr>
          <w:sz w:val="16"/>
          <w:szCs w:val="16"/>
        </w:rPr>
      </w:pPr>
      <w:r w:rsidRPr="00F025DC">
        <w:rPr>
          <w:sz w:val="16"/>
          <w:szCs w:val="16"/>
        </w:rPr>
        <w:tab/>
        <w:t xml:space="preserve">b) </w:t>
      </w:r>
      <w:r w:rsidRPr="00F025DC">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r w:rsidR="00D67C00" w:rsidRPr="00F025DC">
        <w:rPr>
          <w:sz w:val="16"/>
          <w:szCs w:val="16"/>
        </w:rPr>
        <w:t>jiného,</w:t>
      </w:r>
      <w:r w:rsidRPr="00F025DC">
        <w:rPr>
          <w:sz w:val="16"/>
          <w:szCs w:val="16"/>
        </w:rPr>
        <w:t xml:space="preserve"> než uznávaného vložte jméno, příjmení a funkci podepisující/ch osob/y do poznámky tohoto elektronického dokumentu, včetně uvedení data podpisu.</w:t>
      </w:r>
      <w:bookmarkStart w:id="21" w:name="_Hlk35628228"/>
      <w:r w:rsidRPr="00F025DC">
        <w:rPr>
          <w:sz w:val="16"/>
          <w:szCs w:val="16"/>
        </w:rPr>
        <w:t xml:space="preserve"> </w:t>
      </w:r>
      <w:bookmarkStart w:id="22" w:name="_Hlk35685927"/>
      <w:r w:rsidRPr="00F025DC">
        <w:rPr>
          <w:sz w:val="16"/>
          <w:szCs w:val="16"/>
        </w:rPr>
        <w:t>Takto tento elektronickým podpisem podepsaný elektronický dokument doručte pojistiteli elektronickým prostředkem.</w:t>
      </w:r>
      <w:bookmarkEnd w:id="21"/>
      <w:r w:rsidRPr="00F025DC">
        <w:rPr>
          <w:sz w:val="16"/>
          <w:szCs w:val="16"/>
        </w:rPr>
        <w:t xml:space="preserve"> </w:t>
      </w:r>
      <w:bookmarkEnd w:id="20"/>
      <w:bookmarkEnd w:id="22"/>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54A6803C" w14:textId="77777777" w:rsidR="00F42AC2" w:rsidRPr="00F44D15" w:rsidRDefault="00F42AC2" w:rsidP="00F42AC2">
      <w:pPr>
        <w:tabs>
          <w:tab w:val="left" w:pos="3261"/>
          <w:tab w:val="left" w:pos="6379"/>
        </w:tabs>
        <w:rPr>
          <w:sz w:val="20"/>
        </w:rPr>
      </w:pPr>
    </w:p>
    <w:p w14:paraId="12926068" w14:textId="77777777" w:rsidR="00F42AC2" w:rsidRPr="00F44D15" w:rsidRDefault="00F42AC2" w:rsidP="00F42AC2">
      <w:pPr>
        <w:tabs>
          <w:tab w:val="left" w:pos="3261"/>
          <w:tab w:val="left" w:pos="6379"/>
        </w:tabs>
        <w:rPr>
          <w:sz w:val="20"/>
        </w:rPr>
      </w:pPr>
    </w:p>
    <w:p w14:paraId="62EF4231" w14:textId="77777777" w:rsidR="00621595" w:rsidRDefault="00621595" w:rsidP="00F42AC2">
      <w:pPr>
        <w:pStyle w:val="Zkladntextodsazen3"/>
        <w:tabs>
          <w:tab w:val="left" w:pos="1418"/>
        </w:tabs>
        <w:ind w:hanging="284"/>
        <w:rPr>
          <w:rFonts w:ascii="Koop Office" w:hAnsi="Koop Office"/>
          <w:sz w:val="20"/>
        </w:rPr>
      </w:pPr>
    </w:p>
    <w:p w14:paraId="14892AC2" w14:textId="70B7E5E6" w:rsidR="00207BD3" w:rsidRDefault="00F42AC2" w:rsidP="00F42AC2">
      <w:pPr>
        <w:pStyle w:val="Zkladntextodsazen3"/>
        <w:tabs>
          <w:tab w:val="left" w:pos="1418"/>
        </w:tabs>
        <w:ind w:hanging="284"/>
        <w:rPr>
          <w:rFonts w:ascii="Koop Office" w:hAnsi="Koop Office"/>
          <w:sz w:val="20"/>
        </w:rPr>
      </w:pPr>
      <w:r w:rsidRPr="00F44D15">
        <w:rPr>
          <w:rFonts w:ascii="Koop Office" w:hAnsi="Koop Office"/>
          <w:sz w:val="20"/>
        </w:rPr>
        <w:t xml:space="preserve">Dodatek vypracoval: </w:t>
      </w:r>
      <w:proofErr w:type="spellStart"/>
      <w:r w:rsidR="009C3930">
        <w:rPr>
          <w:rFonts w:ascii="Koop Office" w:hAnsi="Koop Office"/>
          <w:sz w:val="20"/>
        </w:rPr>
        <w:t>xxx</w:t>
      </w:r>
      <w:proofErr w:type="spellEnd"/>
    </w:p>
    <w:p w14:paraId="5EC13347" w14:textId="77777777" w:rsidR="00097170" w:rsidRDefault="00097170" w:rsidP="00F42AC2">
      <w:pPr>
        <w:pStyle w:val="Zkladntextodsazen3"/>
        <w:tabs>
          <w:tab w:val="left" w:pos="1418"/>
        </w:tabs>
        <w:ind w:hanging="284"/>
        <w:rPr>
          <w:rFonts w:ascii="Koop Office" w:hAnsi="Koop Office"/>
          <w:sz w:val="20"/>
        </w:rPr>
      </w:pPr>
    </w:p>
    <w:p w14:paraId="069BD51F" w14:textId="77777777" w:rsidR="00097170" w:rsidRDefault="00097170" w:rsidP="00F42AC2">
      <w:pPr>
        <w:pStyle w:val="Zkladntextodsazen3"/>
        <w:tabs>
          <w:tab w:val="left" w:pos="1418"/>
        </w:tabs>
        <w:ind w:hanging="284"/>
        <w:rPr>
          <w:rFonts w:ascii="Koop Office" w:hAnsi="Koop Office"/>
          <w:sz w:val="20"/>
        </w:rPr>
      </w:pPr>
    </w:p>
    <w:p w14:paraId="28839777" w14:textId="77777777" w:rsidR="00097170" w:rsidRDefault="00097170" w:rsidP="00F42AC2">
      <w:pPr>
        <w:pStyle w:val="Zkladntextodsazen3"/>
        <w:tabs>
          <w:tab w:val="left" w:pos="1418"/>
        </w:tabs>
        <w:ind w:hanging="284"/>
        <w:rPr>
          <w:rFonts w:ascii="Koop Office" w:hAnsi="Koop Office"/>
          <w:sz w:val="20"/>
        </w:rPr>
      </w:pPr>
    </w:p>
    <w:p w14:paraId="2215850D" w14:textId="77777777" w:rsidR="00097170" w:rsidRDefault="00097170" w:rsidP="00F42AC2">
      <w:pPr>
        <w:pStyle w:val="Zkladntextodsazen3"/>
        <w:tabs>
          <w:tab w:val="left" w:pos="1418"/>
        </w:tabs>
        <w:ind w:hanging="284"/>
        <w:rPr>
          <w:rFonts w:ascii="Koop Office" w:hAnsi="Koop Office"/>
          <w:sz w:val="20"/>
        </w:rPr>
      </w:pPr>
    </w:p>
    <w:p w14:paraId="7D40CFC6" w14:textId="77777777" w:rsidR="00097170" w:rsidRDefault="00097170" w:rsidP="00F42AC2">
      <w:pPr>
        <w:pStyle w:val="Zkladntextodsazen3"/>
        <w:tabs>
          <w:tab w:val="left" w:pos="1418"/>
        </w:tabs>
        <w:ind w:hanging="284"/>
        <w:rPr>
          <w:rFonts w:ascii="Koop Office" w:hAnsi="Koop Office"/>
          <w:sz w:val="20"/>
        </w:rPr>
      </w:pPr>
    </w:p>
    <w:p w14:paraId="6FB359D3" w14:textId="77777777" w:rsidR="00097170" w:rsidRDefault="00097170" w:rsidP="00F42AC2">
      <w:pPr>
        <w:pStyle w:val="Zkladntextodsazen3"/>
        <w:tabs>
          <w:tab w:val="left" w:pos="1418"/>
        </w:tabs>
        <w:ind w:hanging="284"/>
        <w:rPr>
          <w:rFonts w:ascii="Koop Office" w:hAnsi="Koop Office"/>
          <w:sz w:val="20"/>
        </w:rPr>
      </w:pPr>
    </w:p>
    <w:p w14:paraId="1B322358" w14:textId="77777777" w:rsidR="00097170" w:rsidRDefault="00097170" w:rsidP="00F42AC2">
      <w:pPr>
        <w:pStyle w:val="Zkladntextodsazen3"/>
        <w:tabs>
          <w:tab w:val="left" w:pos="1418"/>
        </w:tabs>
        <w:ind w:hanging="284"/>
        <w:rPr>
          <w:rFonts w:ascii="Koop Office" w:hAnsi="Koop Office"/>
          <w:sz w:val="20"/>
        </w:rPr>
      </w:pPr>
    </w:p>
    <w:p w14:paraId="46E77386" w14:textId="77777777" w:rsidR="00097170" w:rsidRDefault="00097170" w:rsidP="00F42AC2">
      <w:pPr>
        <w:pStyle w:val="Zkladntextodsazen3"/>
        <w:tabs>
          <w:tab w:val="left" w:pos="1418"/>
        </w:tabs>
        <w:ind w:hanging="284"/>
        <w:rPr>
          <w:rFonts w:ascii="Koop Office" w:hAnsi="Koop Office"/>
          <w:sz w:val="20"/>
        </w:rPr>
      </w:pPr>
    </w:p>
    <w:p w14:paraId="342DA86B" w14:textId="77777777" w:rsidR="00097170" w:rsidRDefault="00097170" w:rsidP="00F42AC2">
      <w:pPr>
        <w:pStyle w:val="Zkladntextodsazen3"/>
        <w:tabs>
          <w:tab w:val="left" w:pos="1418"/>
        </w:tabs>
        <w:ind w:hanging="284"/>
        <w:rPr>
          <w:rFonts w:ascii="Koop Office" w:hAnsi="Koop Office"/>
          <w:sz w:val="20"/>
        </w:rPr>
      </w:pPr>
    </w:p>
    <w:p w14:paraId="40A635B9" w14:textId="77777777" w:rsidR="00097170" w:rsidRDefault="00097170" w:rsidP="00F42AC2">
      <w:pPr>
        <w:pStyle w:val="Zkladntextodsazen3"/>
        <w:tabs>
          <w:tab w:val="left" w:pos="1418"/>
        </w:tabs>
        <w:ind w:hanging="284"/>
        <w:rPr>
          <w:rFonts w:ascii="Koop Office" w:hAnsi="Koop Office"/>
          <w:sz w:val="20"/>
        </w:rPr>
      </w:pPr>
    </w:p>
    <w:p w14:paraId="0258555D" w14:textId="77777777" w:rsidR="00097170" w:rsidRDefault="00097170" w:rsidP="00F42AC2">
      <w:pPr>
        <w:pStyle w:val="Zkladntextodsazen3"/>
        <w:tabs>
          <w:tab w:val="left" w:pos="1418"/>
        </w:tabs>
        <w:ind w:hanging="284"/>
        <w:rPr>
          <w:rFonts w:ascii="Koop Office" w:hAnsi="Koop Office"/>
          <w:sz w:val="20"/>
        </w:rPr>
      </w:pPr>
    </w:p>
    <w:p w14:paraId="5DF873B5" w14:textId="77777777" w:rsidR="00097170" w:rsidRDefault="00097170" w:rsidP="00F42AC2">
      <w:pPr>
        <w:pStyle w:val="Zkladntextodsazen3"/>
        <w:tabs>
          <w:tab w:val="left" w:pos="1418"/>
        </w:tabs>
        <w:ind w:hanging="284"/>
        <w:rPr>
          <w:rFonts w:ascii="Koop Office" w:hAnsi="Koop Office"/>
          <w:sz w:val="20"/>
        </w:rPr>
      </w:pPr>
    </w:p>
    <w:p w14:paraId="33DF08FD" w14:textId="77777777" w:rsidR="00097170" w:rsidRPr="00374FD7" w:rsidRDefault="00097170" w:rsidP="00097170">
      <w:pPr>
        <w:autoSpaceDE w:val="0"/>
        <w:autoSpaceDN w:val="0"/>
        <w:adjustRightInd w:val="0"/>
        <w:rPr>
          <w:rFonts w:cs="Arial"/>
          <w:b/>
          <w:sz w:val="20"/>
        </w:rPr>
      </w:pPr>
      <w:r w:rsidRPr="00374FD7">
        <w:rPr>
          <w:rFonts w:cs="Arial"/>
          <w:b/>
          <w:sz w:val="20"/>
        </w:rPr>
        <w:lastRenderedPageBreak/>
        <w:t>Příloha č. 1 - seznam míst pojištění</w:t>
      </w:r>
    </w:p>
    <w:p w14:paraId="0E68A742" w14:textId="77777777" w:rsidR="00097170" w:rsidRPr="00374FD7" w:rsidRDefault="00097170" w:rsidP="00097170">
      <w:pPr>
        <w:autoSpaceDE w:val="0"/>
        <w:autoSpaceDN w:val="0"/>
        <w:adjustRightInd w:val="0"/>
        <w:rPr>
          <w:rFonts w:cs="Arial"/>
          <w:sz w:val="20"/>
        </w:rPr>
      </w:pPr>
    </w:p>
    <w:p w14:paraId="5FE53E2E" w14:textId="77777777" w:rsidR="00097170" w:rsidRPr="001A5A3D" w:rsidRDefault="00097170" w:rsidP="00097170">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788F552E" w14:textId="77777777" w:rsidR="00097170" w:rsidRPr="00060D69" w:rsidRDefault="00097170" w:rsidP="00097170">
      <w:pPr>
        <w:autoSpaceDE w:val="0"/>
        <w:autoSpaceDN w:val="0"/>
        <w:adjustRightInd w:val="0"/>
        <w:rPr>
          <w:rFonts w:cs="Arial"/>
          <w:sz w:val="20"/>
        </w:rPr>
      </w:pPr>
      <w:r w:rsidRPr="00060D69">
        <w:rPr>
          <w:rFonts w:cs="Arial"/>
          <w:sz w:val="20"/>
        </w:rPr>
        <w:t>Praha 2, U nemocnice 499/2 – areál nemocnice</w:t>
      </w:r>
    </w:p>
    <w:p w14:paraId="2DC3CA30" w14:textId="77777777" w:rsidR="00097170" w:rsidRPr="00060D69" w:rsidRDefault="00097170" w:rsidP="00097170">
      <w:pPr>
        <w:autoSpaceDE w:val="0"/>
        <w:autoSpaceDN w:val="0"/>
        <w:adjustRightInd w:val="0"/>
        <w:rPr>
          <w:rFonts w:cs="Arial"/>
          <w:sz w:val="20"/>
        </w:rPr>
      </w:pPr>
      <w:r w:rsidRPr="00060D69">
        <w:rPr>
          <w:rFonts w:cs="Arial"/>
          <w:sz w:val="20"/>
        </w:rPr>
        <w:t>Praha 2, Na Bojišti 1771/1</w:t>
      </w:r>
    </w:p>
    <w:p w14:paraId="4B304C4F" w14:textId="77777777" w:rsidR="00097170" w:rsidRPr="00060D69" w:rsidRDefault="00097170" w:rsidP="00097170">
      <w:pPr>
        <w:autoSpaceDE w:val="0"/>
        <w:autoSpaceDN w:val="0"/>
        <w:adjustRightInd w:val="0"/>
        <w:rPr>
          <w:rFonts w:cs="Arial"/>
          <w:sz w:val="20"/>
        </w:rPr>
      </w:pPr>
      <w:r w:rsidRPr="00060D69">
        <w:rPr>
          <w:rFonts w:cs="Arial"/>
          <w:sz w:val="20"/>
        </w:rPr>
        <w:t>Praha 2, Kateřinská 521/19</w:t>
      </w:r>
    </w:p>
    <w:p w14:paraId="16EC475F" w14:textId="77777777" w:rsidR="00097170" w:rsidRPr="00060D69" w:rsidRDefault="00097170" w:rsidP="00097170">
      <w:pPr>
        <w:autoSpaceDE w:val="0"/>
        <w:autoSpaceDN w:val="0"/>
        <w:adjustRightInd w:val="0"/>
        <w:rPr>
          <w:rFonts w:cs="Arial"/>
          <w:sz w:val="20"/>
        </w:rPr>
      </w:pPr>
      <w:r w:rsidRPr="00060D69">
        <w:rPr>
          <w:rFonts w:cs="Arial"/>
          <w:sz w:val="20"/>
        </w:rPr>
        <w:t>Praha 2, Kateřinská 468/30</w:t>
      </w:r>
    </w:p>
    <w:p w14:paraId="017AC4BB" w14:textId="77777777" w:rsidR="00097170" w:rsidRPr="00060D69" w:rsidRDefault="00097170" w:rsidP="00097170">
      <w:pPr>
        <w:autoSpaceDE w:val="0"/>
        <w:autoSpaceDN w:val="0"/>
        <w:adjustRightInd w:val="0"/>
        <w:rPr>
          <w:rFonts w:cs="Arial"/>
          <w:sz w:val="20"/>
        </w:rPr>
      </w:pPr>
      <w:r w:rsidRPr="00060D69">
        <w:rPr>
          <w:rFonts w:cs="Arial"/>
          <w:sz w:val="20"/>
        </w:rPr>
        <w:t>Praha 2, Viničná 481/9</w:t>
      </w:r>
    </w:p>
    <w:p w14:paraId="5DD9FCC5" w14:textId="77777777" w:rsidR="00097170" w:rsidRPr="00060D69" w:rsidRDefault="00097170" w:rsidP="00097170">
      <w:pPr>
        <w:autoSpaceDE w:val="0"/>
        <w:autoSpaceDN w:val="0"/>
        <w:adjustRightInd w:val="0"/>
        <w:rPr>
          <w:rFonts w:cs="Arial"/>
          <w:sz w:val="20"/>
        </w:rPr>
      </w:pPr>
      <w:r w:rsidRPr="00060D69">
        <w:rPr>
          <w:rFonts w:cs="Arial"/>
          <w:sz w:val="20"/>
        </w:rPr>
        <w:t>Praha 2, Ke Karlovu 11</w:t>
      </w:r>
    </w:p>
    <w:p w14:paraId="0EC2EC4F" w14:textId="77777777" w:rsidR="00097170" w:rsidRPr="00060D69" w:rsidRDefault="00097170" w:rsidP="00097170">
      <w:pPr>
        <w:autoSpaceDE w:val="0"/>
        <w:autoSpaceDN w:val="0"/>
        <w:adjustRightInd w:val="0"/>
        <w:rPr>
          <w:rFonts w:cs="Arial"/>
          <w:sz w:val="20"/>
        </w:rPr>
      </w:pPr>
      <w:r w:rsidRPr="00060D69">
        <w:rPr>
          <w:rFonts w:cs="Arial"/>
          <w:sz w:val="20"/>
        </w:rPr>
        <w:t>Praha 2, Ke Karlovu 2118/13</w:t>
      </w:r>
    </w:p>
    <w:p w14:paraId="66F0505D" w14:textId="77777777" w:rsidR="00097170" w:rsidRPr="00060D69" w:rsidRDefault="00097170" w:rsidP="00097170">
      <w:pPr>
        <w:autoSpaceDE w:val="0"/>
        <w:autoSpaceDN w:val="0"/>
        <w:adjustRightInd w:val="0"/>
        <w:rPr>
          <w:rFonts w:cs="Arial"/>
          <w:sz w:val="20"/>
        </w:rPr>
      </w:pPr>
      <w:r w:rsidRPr="00060D69">
        <w:rPr>
          <w:rFonts w:cs="Arial"/>
          <w:sz w:val="20"/>
        </w:rPr>
        <w:t>Praha 2, Albertov 7</w:t>
      </w:r>
    </w:p>
    <w:p w14:paraId="2C47EC6F" w14:textId="77777777" w:rsidR="00097170" w:rsidRPr="00060D69" w:rsidRDefault="00097170" w:rsidP="00097170">
      <w:pPr>
        <w:autoSpaceDE w:val="0"/>
        <w:autoSpaceDN w:val="0"/>
        <w:adjustRightInd w:val="0"/>
        <w:rPr>
          <w:rFonts w:cs="Arial"/>
          <w:sz w:val="20"/>
        </w:rPr>
      </w:pPr>
      <w:r w:rsidRPr="00060D69">
        <w:rPr>
          <w:rFonts w:cs="Arial"/>
          <w:sz w:val="20"/>
        </w:rPr>
        <w:t>Praha 2, Ke Karlovu 455/2</w:t>
      </w:r>
    </w:p>
    <w:p w14:paraId="5E462056" w14:textId="77777777" w:rsidR="00097170" w:rsidRPr="00060D69" w:rsidRDefault="00097170" w:rsidP="00097170">
      <w:pPr>
        <w:autoSpaceDE w:val="0"/>
        <w:autoSpaceDN w:val="0"/>
        <w:adjustRightInd w:val="0"/>
        <w:rPr>
          <w:rFonts w:cs="Arial"/>
          <w:sz w:val="20"/>
        </w:rPr>
      </w:pPr>
      <w:r w:rsidRPr="00060D69">
        <w:rPr>
          <w:rFonts w:cs="Arial"/>
          <w:sz w:val="20"/>
        </w:rPr>
        <w:t>Praha 2, Ke Karlovu 459/6</w:t>
      </w:r>
    </w:p>
    <w:p w14:paraId="43535E0E" w14:textId="77777777" w:rsidR="00097170" w:rsidRPr="00060D69" w:rsidRDefault="00097170" w:rsidP="00097170">
      <w:pPr>
        <w:autoSpaceDE w:val="0"/>
        <w:autoSpaceDN w:val="0"/>
        <w:adjustRightInd w:val="0"/>
        <w:rPr>
          <w:rFonts w:cs="Arial"/>
          <w:sz w:val="20"/>
        </w:rPr>
      </w:pPr>
      <w:r w:rsidRPr="00060D69">
        <w:rPr>
          <w:rFonts w:cs="Arial"/>
          <w:sz w:val="20"/>
        </w:rPr>
        <w:t>Praha 2, Ke Karlovu 457/7</w:t>
      </w:r>
    </w:p>
    <w:p w14:paraId="704C1E9E" w14:textId="77777777" w:rsidR="00097170" w:rsidRPr="00060D69" w:rsidRDefault="00097170" w:rsidP="00097170">
      <w:pPr>
        <w:autoSpaceDE w:val="0"/>
        <w:autoSpaceDN w:val="0"/>
        <w:adjustRightInd w:val="0"/>
        <w:rPr>
          <w:rFonts w:cs="Arial"/>
          <w:sz w:val="20"/>
        </w:rPr>
      </w:pPr>
      <w:r w:rsidRPr="00060D69">
        <w:rPr>
          <w:rFonts w:cs="Arial"/>
          <w:sz w:val="20"/>
        </w:rPr>
        <w:t>Praha 2, Žitná 569/24</w:t>
      </w:r>
    </w:p>
    <w:p w14:paraId="333F83F1" w14:textId="77777777" w:rsidR="00097170" w:rsidRPr="00060D69" w:rsidRDefault="00097170" w:rsidP="00097170">
      <w:pPr>
        <w:autoSpaceDE w:val="0"/>
        <w:autoSpaceDN w:val="0"/>
        <w:adjustRightInd w:val="0"/>
        <w:rPr>
          <w:rFonts w:cs="Arial"/>
          <w:sz w:val="20"/>
        </w:rPr>
      </w:pPr>
      <w:r w:rsidRPr="00060D69">
        <w:rPr>
          <w:rFonts w:cs="Arial"/>
          <w:sz w:val="20"/>
        </w:rPr>
        <w:t>Praha 2, Londýnská 545/15</w:t>
      </w:r>
    </w:p>
    <w:p w14:paraId="26B587CC" w14:textId="77777777" w:rsidR="00097170" w:rsidRPr="00060D69" w:rsidRDefault="00097170" w:rsidP="00097170">
      <w:pPr>
        <w:autoSpaceDE w:val="0"/>
        <w:autoSpaceDN w:val="0"/>
        <w:adjustRightInd w:val="0"/>
        <w:rPr>
          <w:rFonts w:cs="Arial"/>
          <w:sz w:val="20"/>
        </w:rPr>
      </w:pPr>
      <w:r w:rsidRPr="00060D69">
        <w:rPr>
          <w:rFonts w:cs="Arial"/>
          <w:sz w:val="20"/>
        </w:rPr>
        <w:t>Praha 2, Kateřinská 32</w:t>
      </w:r>
    </w:p>
    <w:p w14:paraId="1D276F62" w14:textId="77777777" w:rsidR="00097170" w:rsidRPr="00060D69" w:rsidRDefault="00097170" w:rsidP="00097170">
      <w:pPr>
        <w:autoSpaceDE w:val="0"/>
        <w:autoSpaceDN w:val="0"/>
        <w:adjustRightInd w:val="0"/>
        <w:rPr>
          <w:rFonts w:cs="Arial"/>
          <w:sz w:val="20"/>
        </w:rPr>
      </w:pPr>
      <w:r w:rsidRPr="00060D69">
        <w:rPr>
          <w:rFonts w:cs="Arial"/>
          <w:sz w:val="20"/>
        </w:rPr>
        <w:t>Praha 2, Apolinářská 441/18</w:t>
      </w:r>
    </w:p>
    <w:p w14:paraId="0CE8C704" w14:textId="77777777" w:rsidR="00097170" w:rsidRPr="00060D69" w:rsidRDefault="00097170" w:rsidP="00097170">
      <w:pPr>
        <w:autoSpaceDE w:val="0"/>
        <w:autoSpaceDN w:val="0"/>
        <w:adjustRightInd w:val="0"/>
        <w:rPr>
          <w:rFonts w:cs="Arial"/>
          <w:sz w:val="20"/>
        </w:rPr>
      </w:pPr>
      <w:r w:rsidRPr="00060D69">
        <w:rPr>
          <w:rFonts w:cs="Arial"/>
          <w:sz w:val="20"/>
        </w:rPr>
        <w:t>Praha 2, Apolinářská 447/4</w:t>
      </w:r>
    </w:p>
    <w:p w14:paraId="592791B5" w14:textId="77777777" w:rsidR="00097170" w:rsidRPr="00060D69" w:rsidRDefault="00097170" w:rsidP="00097170">
      <w:pPr>
        <w:autoSpaceDE w:val="0"/>
        <w:autoSpaceDN w:val="0"/>
        <w:adjustRightInd w:val="0"/>
        <w:rPr>
          <w:rFonts w:cs="Arial"/>
          <w:sz w:val="20"/>
        </w:rPr>
      </w:pPr>
      <w:r w:rsidRPr="00060D69">
        <w:rPr>
          <w:rFonts w:cs="Arial"/>
          <w:sz w:val="20"/>
        </w:rPr>
        <w:t>Praha 2, Apolinářská 2119</w:t>
      </w:r>
    </w:p>
    <w:p w14:paraId="5E0DC1DE" w14:textId="77777777" w:rsidR="00097170" w:rsidRPr="00060D69" w:rsidRDefault="00097170" w:rsidP="00097170">
      <w:pPr>
        <w:autoSpaceDE w:val="0"/>
        <w:autoSpaceDN w:val="0"/>
        <w:adjustRightInd w:val="0"/>
        <w:rPr>
          <w:rFonts w:cs="Arial"/>
          <w:sz w:val="20"/>
        </w:rPr>
      </w:pPr>
      <w:r w:rsidRPr="00060D69">
        <w:rPr>
          <w:rFonts w:cs="Arial"/>
          <w:sz w:val="20"/>
        </w:rPr>
        <w:t>Praha 2, U Nemocnice 4</w:t>
      </w:r>
    </w:p>
    <w:p w14:paraId="50D337D1" w14:textId="77777777" w:rsidR="00097170" w:rsidRPr="00060D69" w:rsidRDefault="00097170" w:rsidP="00097170">
      <w:pPr>
        <w:autoSpaceDE w:val="0"/>
        <w:autoSpaceDN w:val="0"/>
        <w:adjustRightInd w:val="0"/>
        <w:rPr>
          <w:rFonts w:cs="Arial"/>
          <w:sz w:val="20"/>
        </w:rPr>
      </w:pPr>
      <w:r w:rsidRPr="00060D69">
        <w:rPr>
          <w:rFonts w:cs="Arial"/>
          <w:sz w:val="20"/>
        </w:rPr>
        <w:t>Praha 2, U Nemocnice 5</w:t>
      </w:r>
    </w:p>
    <w:p w14:paraId="5211226B" w14:textId="77777777" w:rsidR="00097170" w:rsidRPr="00060D69" w:rsidRDefault="00097170" w:rsidP="00097170">
      <w:pPr>
        <w:autoSpaceDE w:val="0"/>
        <w:autoSpaceDN w:val="0"/>
        <w:adjustRightInd w:val="0"/>
        <w:rPr>
          <w:rFonts w:cs="Arial"/>
          <w:sz w:val="20"/>
        </w:rPr>
      </w:pPr>
      <w:r w:rsidRPr="00060D69">
        <w:rPr>
          <w:rFonts w:cs="Arial"/>
          <w:sz w:val="20"/>
        </w:rPr>
        <w:t>Praha 2, Studničková 7</w:t>
      </w:r>
    </w:p>
    <w:p w14:paraId="7662465F" w14:textId="77777777" w:rsidR="00097170" w:rsidRPr="00060D69" w:rsidRDefault="00097170" w:rsidP="00097170">
      <w:pPr>
        <w:autoSpaceDE w:val="0"/>
        <w:autoSpaceDN w:val="0"/>
        <w:adjustRightInd w:val="0"/>
        <w:rPr>
          <w:rFonts w:cs="Arial"/>
          <w:sz w:val="20"/>
        </w:rPr>
      </w:pPr>
      <w:r w:rsidRPr="00060D69">
        <w:rPr>
          <w:rFonts w:cs="Arial"/>
          <w:sz w:val="20"/>
        </w:rPr>
        <w:t>Praha 2, Studničková 4</w:t>
      </w:r>
    </w:p>
    <w:p w14:paraId="3332B31B" w14:textId="77777777" w:rsidR="00097170" w:rsidRPr="00060D69" w:rsidRDefault="00097170" w:rsidP="00097170">
      <w:pPr>
        <w:autoSpaceDE w:val="0"/>
        <w:autoSpaceDN w:val="0"/>
        <w:adjustRightInd w:val="0"/>
        <w:rPr>
          <w:rFonts w:cs="Arial"/>
          <w:sz w:val="20"/>
        </w:rPr>
      </w:pPr>
      <w:r w:rsidRPr="00060D69">
        <w:rPr>
          <w:rFonts w:cs="Arial"/>
          <w:sz w:val="20"/>
        </w:rPr>
        <w:t>Praha 2, Salmovská 219/13 (ubytovna)</w:t>
      </w:r>
    </w:p>
    <w:p w14:paraId="3B0DF1BE" w14:textId="77777777" w:rsidR="00097170" w:rsidRPr="00060D69" w:rsidRDefault="00097170" w:rsidP="00097170">
      <w:pPr>
        <w:autoSpaceDE w:val="0"/>
        <w:autoSpaceDN w:val="0"/>
        <w:adjustRightInd w:val="0"/>
        <w:rPr>
          <w:rFonts w:cs="Arial"/>
          <w:sz w:val="20"/>
        </w:rPr>
      </w:pPr>
      <w:r w:rsidRPr="00060D69">
        <w:rPr>
          <w:rFonts w:cs="Arial"/>
          <w:sz w:val="20"/>
        </w:rPr>
        <w:t>Praha 2, Karlovo nám. 554/32</w:t>
      </w:r>
    </w:p>
    <w:p w14:paraId="20FFE52F" w14:textId="77777777" w:rsidR="00097170" w:rsidRPr="00060D69" w:rsidRDefault="00097170" w:rsidP="00097170">
      <w:pPr>
        <w:autoSpaceDE w:val="0"/>
        <w:autoSpaceDN w:val="0"/>
        <w:adjustRightInd w:val="0"/>
        <w:rPr>
          <w:rFonts w:cs="Arial"/>
          <w:sz w:val="20"/>
        </w:rPr>
      </w:pPr>
      <w:r w:rsidRPr="00060D69">
        <w:rPr>
          <w:rFonts w:cs="Arial"/>
          <w:sz w:val="20"/>
        </w:rPr>
        <w:t>Praha 2, Karlovo nám. 501/39</w:t>
      </w:r>
    </w:p>
    <w:p w14:paraId="140809C7" w14:textId="77777777" w:rsidR="00097170" w:rsidRPr="00060D69" w:rsidRDefault="00097170" w:rsidP="00097170">
      <w:pPr>
        <w:autoSpaceDE w:val="0"/>
        <w:autoSpaceDN w:val="0"/>
        <w:adjustRightInd w:val="0"/>
        <w:rPr>
          <w:rFonts w:cs="Arial"/>
          <w:sz w:val="20"/>
        </w:rPr>
      </w:pPr>
      <w:r w:rsidRPr="00060D69">
        <w:rPr>
          <w:rFonts w:cs="Arial"/>
          <w:sz w:val="20"/>
        </w:rPr>
        <w:t>Praha 2, Albertov 4</w:t>
      </w:r>
    </w:p>
    <w:p w14:paraId="136BD8A2" w14:textId="77777777" w:rsidR="00097170" w:rsidRPr="00060D69" w:rsidRDefault="00097170" w:rsidP="00097170">
      <w:pPr>
        <w:autoSpaceDE w:val="0"/>
        <w:autoSpaceDN w:val="0"/>
        <w:adjustRightInd w:val="0"/>
        <w:rPr>
          <w:rFonts w:cs="Arial"/>
          <w:sz w:val="20"/>
        </w:rPr>
      </w:pPr>
      <w:r w:rsidRPr="00060D69">
        <w:rPr>
          <w:rFonts w:cs="Arial"/>
          <w:sz w:val="20"/>
        </w:rPr>
        <w:t>Praha 6, U Vojenské nemocnice 1200</w:t>
      </w:r>
    </w:p>
    <w:p w14:paraId="2B628151" w14:textId="77777777" w:rsidR="00097170" w:rsidRPr="00060D69" w:rsidRDefault="00097170" w:rsidP="00097170">
      <w:pPr>
        <w:autoSpaceDE w:val="0"/>
        <w:autoSpaceDN w:val="0"/>
        <w:adjustRightInd w:val="0"/>
        <w:rPr>
          <w:rFonts w:cs="Arial"/>
          <w:sz w:val="20"/>
        </w:rPr>
      </w:pPr>
      <w:r w:rsidRPr="00060D69">
        <w:rPr>
          <w:rFonts w:cs="Arial"/>
          <w:sz w:val="20"/>
        </w:rPr>
        <w:t>Praha 6, Šermířská 1921/4</w:t>
      </w:r>
    </w:p>
    <w:p w14:paraId="7D07B852" w14:textId="77777777" w:rsidR="00097170" w:rsidRDefault="00097170" w:rsidP="00097170">
      <w:pPr>
        <w:autoSpaceDE w:val="0"/>
        <w:autoSpaceDN w:val="0"/>
        <w:adjustRightInd w:val="0"/>
        <w:rPr>
          <w:rFonts w:cs="Arial"/>
          <w:sz w:val="20"/>
        </w:rPr>
      </w:pPr>
      <w:r w:rsidRPr="00060D69">
        <w:rPr>
          <w:rFonts w:cs="Arial"/>
          <w:sz w:val="20"/>
        </w:rPr>
        <w:t xml:space="preserve">Praha 5, U </w:t>
      </w:r>
      <w:proofErr w:type="spellStart"/>
      <w:r w:rsidRPr="00060D69">
        <w:rPr>
          <w:rFonts w:cs="Arial"/>
          <w:sz w:val="20"/>
        </w:rPr>
        <w:t>Nesypky</w:t>
      </w:r>
      <w:proofErr w:type="spellEnd"/>
      <w:r w:rsidRPr="00060D69">
        <w:rPr>
          <w:rFonts w:cs="Arial"/>
          <w:sz w:val="20"/>
        </w:rPr>
        <w:t xml:space="preserve"> 110/28</w:t>
      </w:r>
    </w:p>
    <w:p w14:paraId="2C370EF6" w14:textId="77777777" w:rsidR="00097170" w:rsidRPr="00576987" w:rsidRDefault="00097170" w:rsidP="00097170">
      <w:pPr>
        <w:autoSpaceDE w:val="0"/>
        <w:autoSpaceDN w:val="0"/>
        <w:adjustRightInd w:val="0"/>
        <w:rPr>
          <w:rFonts w:cs="Arial"/>
          <w:sz w:val="20"/>
        </w:rPr>
      </w:pPr>
      <w:r w:rsidRPr="00826C8E">
        <w:rPr>
          <w:rFonts w:cs="Arial"/>
          <w:sz w:val="20"/>
        </w:rPr>
        <w:t xml:space="preserve">Praha 5, Zbraslav 639, </w:t>
      </w:r>
      <w:proofErr w:type="gramStart"/>
      <w:r w:rsidRPr="00826C8E">
        <w:rPr>
          <w:rFonts w:cs="Arial"/>
          <w:sz w:val="20"/>
        </w:rPr>
        <w:t>640  (</w:t>
      </w:r>
      <w:proofErr w:type="gramEnd"/>
      <w:r w:rsidRPr="00826C8E">
        <w:rPr>
          <w:rFonts w:cs="Arial"/>
          <w:sz w:val="20"/>
        </w:rPr>
        <w:t>pracoviště transfúzního oddělení)</w:t>
      </w:r>
    </w:p>
    <w:p w14:paraId="5745BFDE" w14:textId="77777777" w:rsidR="00097170" w:rsidRPr="00060D69" w:rsidRDefault="00097170" w:rsidP="00097170">
      <w:pPr>
        <w:autoSpaceDE w:val="0"/>
        <w:autoSpaceDN w:val="0"/>
        <w:adjustRightInd w:val="0"/>
        <w:rPr>
          <w:rFonts w:cs="Arial"/>
          <w:sz w:val="20"/>
        </w:rPr>
      </w:pPr>
      <w:r w:rsidRPr="00060D69">
        <w:rPr>
          <w:rFonts w:cs="Arial"/>
          <w:sz w:val="20"/>
        </w:rPr>
        <w:t>Praha, Neklanova 101/6 (ubytovna)</w:t>
      </w:r>
    </w:p>
    <w:p w14:paraId="29DE92F3" w14:textId="77777777" w:rsidR="00097170" w:rsidRPr="00060D69" w:rsidRDefault="00097170" w:rsidP="00097170">
      <w:pPr>
        <w:autoSpaceDE w:val="0"/>
        <w:autoSpaceDN w:val="0"/>
        <w:adjustRightInd w:val="0"/>
        <w:rPr>
          <w:rFonts w:cs="Arial"/>
          <w:sz w:val="20"/>
        </w:rPr>
      </w:pPr>
      <w:r w:rsidRPr="00060D69">
        <w:rPr>
          <w:rFonts w:cs="Arial"/>
          <w:sz w:val="20"/>
        </w:rPr>
        <w:t>Praha, Kloknerova 1245/1</w:t>
      </w:r>
    </w:p>
    <w:p w14:paraId="5AB82BF3" w14:textId="77777777" w:rsidR="00097170" w:rsidRPr="00060D69" w:rsidRDefault="00097170" w:rsidP="00097170">
      <w:pPr>
        <w:autoSpaceDE w:val="0"/>
        <w:autoSpaceDN w:val="0"/>
        <w:adjustRightInd w:val="0"/>
        <w:rPr>
          <w:rFonts w:cs="Arial"/>
          <w:sz w:val="20"/>
        </w:rPr>
      </w:pPr>
      <w:r w:rsidRPr="00060D69">
        <w:rPr>
          <w:rFonts w:cs="Arial"/>
          <w:sz w:val="20"/>
        </w:rPr>
        <w:t>Praha, Klimentská 1236/9 (ubytovna)</w:t>
      </w:r>
    </w:p>
    <w:p w14:paraId="667AE18A" w14:textId="77777777" w:rsidR="00097170" w:rsidRPr="00060D69" w:rsidRDefault="00097170" w:rsidP="00097170">
      <w:pPr>
        <w:autoSpaceDE w:val="0"/>
        <w:autoSpaceDN w:val="0"/>
        <w:adjustRightInd w:val="0"/>
        <w:rPr>
          <w:rFonts w:cs="Arial"/>
          <w:sz w:val="20"/>
        </w:rPr>
      </w:pPr>
      <w:r w:rsidRPr="00060D69">
        <w:rPr>
          <w:rFonts w:cs="Arial"/>
          <w:sz w:val="20"/>
        </w:rPr>
        <w:t>Unhošť 773</w:t>
      </w:r>
    </w:p>
    <w:p w14:paraId="132B6A4A" w14:textId="77777777" w:rsidR="00097170" w:rsidRPr="00060D69" w:rsidRDefault="00097170" w:rsidP="00097170">
      <w:pPr>
        <w:autoSpaceDE w:val="0"/>
        <w:autoSpaceDN w:val="0"/>
        <w:adjustRightInd w:val="0"/>
        <w:rPr>
          <w:rFonts w:cs="Arial"/>
          <w:sz w:val="20"/>
        </w:rPr>
      </w:pPr>
      <w:r w:rsidRPr="00060D69">
        <w:rPr>
          <w:rFonts w:cs="Arial"/>
          <w:sz w:val="20"/>
        </w:rPr>
        <w:t>Praha 2, Londýnská 544/15</w:t>
      </w:r>
    </w:p>
    <w:p w14:paraId="039955BB" w14:textId="77777777" w:rsidR="00097170" w:rsidRPr="00060D69" w:rsidRDefault="00097170" w:rsidP="00097170">
      <w:pPr>
        <w:autoSpaceDE w:val="0"/>
        <w:autoSpaceDN w:val="0"/>
        <w:adjustRightInd w:val="0"/>
        <w:rPr>
          <w:rFonts w:cs="Arial"/>
          <w:sz w:val="20"/>
        </w:rPr>
      </w:pPr>
      <w:r w:rsidRPr="00060D69">
        <w:rPr>
          <w:rFonts w:cs="Arial"/>
          <w:sz w:val="20"/>
        </w:rPr>
        <w:t>Praha 2, Záhřebská 5</w:t>
      </w:r>
    </w:p>
    <w:p w14:paraId="2C7A86EE" w14:textId="77777777" w:rsidR="00097170" w:rsidRDefault="00097170" w:rsidP="00097170">
      <w:pPr>
        <w:autoSpaceDE w:val="0"/>
        <w:autoSpaceDN w:val="0"/>
        <w:adjustRightInd w:val="0"/>
        <w:rPr>
          <w:rFonts w:cs="Arial"/>
          <w:sz w:val="20"/>
        </w:rPr>
      </w:pPr>
      <w:r w:rsidRPr="00060D69">
        <w:rPr>
          <w:rFonts w:cs="Arial"/>
          <w:sz w:val="20"/>
        </w:rPr>
        <w:t>Praha 2, Karlovo náměstí čp. 502/40</w:t>
      </w:r>
    </w:p>
    <w:p w14:paraId="73972170" w14:textId="77777777" w:rsidR="00097170" w:rsidRDefault="00097170" w:rsidP="00097170">
      <w:pPr>
        <w:autoSpaceDE w:val="0"/>
        <w:autoSpaceDN w:val="0"/>
        <w:adjustRightInd w:val="0"/>
        <w:rPr>
          <w:rFonts w:cs="Arial"/>
          <w:sz w:val="20"/>
        </w:rPr>
      </w:pPr>
      <w:r w:rsidRPr="001A5A3D">
        <w:rPr>
          <w:rFonts w:cs="Arial"/>
          <w:sz w:val="20"/>
        </w:rPr>
        <w:t>Praha 2, Wenzigova 2083/1</w:t>
      </w:r>
    </w:p>
    <w:p w14:paraId="07EAC2BF" w14:textId="77777777" w:rsidR="00097170" w:rsidRDefault="00097170" w:rsidP="00097170">
      <w:pPr>
        <w:autoSpaceDE w:val="0"/>
        <w:autoSpaceDN w:val="0"/>
        <w:adjustRightInd w:val="0"/>
        <w:rPr>
          <w:rFonts w:cs="Arial"/>
          <w:sz w:val="20"/>
        </w:rPr>
      </w:pPr>
      <w:r>
        <w:rPr>
          <w:rFonts w:cs="Arial"/>
          <w:sz w:val="20"/>
        </w:rPr>
        <w:t xml:space="preserve">Praha 2, Salmovská 3/478 </w:t>
      </w:r>
    </w:p>
    <w:p w14:paraId="543DD301" w14:textId="77777777" w:rsidR="00097170" w:rsidRDefault="00097170" w:rsidP="00097170">
      <w:pPr>
        <w:autoSpaceDE w:val="0"/>
        <w:autoSpaceDN w:val="0"/>
        <w:adjustRightInd w:val="0"/>
        <w:rPr>
          <w:rFonts w:cs="Arial"/>
          <w:sz w:val="20"/>
        </w:rPr>
      </w:pPr>
      <w:r w:rsidRPr="00440145">
        <w:rPr>
          <w:rFonts w:cs="Arial"/>
          <w:sz w:val="20"/>
        </w:rPr>
        <w:t>Třeboň</w:t>
      </w:r>
      <w:r>
        <w:rPr>
          <w:rFonts w:cs="Arial"/>
          <w:sz w:val="20"/>
        </w:rPr>
        <w:t xml:space="preserve">, </w:t>
      </w:r>
      <w:r w:rsidRPr="00440145">
        <w:rPr>
          <w:rFonts w:cs="Arial"/>
          <w:sz w:val="20"/>
        </w:rPr>
        <w:t>Krokova č.p. 595</w:t>
      </w:r>
    </w:p>
    <w:p w14:paraId="62D4C15A" w14:textId="77777777" w:rsidR="00097170" w:rsidRPr="001A5A3D" w:rsidRDefault="00097170" w:rsidP="00097170">
      <w:pPr>
        <w:autoSpaceDE w:val="0"/>
        <w:autoSpaceDN w:val="0"/>
        <w:adjustRightInd w:val="0"/>
        <w:rPr>
          <w:rFonts w:cs="Arial"/>
          <w:sz w:val="20"/>
        </w:rPr>
      </w:pPr>
      <w:r w:rsidRPr="00211CA1">
        <w:rPr>
          <w:sz w:val="20"/>
        </w:rPr>
        <w:t xml:space="preserve">Faustův dům č.p. 502 – parcely 1648/6, 1643/1, 1648/5, 1648/1 a 1648/4 </w:t>
      </w:r>
      <w:proofErr w:type="spellStart"/>
      <w:r w:rsidRPr="00211CA1">
        <w:rPr>
          <w:sz w:val="20"/>
        </w:rPr>
        <w:t>k.ú</w:t>
      </w:r>
      <w:proofErr w:type="spellEnd"/>
      <w:r w:rsidRPr="00211CA1">
        <w:rPr>
          <w:sz w:val="20"/>
        </w:rPr>
        <w:t>. Nové Město v katastrálním území Nové Město</w:t>
      </w:r>
    </w:p>
    <w:p w14:paraId="170A7A6E" w14:textId="77777777" w:rsidR="00097170" w:rsidRPr="00374FD7" w:rsidRDefault="00097170" w:rsidP="00097170"/>
    <w:p w14:paraId="6AF4293D" w14:textId="77777777" w:rsidR="00097170" w:rsidRPr="00F42AC2" w:rsidRDefault="00097170" w:rsidP="00F42AC2">
      <w:pPr>
        <w:pStyle w:val="Zkladntextodsazen3"/>
        <w:tabs>
          <w:tab w:val="left" w:pos="1418"/>
        </w:tabs>
        <w:ind w:hanging="284"/>
        <w:rPr>
          <w:rFonts w:ascii="Koop Office" w:hAnsi="Koop Office"/>
          <w:sz w:val="20"/>
        </w:rPr>
      </w:pPr>
    </w:p>
    <w:sectPr w:rsidR="00097170" w:rsidRPr="00F42AC2" w:rsidSect="00877EFF">
      <w:headerReference w:type="default" r:id="rId13"/>
      <w:footerReference w:type="default" r:id="rId14"/>
      <w:headerReference w:type="firs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16DE" w14:textId="77777777" w:rsidR="006B6047" w:rsidRDefault="006B6047">
      <w:r>
        <w:separator/>
      </w:r>
    </w:p>
  </w:endnote>
  <w:endnote w:type="continuationSeparator" w:id="0">
    <w:p w14:paraId="47FAEDD9" w14:textId="77777777" w:rsidR="006B6047" w:rsidRDefault="006B6047">
      <w:r>
        <w:continuationSeparator/>
      </w:r>
    </w:p>
  </w:endnote>
  <w:endnote w:type="continuationNotice" w:id="1">
    <w:p w14:paraId="4D849F50" w14:textId="77777777" w:rsidR="006B6047" w:rsidRDefault="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38A9" w14:textId="77777777" w:rsidR="006B6047" w:rsidRDefault="006B6047">
      <w:r>
        <w:separator/>
      </w:r>
    </w:p>
  </w:footnote>
  <w:footnote w:type="continuationSeparator" w:id="0">
    <w:p w14:paraId="3491F60D" w14:textId="77777777" w:rsidR="006B6047" w:rsidRDefault="006B6047">
      <w:r>
        <w:continuationSeparator/>
      </w:r>
    </w:p>
  </w:footnote>
  <w:footnote w:type="continuationNotice" w:id="1">
    <w:p w14:paraId="33987848" w14:textId="77777777" w:rsidR="006B6047" w:rsidRDefault="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EE72C1"/>
    <w:multiLevelType w:val="hybridMultilevel"/>
    <w:tmpl w:val="23142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7"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5"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7"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16cid:durableId="988435256">
    <w:abstractNumId w:val="9"/>
  </w:num>
  <w:num w:numId="2" w16cid:durableId="1717586983">
    <w:abstractNumId w:val="27"/>
  </w:num>
  <w:num w:numId="3" w16cid:durableId="984236066">
    <w:abstractNumId w:val="10"/>
  </w:num>
  <w:num w:numId="4" w16cid:durableId="545025602">
    <w:abstractNumId w:val="26"/>
  </w:num>
  <w:num w:numId="5" w16cid:durableId="1178349952">
    <w:abstractNumId w:val="16"/>
  </w:num>
  <w:num w:numId="6" w16cid:durableId="1329943982">
    <w:abstractNumId w:val="17"/>
  </w:num>
  <w:num w:numId="7" w16cid:durableId="1424687727">
    <w:abstractNumId w:val="15"/>
  </w:num>
  <w:num w:numId="8" w16cid:durableId="1492216087">
    <w:abstractNumId w:val="13"/>
  </w:num>
  <w:num w:numId="9" w16cid:durableId="1807621468">
    <w:abstractNumId w:val="28"/>
  </w:num>
  <w:num w:numId="10" w16cid:durableId="514808929">
    <w:abstractNumId w:val="2"/>
  </w:num>
  <w:num w:numId="11" w16cid:durableId="816266365">
    <w:abstractNumId w:val="22"/>
  </w:num>
  <w:num w:numId="12" w16cid:durableId="1206129">
    <w:abstractNumId w:val="18"/>
  </w:num>
  <w:num w:numId="13" w16cid:durableId="445929566">
    <w:abstractNumId w:val="30"/>
  </w:num>
  <w:num w:numId="14" w16cid:durableId="661810554">
    <w:abstractNumId w:val="23"/>
  </w:num>
  <w:num w:numId="15" w16cid:durableId="365641394">
    <w:abstractNumId w:val="20"/>
  </w:num>
  <w:num w:numId="16" w16cid:durableId="199712251">
    <w:abstractNumId w:val="29"/>
  </w:num>
  <w:num w:numId="17" w16cid:durableId="1302075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70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700140">
    <w:abstractNumId w:val="31"/>
  </w:num>
  <w:num w:numId="20" w16cid:durableId="931007258">
    <w:abstractNumId w:val="8"/>
  </w:num>
  <w:num w:numId="21" w16cid:durableId="218397879">
    <w:abstractNumId w:val="4"/>
  </w:num>
  <w:num w:numId="22" w16cid:durableId="7144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5588">
    <w:abstractNumId w:val="12"/>
  </w:num>
  <w:num w:numId="24" w16cid:durableId="772018080">
    <w:abstractNumId w:val="24"/>
  </w:num>
  <w:num w:numId="25" w16cid:durableId="836964268">
    <w:abstractNumId w:val="11"/>
  </w:num>
  <w:num w:numId="26" w16cid:durableId="606741633">
    <w:abstractNumId w:val="25"/>
  </w:num>
  <w:num w:numId="27" w16cid:durableId="1644001889">
    <w:abstractNumId w:val="3"/>
  </w:num>
  <w:num w:numId="28" w16cid:durableId="1513965">
    <w:abstractNumId w:val="19"/>
  </w:num>
  <w:num w:numId="29" w16cid:durableId="747852318">
    <w:abstractNumId w:val="4"/>
  </w:num>
  <w:num w:numId="30" w16cid:durableId="32969271">
    <w:abstractNumId w:val="21"/>
  </w:num>
  <w:num w:numId="31" w16cid:durableId="1445804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9A2"/>
    <w:rsid w:val="000056C9"/>
    <w:rsid w:val="000067B5"/>
    <w:rsid w:val="0000723D"/>
    <w:rsid w:val="0001024B"/>
    <w:rsid w:val="0001084B"/>
    <w:rsid w:val="00012595"/>
    <w:rsid w:val="000140B5"/>
    <w:rsid w:val="00014FBC"/>
    <w:rsid w:val="00016200"/>
    <w:rsid w:val="00020DF0"/>
    <w:rsid w:val="0002161D"/>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170"/>
    <w:rsid w:val="0009786D"/>
    <w:rsid w:val="00097CD0"/>
    <w:rsid w:val="000A025A"/>
    <w:rsid w:val="000A0683"/>
    <w:rsid w:val="000A10CA"/>
    <w:rsid w:val="000A2D57"/>
    <w:rsid w:val="000A3B0B"/>
    <w:rsid w:val="000A68FC"/>
    <w:rsid w:val="000A6CC5"/>
    <w:rsid w:val="000A7B53"/>
    <w:rsid w:val="000B0C00"/>
    <w:rsid w:val="000B0F48"/>
    <w:rsid w:val="000B1956"/>
    <w:rsid w:val="000B2265"/>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649C2"/>
    <w:rsid w:val="001715DD"/>
    <w:rsid w:val="00172697"/>
    <w:rsid w:val="00174270"/>
    <w:rsid w:val="00175BEA"/>
    <w:rsid w:val="00175F45"/>
    <w:rsid w:val="001768B3"/>
    <w:rsid w:val="00176FAD"/>
    <w:rsid w:val="001773E3"/>
    <w:rsid w:val="00177615"/>
    <w:rsid w:val="00177E3D"/>
    <w:rsid w:val="00181409"/>
    <w:rsid w:val="001819A9"/>
    <w:rsid w:val="001823D9"/>
    <w:rsid w:val="00182F57"/>
    <w:rsid w:val="00185130"/>
    <w:rsid w:val="00186D56"/>
    <w:rsid w:val="00192160"/>
    <w:rsid w:val="00194E45"/>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1900"/>
    <w:rsid w:val="00211CA1"/>
    <w:rsid w:val="00213AAC"/>
    <w:rsid w:val="0021491A"/>
    <w:rsid w:val="002153D3"/>
    <w:rsid w:val="00215E8B"/>
    <w:rsid w:val="002160DA"/>
    <w:rsid w:val="00216C2E"/>
    <w:rsid w:val="00221407"/>
    <w:rsid w:val="002228DC"/>
    <w:rsid w:val="00224037"/>
    <w:rsid w:val="002244A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A62DC"/>
    <w:rsid w:val="002A67F1"/>
    <w:rsid w:val="002B08EB"/>
    <w:rsid w:val="002B091F"/>
    <w:rsid w:val="002B4B57"/>
    <w:rsid w:val="002B57A6"/>
    <w:rsid w:val="002B6EAE"/>
    <w:rsid w:val="002C18E9"/>
    <w:rsid w:val="002C2B1D"/>
    <w:rsid w:val="002C4130"/>
    <w:rsid w:val="002C6A91"/>
    <w:rsid w:val="002D15A4"/>
    <w:rsid w:val="002D22B3"/>
    <w:rsid w:val="002D4783"/>
    <w:rsid w:val="002D5673"/>
    <w:rsid w:val="002D5E6F"/>
    <w:rsid w:val="002E138A"/>
    <w:rsid w:val="002E370E"/>
    <w:rsid w:val="002E6FFB"/>
    <w:rsid w:val="002F05B2"/>
    <w:rsid w:val="002F0718"/>
    <w:rsid w:val="002F0CD4"/>
    <w:rsid w:val="002F2422"/>
    <w:rsid w:val="002F2BF8"/>
    <w:rsid w:val="002F40FB"/>
    <w:rsid w:val="0030310F"/>
    <w:rsid w:val="0030333C"/>
    <w:rsid w:val="003068FE"/>
    <w:rsid w:val="00311B0D"/>
    <w:rsid w:val="003120BB"/>
    <w:rsid w:val="00312551"/>
    <w:rsid w:val="003154F3"/>
    <w:rsid w:val="00317AD3"/>
    <w:rsid w:val="00320B15"/>
    <w:rsid w:val="00320BB3"/>
    <w:rsid w:val="0032209A"/>
    <w:rsid w:val="00322263"/>
    <w:rsid w:val="00324AC7"/>
    <w:rsid w:val="00326087"/>
    <w:rsid w:val="00326953"/>
    <w:rsid w:val="00330496"/>
    <w:rsid w:val="0033123B"/>
    <w:rsid w:val="00331D89"/>
    <w:rsid w:val="00332B78"/>
    <w:rsid w:val="00335684"/>
    <w:rsid w:val="00335E55"/>
    <w:rsid w:val="00341B9F"/>
    <w:rsid w:val="003425D8"/>
    <w:rsid w:val="00342919"/>
    <w:rsid w:val="0034317C"/>
    <w:rsid w:val="00344F8E"/>
    <w:rsid w:val="003450CC"/>
    <w:rsid w:val="0034551F"/>
    <w:rsid w:val="003464F6"/>
    <w:rsid w:val="003465BD"/>
    <w:rsid w:val="00347C44"/>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1AC"/>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260"/>
    <w:rsid w:val="00404905"/>
    <w:rsid w:val="00406A5F"/>
    <w:rsid w:val="00411FD3"/>
    <w:rsid w:val="00412AA3"/>
    <w:rsid w:val="004149EA"/>
    <w:rsid w:val="00415DC6"/>
    <w:rsid w:val="0041792E"/>
    <w:rsid w:val="0042166D"/>
    <w:rsid w:val="004239DC"/>
    <w:rsid w:val="00425023"/>
    <w:rsid w:val="00426552"/>
    <w:rsid w:val="00430EC6"/>
    <w:rsid w:val="004337FE"/>
    <w:rsid w:val="00433D9F"/>
    <w:rsid w:val="00433E27"/>
    <w:rsid w:val="00441EC8"/>
    <w:rsid w:val="004458BA"/>
    <w:rsid w:val="00445C2C"/>
    <w:rsid w:val="00445E75"/>
    <w:rsid w:val="0044603E"/>
    <w:rsid w:val="00447CEE"/>
    <w:rsid w:val="00452183"/>
    <w:rsid w:val="00453225"/>
    <w:rsid w:val="00453F72"/>
    <w:rsid w:val="00456426"/>
    <w:rsid w:val="0046026A"/>
    <w:rsid w:val="00462042"/>
    <w:rsid w:val="0046220C"/>
    <w:rsid w:val="0046297D"/>
    <w:rsid w:val="00463D3E"/>
    <w:rsid w:val="00464C42"/>
    <w:rsid w:val="00465726"/>
    <w:rsid w:val="004658EB"/>
    <w:rsid w:val="0046667D"/>
    <w:rsid w:val="004726C0"/>
    <w:rsid w:val="00473800"/>
    <w:rsid w:val="00476D9C"/>
    <w:rsid w:val="00477C40"/>
    <w:rsid w:val="00477CF1"/>
    <w:rsid w:val="00481386"/>
    <w:rsid w:val="00482353"/>
    <w:rsid w:val="004827DC"/>
    <w:rsid w:val="00483E40"/>
    <w:rsid w:val="00484118"/>
    <w:rsid w:val="00484BB4"/>
    <w:rsid w:val="004909E0"/>
    <w:rsid w:val="00490AF8"/>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0AD6"/>
    <w:rsid w:val="004B12B8"/>
    <w:rsid w:val="004B2B44"/>
    <w:rsid w:val="004B5C30"/>
    <w:rsid w:val="004C475B"/>
    <w:rsid w:val="004D25AB"/>
    <w:rsid w:val="004D3225"/>
    <w:rsid w:val="004D35B3"/>
    <w:rsid w:val="004D44B3"/>
    <w:rsid w:val="004D4F69"/>
    <w:rsid w:val="004D7F8A"/>
    <w:rsid w:val="004E0C7F"/>
    <w:rsid w:val="004E11DA"/>
    <w:rsid w:val="004E1835"/>
    <w:rsid w:val="004E2C12"/>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48CB"/>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595"/>
    <w:rsid w:val="00621994"/>
    <w:rsid w:val="00621D8C"/>
    <w:rsid w:val="00626C01"/>
    <w:rsid w:val="00627496"/>
    <w:rsid w:val="00627B14"/>
    <w:rsid w:val="006319A5"/>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3354"/>
    <w:rsid w:val="00684356"/>
    <w:rsid w:val="00685928"/>
    <w:rsid w:val="00686F62"/>
    <w:rsid w:val="0068794D"/>
    <w:rsid w:val="006879E1"/>
    <w:rsid w:val="00690862"/>
    <w:rsid w:val="00690A7B"/>
    <w:rsid w:val="00690C61"/>
    <w:rsid w:val="0069250C"/>
    <w:rsid w:val="00695652"/>
    <w:rsid w:val="00696009"/>
    <w:rsid w:val="006A07D3"/>
    <w:rsid w:val="006A0B1A"/>
    <w:rsid w:val="006A14DD"/>
    <w:rsid w:val="006A228B"/>
    <w:rsid w:val="006A3365"/>
    <w:rsid w:val="006A5330"/>
    <w:rsid w:val="006A6442"/>
    <w:rsid w:val="006A7984"/>
    <w:rsid w:val="006B4A79"/>
    <w:rsid w:val="006B6047"/>
    <w:rsid w:val="006B6671"/>
    <w:rsid w:val="006B6F68"/>
    <w:rsid w:val="006B718D"/>
    <w:rsid w:val="006B738E"/>
    <w:rsid w:val="006C2792"/>
    <w:rsid w:val="006C349E"/>
    <w:rsid w:val="006C3690"/>
    <w:rsid w:val="006C7AF6"/>
    <w:rsid w:val="006D0421"/>
    <w:rsid w:val="006D0E81"/>
    <w:rsid w:val="006D3277"/>
    <w:rsid w:val="006D3B94"/>
    <w:rsid w:val="006D52CD"/>
    <w:rsid w:val="006D5327"/>
    <w:rsid w:val="006D5F12"/>
    <w:rsid w:val="006D7684"/>
    <w:rsid w:val="006E0163"/>
    <w:rsid w:val="006E12A7"/>
    <w:rsid w:val="006E30A7"/>
    <w:rsid w:val="006E3282"/>
    <w:rsid w:val="006E40B4"/>
    <w:rsid w:val="006E4294"/>
    <w:rsid w:val="006E7856"/>
    <w:rsid w:val="006F008A"/>
    <w:rsid w:val="006F00C2"/>
    <w:rsid w:val="006F0FB3"/>
    <w:rsid w:val="006F1AC2"/>
    <w:rsid w:val="006F6158"/>
    <w:rsid w:val="00701A24"/>
    <w:rsid w:val="007024F2"/>
    <w:rsid w:val="007037B8"/>
    <w:rsid w:val="00704FA8"/>
    <w:rsid w:val="00707684"/>
    <w:rsid w:val="00707D1B"/>
    <w:rsid w:val="00710346"/>
    <w:rsid w:val="007128F2"/>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6947"/>
    <w:rsid w:val="00747005"/>
    <w:rsid w:val="00747EE5"/>
    <w:rsid w:val="00752B1B"/>
    <w:rsid w:val="007533F4"/>
    <w:rsid w:val="007554E6"/>
    <w:rsid w:val="00755763"/>
    <w:rsid w:val="00755DA6"/>
    <w:rsid w:val="00762AB3"/>
    <w:rsid w:val="00763E54"/>
    <w:rsid w:val="007671EB"/>
    <w:rsid w:val="0076734A"/>
    <w:rsid w:val="00774034"/>
    <w:rsid w:val="00774CB1"/>
    <w:rsid w:val="00776082"/>
    <w:rsid w:val="00776BDB"/>
    <w:rsid w:val="007805AB"/>
    <w:rsid w:val="007828B7"/>
    <w:rsid w:val="00784D5D"/>
    <w:rsid w:val="007852FE"/>
    <w:rsid w:val="00790CF7"/>
    <w:rsid w:val="0079560F"/>
    <w:rsid w:val="007A01AC"/>
    <w:rsid w:val="007A02B7"/>
    <w:rsid w:val="007A0D3C"/>
    <w:rsid w:val="007A2068"/>
    <w:rsid w:val="007A2187"/>
    <w:rsid w:val="007A24DE"/>
    <w:rsid w:val="007A3437"/>
    <w:rsid w:val="007A3504"/>
    <w:rsid w:val="007A4E91"/>
    <w:rsid w:val="007A7820"/>
    <w:rsid w:val="007B07B3"/>
    <w:rsid w:val="007B0D43"/>
    <w:rsid w:val="007B4FC6"/>
    <w:rsid w:val="007B5A3D"/>
    <w:rsid w:val="007C2954"/>
    <w:rsid w:val="007C3392"/>
    <w:rsid w:val="007C5C59"/>
    <w:rsid w:val="007C6242"/>
    <w:rsid w:val="007D03A0"/>
    <w:rsid w:val="007D1F7E"/>
    <w:rsid w:val="007D6E4C"/>
    <w:rsid w:val="007D7C4F"/>
    <w:rsid w:val="007E252E"/>
    <w:rsid w:val="007E5D56"/>
    <w:rsid w:val="007E77EC"/>
    <w:rsid w:val="007F03FE"/>
    <w:rsid w:val="007F4CA7"/>
    <w:rsid w:val="007F4F87"/>
    <w:rsid w:val="007F5278"/>
    <w:rsid w:val="007F610A"/>
    <w:rsid w:val="007F61BB"/>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5571"/>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2546"/>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E60"/>
    <w:rsid w:val="008E3FA7"/>
    <w:rsid w:val="008E5B62"/>
    <w:rsid w:val="008F1C82"/>
    <w:rsid w:val="008F213B"/>
    <w:rsid w:val="008F3E07"/>
    <w:rsid w:val="008F5671"/>
    <w:rsid w:val="008F5954"/>
    <w:rsid w:val="008F6936"/>
    <w:rsid w:val="009006E2"/>
    <w:rsid w:val="00900B3F"/>
    <w:rsid w:val="00907146"/>
    <w:rsid w:val="00911BFE"/>
    <w:rsid w:val="00912346"/>
    <w:rsid w:val="00914805"/>
    <w:rsid w:val="00915200"/>
    <w:rsid w:val="00915A77"/>
    <w:rsid w:val="00923432"/>
    <w:rsid w:val="0092495E"/>
    <w:rsid w:val="009259B5"/>
    <w:rsid w:val="0092682D"/>
    <w:rsid w:val="00930F4A"/>
    <w:rsid w:val="00931F93"/>
    <w:rsid w:val="00934C3A"/>
    <w:rsid w:val="00941328"/>
    <w:rsid w:val="009504F0"/>
    <w:rsid w:val="0095074F"/>
    <w:rsid w:val="00950BBB"/>
    <w:rsid w:val="00951266"/>
    <w:rsid w:val="0095153A"/>
    <w:rsid w:val="00951A36"/>
    <w:rsid w:val="00952262"/>
    <w:rsid w:val="0095493D"/>
    <w:rsid w:val="009568D0"/>
    <w:rsid w:val="0096035D"/>
    <w:rsid w:val="00964BBE"/>
    <w:rsid w:val="00964DA9"/>
    <w:rsid w:val="00966556"/>
    <w:rsid w:val="00966A12"/>
    <w:rsid w:val="009672FC"/>
    <w:rsid w:val="00967528"/>
    <w:rsid w:val="00967B89"/>
    <w:rsid w:val="009740F5"/>
    <w:rsid w:val="00974B31"/>
    <w:rsid w:val="00975C84"/>
    <w:rsid w:val="00980514"/>
    <w:rsid w:val="00980562"/>
    <w:rsid w:val="009805D8"/>
    <w:rsid w:val="0098078A"/>
    <w:rsid w:val="00982083"/>
    <w:rsid w:val="00983369"/>
    <w:rsid w:val="00983472"/>
    <w:rsid w:val="00983DD5"/>
    <w:rsid w:val="00987D6B"/>
    <w:rsid w:val="00987DBC"/>
    <w:rsid w:val="009908CB"/>
    <w:rsid w:val="00991A45"/>
    <w:rsid w:val="00992296"/>
    <w:rsid w:val="00992426"/>
    <w:rsid w:val="00992817"/>
    <w:rsid w:val="009928BB"/>
    <w:rsid w:val="00995112"/>
    <w:rsid w:val="00997131"/>
    <w:rsid w:val="009978F5"/>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3930"/>
    <w:rsid w:val="009C48C2"/>
    <w:rsid w:val="009C50E2"/>
    <w:rsid w:val="009C5279"/>
    <w:rsid w:val="009C5A85"/>
    <w:rsid w:val="009C6A9B"/>
    <w:rsid w:val="009C6AEE"/>
    <w:rsid w:val="009C777A"/>
    <w:rsid w:val="009C7C63"/>
    <w:rsid w:val="009C7F78"/>
    <w:rsid w:val="009D21C8"/>
    <w:rsid w:val="009D26B7"/>
    <w:rsid w:val="009D326D"/>
    <w:rsid w:val="009D6BB4"/>
    <w:rsid w:val="009E187D"/>
    <w:rsid w:val="009E44EA"/>
    <w:rsid w:val="009E5872"/>
    <w:rsid w:val="009E5C33"/>
    <w:rsid w:val="009E73BC"/>
    <w:rsid w:val="009F08A1"/>
    <w:rsid w:val="009F0ED5"/>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3648"/>
    <w:rsid w:val="00A34A9E"/>
    <w:rsid w:val="00A34B30"/>
    <w:rsid w:val="00A40B91"/>
    <w:rsid w:val="00A46200"/>
    <w:rsid w:val="00A46BF6"/>
    <w:rsid w:val="00A47E9D"/>
    <w:rsid w:val="00A501BF"/>
    <w:rsid w:val="00A50917"/>
    <w:rsid w:val="00A52B71"/>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0946"/>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AF6F51"/>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04BA"/>
    <w:rsid w:val="00B81AAA"/>
    <w:rsid w:val="00B828DD"/>
    <w:rsid w:val="00B829D8"/>
    <w:rsid w:val="00B82B8A"/>
    <w:rsid w:val="00B84CFC"/>
    <w:rsid w:val="00B85533"/>
    <w:rsid w:val="00B857B0"/>
    <w:rsid w:val="00B85824"/>
    <w:rsid w:val="00B86DA0"/>
    <w:rsid w:val="00B87CD8"/>
    <w:rsid w:val="00B918A6"/>
    <w:rsid w:val="00B92938"/>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77E"/>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06AA0"/>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6E55"/>
    <w:rsid w:val="00C671DD"/>
    <w:rsid w:val="00C6767D"/>
    <w:rsid w:val="00C73135"/>
    <w:rsid w:val="00C73C17"/>
    <w:rsid w:val="00C742CF"/>
    <w:rsid w:val="00C75E86"/>
    <w:rsid w:val="00C8046A"/>
    <w:rsid w:val="00C8206E"/>
    <w:rsid w:val="00C84E69"/>
    <w:rsid w:val="00C8505D"/>
    <w:rsid w:val="00C8657D"/>
    <w:rsid w:val="00C870A8"/>
    <w:rsid w:val="00C8769D"/>
    <w:rsid w:val="00C87D47"/>
    <w:rsid w:val="00C9016E"/>
    <w:rsid w:val="00C9203A"/>
    <w:rsid w:val="00C93090"/>
    <w:rsid w:val="00C93ACC"/>
    <w:rsid w:val="00C94FEC"/>
    <w:rsid w:val="00C97235"/>
    <w:rsid w:val="00CA03DC"/>
    <w:rsid w:val="00CA15FE"/>
    <w:rsid w:val="00CA248D"/>
    <w:rsid w:val="00CA252B"/>
    <w:rsid w:val="00CA2D23"/>
    <w:rsid w:val="00CA364C"/>
    <w:rsid w:val="00CB131A"/>
    <w:rsid w:val="00CB1C1A"/>
    <w:rsid w:val="00CB1D4F"/>
    <w:rsid w:val="00CB201F"/>
    <w:rsid w:val="00CB2C87"/>
    <w:rsid w:val="00CB2E92"/>
    <w:rsid w:val="00CB4153"/>
    <w:rsid w:val="00CB5D40"/>
    <w:rsid w:val="00CB7238"/>
    <w:rsid w:val="00CB7467"/>
    <w:rsid w:val="00CC050A"/>
    <w:rsid w:val="00CC0935"/>
    <w:rsid w:val="00CC2C32"/>
    <w:rsid w:val="00CC51A9"/>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866"/>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67C00"/>
    <w:rsid w:val="00D72E84"/>
    <w:rsid w:val="00D72F3E"/>
    <w:rsid w:val="00D7357B"/>
    <w:rsid w:val="00D737F3"/>
    <w:rsid w:val="00D74929"/>
    <w:rsid w:val="00D75496"/>
    <w:rsid w:val="00D81456"/>
    <w:rsid w:val="00D856DD"/>
    <w:rsid w:val="00D86F64"/>
    <w:rsid w:val="00D941BF"/>
    <w:rsid w:val="00D94318"/>
    <w:rsid w:val="00D97A66"/>
    <w:rsid w:val="00DA0532"/>
    <w:rsid w:val="00DA303C"/>
    <w:rsid w:val="00DA47CA"/>
    <w:rsid w:val="00DA6080"/>
    <w:rsid w:val="00DB0BE7"/>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76A"/>
    <w:rsid w:val="00DD78E3"/>
    <w:rsid w:val="00DE1D1C"/>
    <w:rsid w:val="00DE2116"/>
    <w:rsid w:val="00DE32CB"/>
    <w:rsid w:val="00DE36C3"/>
    <w:rsid w:val="00DE60B1"/>
    <w:rsid w:val="00DE74ED"/>
    <w:rsid w:val="00DE7BF7"/>
    <w:rsid w:val="00DF315D"/>
    <w:rsid w:val="00DF3A6E"/>
    <w:rsid w:val="00DF3E7D"/>
    <w:rsid w:val="00DF4E9B"/>
    <w:rsid w:val="00DF7D71"/>
    <w:rsid w:val="00E00062"/>
    <w:rsid w:val="00E02F31"/>
    <w:rsid w:val="00E03F89"/>
    <w:rsid w:val="00E04FED"/>
    <w:rsid w:val="00E05657"/>
    <w:rsid w:val="00E10DAB"/>
    <w:rsid w:val="00E23ECC"/>
    <w:rsid w:val="00E25D29"/>
    <w:rsid w:val="00E261D5"/>
    <w:rsid w:val="00E265F8"/>
    <w:rsid w:val="00E27A97"/>
    <w:rsid w:val="00E30F3C"/>
    <w:rsid w:val="00E32292"/>
    <w:rsid w:val="00E33064"/>
    <w:rsid w:val="00E34ED3"/>
    <w:rsid w:val="00E4533D"/>
    <w:rsid w:val="00E454E9"/>
    <w:rsid w:val="00E45E61"/>
    <w:rsid w:val="00E479DB"/>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A58C8"/>
    <w:rsid w:val="00EB3DC1"/>
    <w:rsid w:val="00EB557A"/>
    <w:rsid w:val="00EB704F"/>
    <w:rsid w:val="00EC06BF"/>
    <w:rsid w:val="00EC13F3"/>
    <w:rsid w:val="00EC2FF2"/>
    <w:rsid w:val="00EC372E"/>
    <w:rsid w:val="00EC4461"/>
    <w:rsid w:val="00EC490F"/>
    <w:rsid w:val="00EC7610"/>
    <w:rsid w:val="00ED0EB3"/>
    <w:rsid w:val="00ED187A"/>
    <w:rsid w:val="00ED3BD2"/>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6D62"/>
    <w:rsid w:val="00EF7822"/>
    <w:rsid w:val="00F018D0"/>
    <w:rsid w:val="00F02386"/>
    <w:rsid w:val="00F03FC0"/>
    <w:rsid w:val="00F0416C"/>
    <w:rsid w:val="00F04CE8"/>
    <w:rsid w:val="00F06E2A"/>
    <w:rsid w:val="00F12A1A"/>
    <w:rsid w:val="00F16D39"/>
    <w:rsid w:val="00F23BE1"/>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4EB"/>
    <w:rsid w:val="00F50C63"/>
    <w:rsid w:val="00F50E2A"/>
    <w:rsid w:val="00F511E9"/>
    <w:rsid w:val="00F54089"/>
    <w:rsid w:val="00F5683F"/>
    <w:rsid w:val="00F60A72"/>
    <w:rsid w:val="00F61B56"/>
    <w:rsid w:val="00F65945"/>
    <w:rsid w:val="00F70041"/>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2A03"/>
    <w:rsid w:val="00FC3AD4"/>
    <w:rsid w:val="00FC40E3"/>
    <w:rsid w:val="00FC4B16"/>
    <w:rsid w:val="00FD1B55"/>
    <w:rsid w:val="00FD23A0"/>
    <w:rsid w:val="00FD7128"/>
    <w:rsid w:val="00FE17D9"/>
    <w:rsid w:val="00FE187C"/>
    <w:rsid w:val="00FE1962"/>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619293362">
      <w:bodyDiv w:val="1"/>
      <w:marLeft w:val="0"/>
      <w:marRight w:val="0"/>
      <w:marTop w:val="0"/>
      <w:marBottom w:val="0"/>
      <w:divBdr>
        <w:top w:val="none" w:sz="0" w:space="0" w:color="auto"/>
        <w:left w:val="none" w:sz="0" w:space="0" w:color="auto"/>
        <w:bottom w:val="none" w:sz="0" w:space="0" w:color="auto"/>
        <w:right w:val="none" w:sz="0" w:space="0" w:color="auto"/>
      </w:divBdr>
    </w:div>
    <w:div w:id="1654720061">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1075-1109/1109-15-D19_RS.docx</ZkracenyRetezec>
    <Smazat xmlns="acca34e4-9ecd-41c8-99eb-d6aa654aaa55">&lt;a href="/sites/evidencesmluv/_layouts/15/IniWrkflIP.aspx?List=%7b45688869-8B73-4574-991F-DA277FEECC6D%7d&amp;amp;ID=2246&amp;amp;ItemGuid=%7b38DAFC70-205C-47D0-9930-560BC13B03CC%7d&amp;amp;TemplateID=%7bd3f8102e-f4a5-4901-b93c-fb146a9d820d%7d"&gt;&lt;img src="/SiteAssets/Pictogram/Pripominkovani/delete16red.png" /&gt;&lt;/a&gt;</Smaza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2.xml><?xml version="1.0" encoding="utf-8"?>
<ds:datastoreItem xmlns:ds="http://schemas.openxmlformats.org/officeDocument/2006/customXml" ds:itemID="{7AFB5868-41A9-4E52-BD82-9617BEF41587}"/>
</file>

<file path=customXml/itemProps3.xml><?xml version="1.0" encoding="utf-8"?>
<ds:datastoreItem xmlns:ds="http://schemas.openxmlformats.org/officeDocument/2006/customXml" ds:itemID="{8E5C2CBE-1641-4C64-9908-17289D36CDEA}">
  <ds:schemaRefs>
    <ds:schemaRef ds:uri="http://schemas.openxmlformats.org/officeDocument/2006/bibliography"/>
  </ds:schemaRefs>
</ds:datastoreItem>
</file>

<file path=customXml/itemProps4.xml><?xml version="1.0" encoding="utf-8"?>
<ds:datastoreItem xmlns:ds="http://schemas.openxmlformats.org/officeDocument/2006/customXml" ds:itemID="{7D23C398-77D9-483E-85F1-506DC3261A55}">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5.xml><?xml version="1.0" encoding="utf-8"?>
<ds:datastoreItem xmlns:ds="http://schemas.openxmlformats.org/officeDocument/2006/customXml" ds:itemID="{4220400B-16A9-4C13-A4AB-1260C6D6FB9A}"/>
</file>

<file path=docProps/app.xml><?xml version="1.0" encoding="utf-8"?>
<Properties xmlns="http://schemas.openxmlformats.org/officeDocument/2006/extended-properties" xmlns:vt="http://schemas.openxmlformats.org/officeDocument/2006/docPropsVTypes">
  <Template>M7312-15 </Template>
  <TotalTime>3</TotalTime>
  <Pages>14</Pages>
  <Words>5809</Words>
  <Characters>34274</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40003</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Kandová Zuzana, Mgr.</cp:lastModifiedBy>
  <cp:revision>3</cp:revision>
  <cp:lastPrinted>2025-05-14T10:18:00Z</cp:lastPrinted>
  <dcterms:created xsi:type="dcterms:W3CDTF">2025-09-22T12:10:00Z</dcterms:created>
  <dcterms:modified xsi:type="dcterms:W3CDTF">2025-09-22T12:11:00Z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MSIP_Label_2063cd7f-2d21-486a-9f29-9c1683fdd175_Enabled">
    <vt:lpwstr>true</vt:lpwstr>
  </property>
  <property fmtid="{D5CDD505-2E9C-101B-9397-08002B2CF9AE}" pid="12" name="MSIP_Label_2063cd7f-2d21-486a-9f29-9c1683fdd175_SetDate">
    <vt:lpwstr>2025-09-05T06:38:27Z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cfc792c0-1818-4d14-acf2-97538720a369</vt:lpwstr>
  </property>
  <property fmtid="{D5CDD505-2E9C-101B-9397-08002B2CF9AE}" pid="17" name="MSIP_Label_2063cd7f-2d21-486a-9f29-9c1683fdd175_ContentBits">
    <vt:lpwstr>0</vt:lpwstr>
  </property>
  <property fmtid="{D5CDD505-2E9C-101B-9397-08002B2CF9AE}" pid="18" name="_dlc_DocIdItemGuid">
    <vt:lpwstr>308e262c-4309-42bf-8c02-1245241a95fd</vt:lpwstr>
  </property>
  <property fmtid="{D5CDD505-2E9C-101B-9397-08002B2CF9AE}" pid="19" name="WorkflowChangePath">
    <vt:lpwstr>b654cfb1-c231-499f-9b0a-28e4e36f65bc,2;b654cfb1-c231-499f-9b0a-28e4e36f65bc,2;b654cfb1-c231-499f-9b0a-28e4e36f65bc,2;</vt:lpwstr>
  </property>
</Properties>
</file>