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42BF" w14:textId="4627B5D3" w:rsidR="008B64D4" w:rsidRPr="00A231EA" w:rsidRDefault="008B64D4" w:rsidP="008B64D4">
      <w:pPr>
        <w:pStyle w:val="Zhlav"/>
        <w:jc w:val="right"/>
        <w:rPr>
          <w:sz w:val="22"/>
          <w:szCs w:val="22"/>
        </w:rPr>
      </w:pPr>
      <w:r w:rsidRPr="00A231EA">
        <w:rPr>
          <w:sz w:val="22"/>
          <w:szCs w:val="22"/>
        </w:rPr>
        <w:t xml:space="preserve">Č. j. </w:t>
      </w:r>
      <w:r w:rsidR="00A231EA">
        <w:rPr>
          <w:sz w:val="22"/>
          <w:szCs w:val="22"/>
        </w:rPr>
        <w:t>2025</w:t>
      </w:r>
      <w:r w:rsidRPr="00A231EA">
        <w:rPr>
          <w:sz w:val="22"/>
          <w:szCs w:val="22"/>
        </w:rPr>
        <w:t>/</w:t>
      </w:r>
      <w:r w:rsidR="00A231EA">
        <w:rPr>
          <w:sz w:val="22"/>
          <w:szCs w:val="22"/>
        </w:rPr>
        <w:t>4568</w:t>
      </w:r>
      <w:r w:rsidRPr="00A231EA">
        <w:rPr>
          <w:sz w:val="22"/>
          <w:szCs w:val="22"/>
        </w:rPr>
        <w:t>/NM</w:t>
      </w:r>
    </w:p>
    <w:p w14:paraId="1ED2AA30" w14:textId="77777777" w:rsidR="008B64D4" w:rsidRPr="00414F90" w:rsidRDefault="008B64D4" w:rsidP="008B64D4">
      <w:pPr>
        <w:spacing w:before="120" w:line="240" w:lineRule="atLeast"/>
        <w:jc w:val="center"/>
        <w:outlineLvl w:val="0"/>
        <w:rPr>
          <w:b/>
          <w:sz w:val="28"/>
          <w:szCs w:val="28"/>
        </w:rPr>
      </w:pPr>
      <w:r w:rsidRPr="00414F90">
        <w:rPr>
          <w:b/>
          <w:sz w:val="28"/>
          <w:szCs w:val="28"/>
        </w:rPr>
        <w:t>SMLOUVA O DÍLO</w:t>
      </w:r>
    </w:p>
    <w:p w14:paraId="12D7C4BD" w14:textId="78517980" w:rsidR="008B64D4" w:rsidRPr="00B63B5A" w:rsidRDefault="008B64D4" w:rsidP="008B64D4">
      <w:pPr>
        <w:spacing w:line="240" w:lineRule="atLeast"/>
        <w:jc w:val="center"/>
        <w:outlineLvl w:val="0"/>
        <w:rPr>
          <w:b/>
        </w:rPr>
      </w:pPr>
      <w:r w:rsidRPr="00B63B5A">
        <w:rPr>
          <w:b/>
        </w:rPr>
        <w:t>č.</w:t>
      </w:r>
      <w:r w:rsidR="00A231EA">
        <w:rPr>
          <w:b/>
        </w:rPr>
        <w:t xml:space="preserve"> 251244</w:t>
      </w:r>
    </w:p>
    <w:p w14:paraId="7AA33D34" w14:textId="77777777" w:rsidR="008B64D4" w:rsidRPr="00B63B5A" w:rsidRDefault="008B64D4" w:rsidP="008B64D4">
      <w:pPr>
        <w:spacing w:before="120" w:line="240" w:lineRule="atLeast"/>
        <w:jc w:val="center"/>
        <w:outlineLvl w:val="0"/>
      </w:pPr>
      <w:r w:rsidRPr="00B63B5A">
        <w:t>uzavřená dne, měsíce a roku níže uvedeného na základě ust</w:t>
      </w:r>
      <w:r>
        <w:t>.</w:t>
      </w:r>
      <w:r w:rsidRPr="00B63B5A">
        <w:t xml:space="preserve"> § 2631 a násl. zákona č. 89/2012 Sb., občanský zákoník, ve znění pozdějších předpisů, mezi těmito smluvními stranami:</w:t>
      </w:r>
    </w:p>
    <w:p w14:paraId="636FFD15" w14:textId="77777777" w:rsidR="008B64D4" w:rsidRPr="00B63B5A" w:rsidRDefault="008B64D4" w:rsidP="008B64D4">
      <w:pPr>
        <w:pStyle w:val="Bezmezer"/>
      </w:pPr>
    </w:p>
    <w:p w14:paraId="5A4CFEF2" w14:textId="77777777" w:rsidR="008B64D4" w:rsidRDefault="008B64D4" w:rsidP="008B64D4">
      <w:pPr>
        <w:pStyle w:val="Bezmezer"/>
      </w:pPr>
    </w:p>
    <w:p w14:paraId="56DD6E77" w14:textId="77777777" w:rsidR="008B64D4" w:rsidRPr="00B63B5A" w:rsidRDefault="008B64D4" w:rsidP="008B64D4">
      <w:pPr>
        <w:pStyle w:val="Bezmezer"/>
      </w:pPr>
    </w:p>
    <w:p w14:paraId="07E3C24C" w14:textId="0E5B20B8" w:rsidR="008B64D4" w:rsidRPr="00B63B5A" w:rsidRDefault="008B64D4" w:rsidP="008B64D4">
      <w:pPr>
        <w:spacing w:line="240" w:lineRule="atLeast"/>
        <w:rPr>
          <w:b/>
          <w:bCs/>
        </w:rPr>
      </w:pPr>
      <w:r w:rsidRPr="00B63B5A">
        <w:rPr>
          <w:b/>
        </w:rPr>
        <w:t>Národní muzeum</w:t>
      </w:r>
      <w:r w:rsidRPr="00B63B5A">
        <w:t xml:space="preserve"> </w:t>
      </w:r>
    </w:p>
    <w:p w14:paraId="47A182C6" w14:textId="77777777" w:rsidR="008B64D4" w:rsidRPr="00B63B5A" w:rsidRDefault="008B64D4" w:rsidP="008B64D4">
      <w:pPr>
        <w:spacing w:line="276" w:lineRule="auto"/>
        <w:jc w:val="both"/>
      </w:pPr>
      <w:r w:rsidRPr="00B63B5A">
        <w:t>příspěvková organizace nepodléhající zápisu do obchodního rejstříku, zřízená Ministerstvem kultury ČR, zřizovací listina č. j. 17461/2000 ve znění pozdějších změn a doplňků</w:t>
      </w:r>
    </w:p>
    <w:p w14:paraId="1A22C35E" w14:textId="77777777" w:rsidR="008B64D4" w:rsidRPr="00B63B5A" w:rsidRDefault="008B64D4" w:rsidP="008B64D4">
      <w:pPr>
        <w:spacing w:line="240" w:lineRule="atLeast"/>
      </w:pPr>
      <w:r>
        <w:t xml:space="preserve">se </w:t>
      </w:r>
      <w:r w:rsidRPr="00B63B5A">
        <w:t>sídl</w:t>
      </w:r>
      <w:r>
        <w:t>em</w:t>
      </w:r>
      <w:r w:rsidRPr="00B63B5A">
        <w:t xml:space="preserve"> </w:t>
      </w:r>
      <w:r w:rsidRPr="00EE696A">
        <w:t>Praha 1</w:t>
      </w:r>
      <w:r>
        <w:t xml:space="preserve">, Nové Město, </w:t>
      </w:r>
      <w:r w:rsidRPr="00EE696A">
        <w:t xml:space="preserve">Václavské nám. </w:t>
      </w:r>
      <w:r>
        <w:t>1700/</w:t>
      </w:r>
      <w:r w:rsidRPr="00EE696A">
        <w:t xml:space="preserve">68, </w:t>
      </w:r>
      <w:r>
        <w:t xml:space="preserve">PSČ: </w:t>
      </w:r>
      <w:r w:rsidRPr="00EE696A">
        <w:t>11</w:t>
      </w:r>
      <w:r>
        <w:t>0</w:t>
      </w:r>
      <w:r w:rsidRPr="00EE696A">
        <w:t xml:space="preserve"> </w:t>
      </w:r>
      <w:r>
        <w:t>00</w:t>
      </w:r>
    </w:p>
    <w:p w14:paraId="3D0FA567" w14:textId="77777777" w:rsidR="00151E52" w:rsidRPr="00B63B5A" w:rsidRDefault="00151E52" w:rsidP="00151E52">
      <w:pPr>
        <w:spacing w:line="240" w:lineRule="atLeast"/>
      </w:pPr>
      <w:r w:rsidRPr="00B63B5A">
        <w:t>IČ: 00023272</w:t>
      </w:r>
      <w:r>
        <w:t xml:space="preserve">, </w:t>
      </w:r>
      <w:r w:rsidRPr="00B63B5A">
        <w:t>DIČ: CZ 00023272</w:t>
      </w:r>
    </w:p>
    <w:p w14:paraId="42ADB408" w14:textId="78102E61" w:rsidR="008B64D4" w:rsidRPr="00565447" w:rsidRDefault="008B64D4" w:rsidP="00565447">
      <w:pPr>
        <w:jc w:val="both"/>
      </w:pPr>
      <w:r w:rsidRPr="00565447">
        <w:t>jehož jménem jedná</w:t>
      </w:r>
      <w:r w:rsidR="0006730B" w:rsidRPr="00565447">
        <w:t xml:space="preserve"> Ing. Martin Souček, Ph.D., </w:t>
      </w:r>
      <w:r w:rsidR="00565447" w:rsidRPr="00565447">
        <w:t>ředitel Odboru digitalizace a informačních systémů</w:t>
      </w:r>
    </w:p>
    <w:p w14:paraId="685AEC2E" w14:textId="77777777" w:rsidR="008B64D4" w:rsidRPr="00B63B5A" w:rsidRDefault="008B64D4" w:rsidP="008B64D4">
      <w:pPr>
        <w:spacing w:line="240" w:lineRule="atLeast"/>
      </w:pPr>
      <w:r w:rsidRPr="00B63B5A">
        <w:t>(dále jen objednatel)</w:t>
      </w:r>
    </w:p>
    <w:p w14:paraId="0323833F" w14:textId="77777777" w:rsidR="008B64D4" w:rsidRPr="00B63B5A" w:rsidRDefault="008B64D4" w:rsidP="008B64D4">
      <w:pPr>
        <w:jc w:val="both"/>
      </w:pPr>
    </w:p>
    <w:p w14:paraId="046EB5E6" w14:textId="77777777" w:rsidR="008B64D4" w:rsidRPr="00B63B5A" w:rsidRDefault="008B64D4" w:rsidP="008B64D4">
      <w:pPr>
        <w:jc w:val="both"/>
      </w:pPr>
      <w:r w:rsidRPr="00B63B5A">
        <w:t>a</w:t>
      </w:r>
    </w:p>
    <w:p w14:paraId="2644D9E7" w14:textId="77777777" w:rsidR="008B64D4" w:rsidRPr="00B63B5A" w:rsidRDefault="008B64D4" w:rsidP="008B64D4">
      <w:pPr>
        <w:jc w:val="both"/>
      </w:pPr>
    </w:p>
    <w:p w14:paraId="41D53DF9" w14:textId="77777777" w:rsidR="0006730B" w:rsidRPr="00565447" w:rsidRDefault="0006730B" w:rsidP="0006730B">
      <w:pPr>
        <w:rPr>
          <w:b/>
          <w:bCs/>
        </w:rPr>
      </w:pPr>
      <w:r w:rsidRPr="00565447">
        <w:rPr>
          <w:b/>
          <w:bCs/>
        </w:rPr>
        <w:t>CSF, s.r.o.</w:t>
      </w:r>
    </w:p>
    <w:p w14:paraId="719AC53D" w14:textId="1CBE5F30" w:rsidR="00565447" w:rsidRPr="00565447" w:rsidRDefault="00565447" w:rsidP="00565447">
      <w:pPr>
        <w:jc w:val="both"/>
      </w:pPr>
      <w:r w:rsidRPr="00565447">
        <w:t>zapsaná v obchodním rejstříku vedeném u Krajského soudu v Hradci Králové oddíl C</w:t>
      </w:r>
      <w:r>
        <w:t xml:space="preserve">, </w:t>
      </w:r>
      <w:r w:rsidRPr="00565447">
        <w:t>vložka 13316</w:t>
      </w:r>
    </w:p>
    <w:p w14:paraId="2CB74908" w14:textId="4E5679F8" w:rsidR="0006730B" w:rsidRPr="00565447" w:rsidRDefault="0006730B" w:rsidP="0006730B">
      <w:r w:rsidRPr="00565447">
        <w:t>se sídlem Střelecká 672, 500</w:t>
      </w:r>
      <w:r w:rsidR="00565447">
        <w:t xml:space="preserve"> </w:t>
      </w:r>
      <w:r w:rsidRPr="00565447">
        <w:t>02 Hradec Králové</w:t>
      </w:r>
    </w:p>
    <w:p w14:paraId="0E798E01" w14:textId="77777777" w:rsidR="0006730B" w:rsidRPr="00565447" w:rsidRDefault="0006730B" w:rsidP="0006730B">
      <w:r w:rsidRPr="00565447">
        <w:t>IČ: 25289462, DIČ:CZ25289462</w:t>
      </w:r>
    </w:p>
    <w:p w14:paraId="1DB6A810" w14:textId="36072929" w:rsidR="00565447" w:rsidRPr="00565447" w:rsidRDefault="00565447" w:rsidP="00565447">
      <w:r>
        <w:t>z</w:t>
      </w:r>
      <w:r w:rsidRPr="00565447">
        <w:t>astoupena: Tomášem Pavelkou, jednatelem</w:t>
      </w:r>
    </w:p>
    <w:p w14:paraId="68496486" w14:textId="2B1A2E39" w:rsidR="0006730B" w:rsidRPr="00565447" w:rsidRDefault="0006730B" w:rsidP="0006730B">
      <w:r w:rsidRPr="00565447">
        <w:t xml:space="preserve">č.ú.: </w:t>
      </w:r>
      <w:r w:rsidR="007015DD">
        <w:t>xxxxxxxxxxxxxxxxxxxxxxxxx</w:t>
      </w:r>
    </w:p>
    <w:p w14:paraId="5AF18674" w14:textId="77777777" w:rsidR="008B64D4" w:rsidRPr="00B63B5A" w:rsidRDefault="008B64D4" w:rsidP="008B64D4">
      <w:r w:rsidRPr="00B63B5A">
        <w:t>(dále jen zhotovitel)</w:t>
      </w:r>
    </w:p>
    <w:p w14:paraId="7EC00001" w14:textId="77777777" w:rsidR="008B64D4" w:rsidRPr="00B63B5A" w:rsidRDefault="008B64D4" w:rsidP="008B64D4">
      <w:pPr>
        <w:spacing w:line="240" w:lineRule="atLeast"/>
      </w:pPr>
    </w:p>
    <w:p w14:paraId="26CD2DD6" w14:textId="77777777" w:rsidR="008B64D4" w:rsidRPr="00B63B5A" w:rsidRDefault="008B64D4" w:rsidP="008B64D4">
      <w:pPr>
        <w:spacing w:line="240" w:lineRule="atLeast"/>
      </w:pPr>
    </w:p>
    <w:p w14:paraId="28642DCE" w14:textId="77777777" w:rsidR="008B64D4" w:rsidRPr="00B63B5A" w:rsidRDefault="008B64D4" w:rsidP="008B64D4">
      <w:pPr>
        <w:pStyle w:val="Nadpis1"/>
        <w:jc w:val="center"/>
        <w:rPr>
          <w:rFonts w:ascii="Times New Roman" w:hAnsi="Times New Roman"/>
          <w:b w:val="0"/>
          <w:sz w:val="24"/>
        </w:rPr>
      </w:pPr>
      <w:r w:rsidRPr="00B63B5A">
        <w:rPr>
          <w:rFonts w:ascii="Times New Roman" w:hAnsi="Times New Roman"/>
          <w:sz w:val="24"/>
        </w:rPr>
        <w:t>Článek I.</w:t>
      </w:r>
    </w:p>
    <w:p w14:paraId="263E011E" w14:textId="77777777" w:rsidR="008B64D4" w:rsidRPr="00B63B5A" w:rsidRDefault="008B64D4" w:rsidP="008B64D4">
      <w:pPr>
        <w:jc w:val="center"/>
        <w:rPr>
          <w:b/>
        </w:rPr>
      </w:pPr>
      <w:r w:rsidRPr="00B63B5A">
        <w:rPr>
          <w:b/>
        </w:rPr>
        <w:t>Předmět smlouvy</w:t>
      </w:r>
    </w:p>
    <w:p w14:paraId="030B267F" w14:textId="2D5EAB0C" w:rsidR="00CE41C7" w:rsidRPr="00D04305" w:rsidRDefault="008B64D4" w:rsidP="00D04305">
      <w:pPr>
        <w:spacing w:line="276" w:lineRule="auto"/>
        <w:jc w:val="both"/>
      </w:pPr>
      <w:r w:rsidRPr="00D04305">
        <w:t>Předmětem této smlouvy je závazek zhotovitele provést pro objednatele</w:t>
      </w:r>
      <w:r w:rsidRPr="00D04305">
        <w:rPr>
          <w:color w:val="000000"/>
        </w:rPr>
        <w:t xml:space="preserve"> na svůj náklad a nebezpečí pro objednatele za podmínek níže uvedených </w:t>
      </w:r>
      <w:r w:rsidR="00CE41C7" w:rsidRPr="00D04305">
        <w:rPr>
          <w:color w:val="000000"/>
        </w:rPr>
        <w:t>o</w:t>
      </w:r>
      <w:r w:rsidR="00CE41C7" w:rsidRPr="00D04305">
        <w:t>pravu a rozšíření stávajícího systému AV v sálu č. 103 a 104 - vybudovaní dvou spolehlivých kabelových tras mezi řečnickým stolkem a nikou s technologii tak, aby bylo možno bezproblémově připojovat zdrojová zařízení /ntb/ v řečnickém pultu a zároveň aby bylo možno na náhledovém monitoru umístěném tamtéž sledovat náhled projekce nebo obrazovku interního PC pro konferenci. Zároveň je zde požadavek na odstranění nepoužívaných bezdrátových adaptérů (zůstává pouze AppleTV) a celkovou kontrolu, případnou výměnu a úpravu kabeláže a instalovaných prvků. V návaznosti na výslednou konfiguraci je požadována úprava grafických ovládacích panelů tak, aby reflektovala skutečné provedení včetně doplnění o ikony ovládající nově vybudované trasy a zařízení</w:t>
      </w:r>
      <w:r w:rsidR="00A326D2" w:rsidRPr="00D04305">
        <w:t>,</w:t>
      </w:r>
      <w:r w:rsidR="00CE41C7" w:rsidRPr="00D04305">
        <w:t xml:space="preserve"> </w:t>
      </w:r>
      <w:r w:rsidR="00A326D2" w:rsidRPr="00D04305">
        <w:t>v</w:t>
      </w:r>
      <w:r w:rsidR="00CE41C7" w:rsidRPr="00D04305">
        <w:t>iz</w:t>
      </w:r>
      <w:r w:rsidR="00A326D2" w:rsidRPr="00D04305">
        <w:t>.</w:t>
      </w:r>
      <w:r w:rsidR="00CE41C7" w:rsidRPr="00D04305">
        <w:t xml:space="preserve"> specifikace v Příloze č.1, která tvoří nedílnou součást této smlouvy (dále jen „</w:t>
      </w:r>
      <w:r w:rsidR="00A326D2" w:rsidRPr="00D04305">
        <w:t>dílo</w:t>
      </w:r>
      <w:r w:rsidR="00CE41C7" w:rsidRPr="00D04305">
        <w:t>“).</w:t>
      </w:r>
    </w:p>
    <w:p w14:paraId="38EC0DE3" w14:textId="5DD08198" w:rsidR="00CB46F4" w:rsidRDefault="00CB46F4" w:rsidP="008B64D4">
      <w:pPr>
        <w:pStyle w:val="Normlnweb"/>
        <w:spacing w:before="0" w:beforeAutospacing="0" w:after="0" w:afterAutospacing="0"/>
        <w:jc w:val="both"/>
        <w:rPr>
          <w:rFonts w:ascii="Times New Roman" w:hAnsi="Times New Roman"/>
          <w:color w:val="000000"/>
          <w:sz w:val="24"/>
        </w:rPr>
      </w:pPr>
    </w:p>
    <w:p w14:paraId="7F8CE05F" w14:textId="77777777" w:rsidR="00D04305" w:rsidRDefault="00D04305" w:rsidP="008B64D4">
      <w:pPr>
        <w:pStyle w:val="Normlnweb"/>
        <w:spacing w:before="0" w:beforeAutospacing="0" w:after="0" w:afterAutospacing="0"/>
        <w:jc w:val="both"/>
        <w:rPr>
          <w:rFonts w:ascii="Times New Roman" w:hAnsi="Times New Roman"/>
          <w:color w:val="000000"/>
          <w:sz w:val="24"/>
        </w:rPr>
      </w:pPr>
    </w:p>
    <w:p w14:paraId="6CEDAE34" w14:textId="77777777" w:rsidR="005701B0" w:rsidRDefault="005701B0" w:rsidP="008B64D4">
      <w:pPr>
        <w:pStyle w:val="Normlnweb"/>
        <w:spacing w:before="0" w:beforeAutospacing="0" w:after="0" w:afterAutospacing="0"/>
        <w:jc w:val="both"/>
        <w:rPr>
          <w:rFonts w:ascii="Times New Roman" w:hAnsi="Times New Roman"/>
          <w:color w:val="000000"/>
          <w:sz w:val="24"/>
        </w:rPr>
      </w:pPr>
    </w:p>
    <w:p w14:paraId="56A36C31" w14:textId="77777777" w:rsidR="005701B0" w:rsidRDefault="005701B0" w:rsidP="008B64D4">
      <w:pPr>
        <w:pStyle w:val="Normlnweb"/>
        <w:spacing w:before="0" w:beforeAutospacing="0" w:after="0" w:afterAutospacing="0"/>
        <w:jc w:val="both"/>
        <w:rPr>
          <w:rFonts w:ascii="Times New Roman" w:hAnsi="Times New Roman"/>
          <w:color w:val="000000"/>
          <w:sz w:val="24"/>
        </w:rPr>
      </w:pPr>
    </w:p>
    <w:p w14:paraId="5D636B63" w14:textId="77777777" w:rsidR="008B64D4" w:rsidRPr="00B63B5A" w:rsidRDefault="008B64D4" w:rsidP="008B64D4">
      <w:pPr>
        <w:spacing w:line="240" w:lineRule="atLeast"/>
        <w:jc w:val="center"/>
        <w:outlineLvl w:val="0"/>
        <w:rPr>
          <w:b/>
          <w:color w:val="000000"/>
        </w:rPr>
      </w:pPr>
      <w:r w:rsidRPr="00B63B5A">
        <w:rPr>
          <w:b/>
          <w:color w:val="000000"/>
        </w:rPr>
        <w:lastRenderedPageBreak/>
        <w:t>Článek II.</w:t>
      </w:r>
    </w:p>
    <w:p w14:paraId="4A1B9BD7" w14:textId="77777777" w:rsidR="008B64D4" w:rsidRPr="00B63B5A" w:rsidRDefault="008B64D4" w:rsidP="008B64D4">
      <w:pPr>
        <w:spacing w:line="240" w:lineRule="atLeast"/>
        <w:jc w:val="center"/>
        <w:rPr>
          <w:b/>
          <w:color w:val="000000"/>
        </w:rPr>
      </w:pPr>
      <w:r w:rsidRPr="00B63B5A">
        <w:rPr>
          <w:b/>
          <w:color w:val="000000"/>
        </w:rPr>
        <w:t>Místo a čas plnění</w:t>
      </w:r>
    </w:p>
    <w:p w14:paraId="7E64C4E1" w14:textId="4F846551" w:rsidR="00A709F4" w:rsidRDefault="00A709F4" w:rsidP="00A709F4">
      <w:pPr>
        <w:spacing w:line="240" w:lineRule="atLeast"/>
        <w:ind w:left="426" w:hanging="426"/>
        <w:jc w:val="both"/>
        <w:rPr>
          <w:color w:val="000000"/>
        </w:rPr>
      </w:pPr>
      <w:r>
        <w:rPr>
          <w:color w:val="000000"/>
        </w:rPr>
        <w:t>1.</w:t>
      </w:r>
      <w:r>
        <w:rPr>
          <w:color w:val="000000"/>
        </w:rPr>
        <w:tab/>
        <w:t xml:space="preserve">Místo plnění díla je </w:t>
      </w:r>
      <w:r w:rsidR="002C168D">
        <w:rPr>
          <w:color w:val="000000"/>
        </w:rPr>
        <w:t>Praha 1, Nové Město, Václavské nám. 1700/68, sály č. 103 a 104.</w:t>
      </w:r>
    </w:p>
    <w:p w14:paraId="20367002" w14:textId="3FDBE9BC" w:rsidR="008B64D4" w:rsidRPr="00B63B5A" w:rsidRDefault="007B45A3" w:rsidP="00A709F4">
      <w:pPr>
        <w:spacing w:line="240" w:lineRule="atLeast"/>
        <w:ind w:left="426" w:hanging="426"/>
        <w:jc w:val="both"/>
      </w:pPr>
      <w:r>
        <w:rPr>
          <w:color w:val="000000"/>
        </w:rPr>
        <w:t>2.</w:t>
      </w:r>
      <w:r>
        <w:rPr>
          <w:color w:val="000000"/>
        </w:rPr>
        <w:tab/>
      </w:r>
      <w:r w:rsidR="008B64D4" w:rsidRPr="00B63B5A">
        <w:rPr>
          <w:color w:val="000000"/>
        </w:rPr>
        <w:t>Zhotovitel se zavazuje provést dílo v termínech</w:t>
      </w:r>
      <w:r w:rsidR="008B64D4" w:rsidRPr="00B63B5A">
        <w:t>:</w:t>
      </w:r>
    </w:p>
    <w:p w14:paraId="6373BB97" w14:textId="0D4429B0" w:rsidR="008B64D4" w:rsidRPr="00B63B5A" w:rsidRDefault="008B64D4" w:rsidP="007B45A3">
      <w:pPr>
        <w:pStyle w:val="Odstavecseseznamem"/>
        <w:numPr>
          <w:ilvl w:val="0"/>
          <w:numId w:val="3"/>
        </w:numPr>
        <w:ind w:left="851" w:hanging="425"/>
        <w:jc w:val="both"/>
      </w:pPr>
      <w:r w:rsidRPr="00B63B5A">
        <w:t>zahájení prací</w:t>
      </w:r>
      <w:r w:rsidR="00CF72B0">
        <w:t>: dnem uzavření této smlouvy</w:t>
      </w:r>
    </w:p>
    <w:p w14:paraId="69F078E7" w14:textId="7CB30519" w:rsidR="008B64D4" w:rsidRDefault="008B64D4" w:rsidP="007B45A3">
      <w:pPr>
        <w:pStyle w:val="Odstavecseseznamem"/>
        <w:numPr>
          <w:ilvl w:val="0"/>
          <w:numId w:val="3"/>
        </w:numPr>
        <w:spacing w:after="120"/>
        <w:ind w:left="851" w:hanging="425"/>
        <w:jc w:val="both"/>
      </w:pPr>
      <w:r w:rsidRPr="00B63B5A">
        <w:t>dokončení prací:</w:t>
      </w:r>
      <w:r w:rsidR="00CF72B0">
        <w:t xml:space="preserve"> </w:t>
      </w:r>
      <w:r w:rsidR="00145A65">
        <w:t>listopad 2025.</w:t>
      </w:r>
    </w:p>
    <w:p w14:paraId="495B2915" w14:textId="77777777" w:rsidR="008B64D4" w:rsidRDefault="008B64D4" w:rsidP="008B64D4">
      <w:pPr>
        <w:pStyle w:val="Bezmezer"/>
      </w:pPr>
    </w:p>
    <w:p w14:paraId="4943EB70" w14:textId="77777777" w:rsidR="008B64D4" w:rsidRPr="00B63B5A" w:rsidRDefault="008B64D4" w:rsidP="008B64D4">
      <w:pPr>
        <w:pStyle w:val="Bezmezer"/>
      </w:pPr>
    </w:p>
    <w:p w14:paraId="4DABF53D" w14:textId="77777777" w:rsidR="008B64D4" w:rsidRPr="00B63B5A" w:rsidRDefault="008B64D4" w:rsidP="008B64D4">
      <w:pPr>
        <w:pStyle w:val="Bezmezer"/>
        <w:jc w:val="center"/>
        <w:rPr>
          <w:b/>
        </w:rPr>
      </w:pPr>
      <w:r w:rsidRPr="00B63B5A">
        <w:rPr>
          <w:b/>
        </w:rPr>
        <w:t>Článek III.</w:t>
      </w:r>
    </w:p>
    <w:p w14:paraId="58EBFEEC" w14:textId="77777777" w:rsidR="008B64D4" w:rsidRPr="00B63B5A" w:rsidRDefault="008B64D4" w:rsidP="008B64D4">
      <w:pPr>
        <w:pStyle w:val="Bezmezer"/>
        <w:jc w:val="center"/>
        <w:rPr>
          <w:b/>
        </w:rPr>
      </w:pPr>
      <w:r w:rsidRPr="00B63B5A">
        <w:rPr>
          <w:b/>
        </w:rPr>
        <w:t>Cena díla a platební podmínky</w:t>
      </w:r>
    </w:p>
    <w:p w14:paraId="709F94CC" w14:textId="6CBA575A" w:rsidR="008B64D4" w:rsidRPr="00B63B5A" w:rsidRDefault="008B64D4" w:rsidP="007571BB">
      <w:pPr>
        <w:numPr>
          <w:ilvl w:val="0"/>
          <w:numId w:val="2"/>
        </w:numPr>
        <w:tabs>
          <w:tab w:val="clear" w:pos="360"/>
          <w:tab w:val="num" w:pos="426"/>
        </w:tabs>
        <w:spacing w:line="240" w:lineRule="atLeast"/>
        <w:ind w:left="426" w:hanging="426"/>
        <w:jc w:val="both"/>
        <w:outlineLvl w:val="0"/>
        <w:rPr>
          <w:color w:val="000000"/>
        </w:rPr>
      </w:pPr>
      <w:r w:rsidRPr="00B63B5A">
        <w:rPr>
          <w:color w:val="000000"/>
        </w:rPr>
        <w:t>Cena je zpracována v souladu se zákonem č. 526/1990 Sb., o cenách</w:t>
      </w:r>
      <w:r w:rsidR="00861008">
        <w:rPr>
          <w:color w:val="000000"/>
        </w:rPr>
        <w:t>, ve znění pozdějších předpisů,</w:t>
      </w:r>
      <w:r w:rsidRPr="00B63B5A">
        <w:rPr>
          <w:color w:val="000000"/>
        </w:rPr>
        <w:t xml:space="preserve"> a s prováděcími předpisy. </w:t>
      </w:r>
    </w:p>
    <w:p w14:paraId="351C59FC" w14:textId="77777777" w:rsidR="008B64D4" w:rsidRPr="00B63B5A" w:rsidRDefault="008B64D4" w:rsidP="007571BB">
      <w:pPr>
        <w:pStyle w:val="Zkladntext"/>
        <w:numPr>
          <w:ilvl w:val="0"/>
          <w:numId w:val="2"/>
        </w:numPr>
        <w:tabs>
          <w:tab w:val="clear" w:pos="360"/>
          <w:tab w:val="num" w:pos="426"/>
        </w:tabs>
        <w:suppressAutoHyphens w:val="0"/>
        <w:ind w:left="426" w:hanging="426"/>
        <w:jc w:val="both"/>
        <w:rPr>
          <w:b w:val="0"/>
          <w:szCs w:val="24"/>
        </w:rPr>
      </w:pPr>
      <w:r w:rsidRPr="00B63B5A">
        <w:rPr>
          <w:b w:val="0"/>
          <w:szCs w:val="24"/>
        </w:rPr>
        <w:t>Cena díla</w:t>
      </w:r>
      <w:r w:rsidRPr="00B63B5A">
        <w:rPr>
          <w:b w:val="0"/>
          <w:iCs/>
          <w:szCs w:val="24"/>
        </w:rPr>
        <w:t xml:space="preserve"> se sjednává dohodou smluvních stran jako cena konečná a úplná a </w:t>
      </w:r>
      <w:r w:rsidRPr="00B63B5A">
        <w:rPr>
          <w:b w:val="0"/>
          <w:szCs w:val="24"/>
        </w:rPr>
        <w:t xml:space="preserve">činí: </w:t>
      </w:r>
    </w:p>
    <w:p w14:paraId="1BB4E666" w14:textId="1E09C8F6" w:rsidR="008B64D4" w:rsidRPr="00B63B5A" w:rsidRDefault="00145A65" w:rsidP="007571BB">
      <w:pPr>
        <w:pStyle w:val="Nadpis6"/>
        <w:keepLines w:val="0"/>
        <w:numPr>
          <w:ilvl w:val="1"/>
          <w:numId w:val="2"/>
        </w:numPr>
        <w:tabs>
          <w:tab w:val="num" w:pos="720"/>
        </w:tabs>
        <w:spacing w:before="0" w:line="240" w:lineRule="atLeast"/>
        <w:ind w:left="720" w:hanging="294"/>
        <w:jc w:val="both"/>
        <w:rPr>
          <w:rFonts w:ascii="Times New Roman" w:hAnsi="Times New Roman"/>
          <w:iCs/>
          <w:color w:val="auto"/>
          <w:sz w:val="24"/>
        </w:rPr>
      </w:pPr>
      <w:r>
        <w:rPr>
          <w:rFonts w:ascii="Times New Roman" w:hAnsi="Times New Roman"/>
          <w:iCs/>
          <w:color w:val="auto"/>
          <w:sz w:val="24"/>
        </w:rPr>
        <w:t>259.570</w:t>
      </w:r>
      <w:r w:rsidR="008B64D4" w:rsidRPr="00B63B5A">
        <w:rPr>
          <w:rFonts w:ascii="Times New Roman" w:hAnsi="Times New Roman"/>
          <w:iCs/>
          <w:color w:val="auto"/>
          <w:sz w:val="24"/>
        </w:rPr>
        <w:t>,- Kč</w:t>
      </w:r>
    </w:p>
    <w:p w14:paraId="05F7A655" w14:textId="60F94098" w:rsidR="008B64D4" w:rsidRPr="00B63B5A" w:rsidRDefault="008B64D4" w:rsidP="007571BB">
      <w:pPr>
        <w:pStyle w:val="Nadpis6"/>
        <w:keepLines w:val="0"/>
        <w:numPr>
          <w:ilvl w:val="1"/>
          <w:numId w:val="2"/>
        </w:numPr>
        <w:tabs>
          <w:tab w:val="num" w:pos="720"/>
        </w:tabs>
        <w:spacing w:before="0" w:line="240" w:lineRule="atLeast"/>
        <w:ind w:left="720" w:hanging="294"/>
        <w:jc w:val="both"/>
        <w:rPr>
          <w:rFonts w:ascii="Times New Roman" w:hAnsi="Times New Roman"/>
          <w:iCs/>
          <w:color w:val="auto"/>
          <w:sz w:val="24"/>
        </w:rPr>
      </w:pPr>
      <w:r w:rsidRPr="00B63B5A">
        <w:rPr>
          <w:rFonts w:ascii="Times New Roman" w:hAnsi="Times New Roman"/>
          <w:iCs/>
          <w:color w:val="auto"/>
          <w:sz w:val="24"/>
        </w:rPr>
        <w:t>21 % DPH:</w:t>
      </w:r>
      <w:r w:rsidR="00C329CA">
        <w:rPr>
          <w:rFonts w:ascii="Times New Roman" w:hAnsi="Times New Roman"/>
          <w:iCs/>
          <w:color w:val="auto"/>
          <w:sz w:val="24"/>
        </w:rPr>
        <w:t xml:space="preserve"> 54.509</w:t>
      </w:r>
      <w:r w:rsidRPr="00B63B5A">
        <w:rPr>
          <w:rFonts w:ascii="Times New Roman" w:hAnsi="Times New Roman"/>
          <w:iCs/>
          <w:color w:val="auto"/>
          <w:sz w:val="24"/>
        </w:rPr>
        <w:t>,</w:t>
      </w:r>
      <w:r w:rsidR="00C329CA">
        <w:rPr>
          <w:rFonts w:ascii="Times New Roman" w:hAnsi="Times New Roman"/>
          <w:iCs/>
          <w:color w:val="auto"/>
          <w:sz w:val="24"/>
        </w:rPr>
        <w:t>70</w:t>
      </w:r>
      <w:r w:rsidRPr="00B63B5A">
        <w:rPr>
          <w:rFonts w:ascii="Times New Roman" w:hAnsi="Times New Roman"/>
          <w:iCs/>
          <w:color w:val="auto"/>
          <w:sz w:val="24"/>
        </w:rPr>
        <w:t xml:space="preserve"> Kč</w:t>
      </w:r>
    </w:p>
    <w:p w14:paraId="08B4C51A" w14:textId="11992A6E" w:rsidR="008B64D4" w:rsidRPr="00B63B5A" w:rsidRDefault="008B64D4" w:rsidP="007571BB">
      <w:pPr>
        <w:pStyle w:val="Nadpis6"/>
        <w:keepLines w:val="0"/>
        <w:numPr>
          <w:ilvl w:val="1"/>
          <w:numId w:val="2"/>
        </w:numPr>
        <w:tabs>
          <w:tab w:val="num" w:pos="567"/>
        </w:tabs>
        <w:spacing w:before="0" w:line="240" w:lineRule="atLeast"/>
        <w:ind w:left="714" w:hanging="294"/>
        <w:jc w:val="both"/>
        <w:rPr>
          <w:rFonts w:ascii="Times New Roman" w:hAnsi="Times New Roman"/>
          <w:bCs/>
          <w:iCs/>
          <w:color w:val="auto"/>
          <w:sz w:val="24"/>
        </w:rPr>
      </w:pPr>
      <w:r w:rsidRPr="00B63B5A">
        <w:rPr>
          <w:rFonts w:ascii="Times New Roman" w:hAnsi="Times New Roman"/>
          <w:iCs/>
          <w:color w:val="auto"/>
          <w:sz w:val="24"/>
        </w:rPr>
        <w:t xml:space="preserve">celkem </w:t>
      </w:r>
      <w:r w:rsidR="00C329CA">
        <w:rPr>
          <w:rFonts w:ascii="Times New Roman" w:hAnsi="Times New Roman"/>
          <w:iCs/>
          <w:color w:val="auto"/>
          <w:sz w:val="24"/>
        </w:rPr>
        <w:t>314.079</w:t>
      </w:r>
      <w:r w:rsidRPr="00B63B5A">
        <w:rPr>
          <w:rFonts w:ascii="Times New Roman" w:hAnsi="Times New Roman"/>
          <w:iCs/>
          <w:color w:val="auto"/>
          <w:sz w:val="24"/>
        </w:rPr>
        <w:t>,</w:t>
      </w:r>
      <w:r w:rsidR="0070697A">
        <w:rPr>
          <w:rFonts w:ascii="Times New Roman" w:hAnsi="Times New Roman"/>
          <w:iCs/>
          <w:color w:val="auto"/>
          <w:sz w:val="24"/>
        </w:rPr>
        <w:t>70</w:t>
      </w:r>
      <w:r w:rsidRPr="00B63B5A">
        <w:rPr>
          <w:rFonts w:ascii="Times New Roman" w:hAnsi="Times New Roman"/>
          <w:iCs/>
          <w:color w:val="auto"/>
          <w:sz w:val="24"/>
        </w:rPr>
        <w:t xml:space="preserve"> Kč. </w:t>
      </w:r>
    </w:p>
    <w:p w14:paraId="19FA2F18" w14:textId="77777777" w:rsidR="008B64D4" w:rsidRPr="00B63B5A" w:rsidRDefault="008B64D4" w:rsidP="007571BB">
      <w:pPr>
        <w:pStyle w:val="Zkladntext"/>
        <w:numPr>
          <w:ilvl w:val="0"/>
          <w:numId w:val="2"/>
        </w:numPr>
        <w:tabs>
          <w:tab w:val="clear" w:pos="360"/>
          <w:tab w:val="num" w:pos="426"/>
        </w:tabs>
        <w:suppressAutoHyphens w:val="0"/>
        <w:ind w:left="426" w:hanging="426"/>
        <w:jc w:val="both"/>
        <w:rPr>
          <w:b w:val="0"/>
          <w:szCs w:val="24"/>
        </w:rPr>
      </w:pPr>
      <w:r w:rsidRPr="00B63B5A">
        <w:rPr>
          <w:b w:val="0"/>
          <w:szCs w:val="24"/>
        </w:rPr>
        <w:t>Smluvní cena díla zahrnuje zejména veškeré práce, výkony a služby související s provedením díla.</w:t>
      </w:r>
    </w:p>
    <w:p w14:paraId="2DED6B7C" w14:textId="325F8271" w:rsidR="008B64D4" w:rsidRPr="00CF4CD0" w:rsidRDefault="008B64D4" w:rsidP="007571BB">
      <w:pPr>
        <w:pStyle w:val="Zkladntext"/>
        <w:numPr>
          <w:ilvl w:val="0"/>
          <w:numId w:val="2"/>
        </w:numPr>
        <w:tabs>
          <w:tab w:val="clear" w:pos="360"/>
          <w:tab w:val="num" w:pos="426"/>
        </w:tabs>
        <w:suppressAutoHyphens w:val="0"/>
        <w:ind w:left="426" w:hanging="426"/>
        <w:jc w:val="both"/>
        <w:rPr>
          <w:b w:val="0"/>
          <w:szCs w:val="24"/>
        </w:rPr>
      </w:pPr>
      <w:r w:rsidRPr="001F04C3">
        <w:rPr>
          <w:b w:val="0"/>
          <w:color w:val="000000"/>
          <w:szCs w:val="24"/>
        </w:rPr>
        <w:t>Vyúčtování ceny díla zhotovitel provede formou faktury – daňového dokladu</w:t>
      </w:r>
      <w:r w:rsidR="0056739B" w:rsidRPr="001F04C3">
        <w:rPr>
          <w:b w:val="0"/>
          <w:szCs w:val="24"/>
        </w:rPr>
        <w:t xml:space="preserve"> po provedení a předání díla bez závad a nedodělků</w:t>
      </w:r>
      <w:r w:rsidRPr="001F04C3">
        <w:rPr>
          <w:b w:val="0"/>
          <w:color w:val="000000"/>
          <w:szCs w:val="24"/>
        </w:rPr>
        <w:t>.</w:t>
      </w:r>
    </w:p>
    <w:p w14:paraId="0AA26B32" w14:textId="5815F710" w:rsidR="001C0C2C" w:rsidRDefault="007D1FF4" w:rsidP="007571BB">
      <w:pPr>
        <w:pStyle w:val="Zkladntext"/>
        <w:numPr>
          <w:ilvl w:val="0"/>
          <w:numId w:val="2"/>
        </w:numPr>
        <w:tabs>
          <w:tab w:val="clear" w:pos="360"/>
          <w:tab w:val="num" w:pos="426"/>
        </w:tabs>
        <w:suppressAutoHyphens w:val="0"/>
        <w:ind w:left="426" w:hanging="426"/>
        <w:jc w:val="both"/>
        <w:rPr>
          <w:b w:val="0"/>
          <w:szCs w:val="24"/>
        </w:rPr>
      </w:pPr>
      <w:r>
        <w:rPr>
          <w:b w:val="0"/>
          <w:szCs w:val="24"/>
        </w:rPr>
        <w:t>F</w:t>
      </w:r>
      <w:r w:rsidR="008B64D4" w:rsidRPr="00B63B5A">
        <w:rPr>
          <w:b w:val="0"/>
          <w:szCs w:val="24"/>
        </w:rPr>
        <w:t xml:space="preserve">aktura (daňový doklad) </w:t>
      </w:r>
      <w:r w:rsidR="007571BB">
        <w:rPr>
          <w:b w:val="0"/>
          <w:szCs w:val="24"/>
        </w:rPr>
        <w:t xml:space="preserve">bude </w:t>
      </w:r>
      <w:r w:rsidR="007571BB" w:rsidRPr="00B63B5A">
        <w:rPr>
          <w:b w:val="0"/>
          <w:szCs w:val="24"/>
        </w:rPr>
        <w:t xml:space="preserve">obsahovat </w:t>
      </w:r>
      <w:r w:rsidR="007571BB">
        <w:rPr>
          <w:b w:val="0"/>
          <w:szCs w:val="24"/>
        </w:rPr>
        <w:t>všechny</w:t>
      </w:r>
      <w:r w:rsidR="007571BB" w:rsidRPr="00B63B5A">
        <w:rPr>
          <w:b w:val="0"/>
          <w:szCs w:val="24"/>
        </w:rPr>
        <w:t xml:space="preserve"> náležitosti</w:t>
      </w:r>
      <w:r w:rsidR="007571BB">
        <w:rPr>
          <w:b w:val="0"/>
          <w:szCs w:val="24"/>
        </w:rPr>
        <w:t xml:space="preserve"> </w:t>
      </w:r>
      <w:r w:rsidR="0050557F">
        <w:rPr>
          <w:b w:val="0"/>
          <w:szCs w:val="24"/>
        </w:rPr>
        <w:t>daňového</w:t>
      </w:r>
      <w:r w:rsidR="007571BB">
        <w:rPr>
          <w:b w:val="0"/>
          <w:szCs w:val="24"/>
        </w:rPr>
        <w:t xml:space="preserve"> a účetního dokladu, jak je stanoveno zákonem </w:t>
      </w:r>
      <w:r w:rsidR="007571BB" w:rsidRPr="00B63B5A">
        <w:rPr>
          <w:b w:val="0"/>
          <w:szCs w:val="24"/>
        </w:rPr>
        <w:t>č. 235/2004 Sb.</w:t>
      </w:r>
      <w:r w:rsidR="007571BB">
        <w:rPr>
          <w:b w:val="0"/>
          <w:szCs w:val="24"/>
        </w:rPr>
        <w:t xml:space="preserve">, o dani z přidané hodnoty, ve </w:t>
      </w:r>
      <w:r w:rsidR="0050557F">
        <w:rPr>
          <w:b w:val="0"/>
          <w:szCs w:val="24"/>
        </w:rPr>
        <w:t>znění</w:t>
      </w:r>
      <w:r w:rsidR="007571BB">
        <w:rPr>
          <w:b w:val="0"/>
          <w:szCs w:val="24"/>
        </w:rPr>
        <w:t xml:space="preserve"> pozdějších předpisů</w:t>
      </w:r>
      <w:r w:rsidR="001C0C2C">
        <w:rPr>
          <w:b w:val="0"/>
          <w:szCs w:val="24"/>
        </w:rPr>
        <w:t>, a tyto náležitosti:</w:t>
      </w:r>
    </w:p>
    <w:p w14:paraId="05C7EAAF" w14:textId="19C6429F" w:rsidR="001C0C2C" w:rsidRPr="00321A58" w:rsidRDefault="009D6B57" w:rsidP="001C0C2C">
      <w:pPr>
        <w:pStyle w:val="Odrky"/>
        <w:numPr>
          <w:ilvl w:val="0"/>
          <w:numId w:val="9"/>
        </w:numPr>
        <w:rPr>
          <w:color w:val="000000"/>
        </w:rPr>
      </w:pPr>
      <w:r>
        <w:t>číslo smlouvy</w:t>
      </w:r>
      <w:r w:rsidR="007B45A3">
        <w:rPr>
          <w:color w:val="000000"/>
        </w:rPr>
        <w:t>,</w:t>
      </w:r>
    </w:p>
    <w:p w14:paraId="6182FD22" w14:textId="108D07A9" w:rsidR="001C0C2C" w:rsidRPr="00321A58" w:rsidRDefault="009D6B57" w:rsidP="001C0C2C">
      <w:pPr>
        <w:numPr>
          <w:ilvl w:val="0"/>
          <w:numId w:val="9"/>
        </w:numPr>
        <w:suppressAutoHyphens/>
        <w:jc w:val="both"/>
      </w:pPr>
      <w:r w:rsidRPr="00321A58">
        <w:rPr>
          <w:color w:val="000000"/>
        </w:rPr>
        <w:t>soupis provedených prací dokladující oprávněnost fakturované částky potvrzený objednatelem</w:t>
      </w:r>
      <w:r w:rsidR="001C0C2C">
        <w:t>.</w:t>
      </w:r>
    </w:p>
    <w:p w14:paraId="1F40D339" w14:textId="42D26F27" w:rsidR="008B64D4" w:rsidRPr="00B63B5A" w:rsidRDefault="00114999" w:rsidP="007571BB">
      <w:pPr>
        <w:tabs>
          <w:tab w:val="num" w:pos="426"/>
        </w:tabs>
        <w:ind w:left="426" w:hanging="426"/>
        <w:jc w:val="both"/>
      </w:pPr>
      <w:r>
        <w:tab/>
      </w:r>
      <w:r w:rsidR="008B64D4" w:rsidRPr="00B63B5A">
        <w:t>V případě, že daňový doklad nebude obsahovat náležitosti dle tohoto článku, je objednatel oprávněn t</w:t>
      </w:r>
      <w:r w:rsidR="002B121B">
        <w:t>en</w:t>
      </w:r>
      <w:r w:rsidR="008B64D4" w:rsidRPr="00B63B5A">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w:t>
      </w:r>
      <w:r w:rsidR="00D54A72">
        <w:t xml:space="preserve"> </w:t>
      </w:r>
      <w:r w:rsidR="008B64D4" w:rsidRPr="00B63B5A">
        <w:t>objednatel</w:t>
      </w:r>
      <w:r w:rsidR="007438D6">
        <w:t>i</w:t>
      </w:r>
      <w:r w:rsidR="008B64D4" w:rsidRPr="00B63B5A">
        <w:t>.</w:t>
      </w:r>
    </w:p>
    <w:p w14:paraId="14F3E27D" w14:textId="2EEC0AAC" w:rsidR="008B64D4" w:rsidRPr="00B63B5A" w:rsidRDefault="008B64D4" w:rsidP="007571BB">
      <w:pPr>
        <w:numPr>
          <w:ilvl w:val="0"/>
          <w:numId w:val="2"/>
        </w:numPr>
        <w:tabs>
          <w:tab w:val="clear" w:pos="360"/>
          <w:tab w:val="num" w:pos="426"/>
        </w:tabs>
        <w:ind w:left="426" w:hanging="426"/>
        <w:jc w:val="both"/>
      </w:pPr>
      <w:r w:rsidRPr="00B63B5A">
        <w:t xml:space="preserve">Daňový doklad je splatný ve lhůtě 30 dnů od </w:t>
      </w:r>
      <w:r w:rsidR="009E2BB1">
        <w:t>jeho vystavení</w:t>
      </w:r>
      <w:r w:rsidRPr="00B63B5A">
        <w:t>.</w:t>
      </w:r>
    </w:p>
    <w:p w14:paraId="6B449266" w14:textId="77777777" w:rsidR="008B64D4" w:rsidRPr="00B63B5A" w:rsidRDefault="008B64D4" w:rsidP="007571BB">
      <w:pPr>
        <w:numPr>
          <w:ilvl w:val="0"/>
          <w:numId w:val="2"/>
        </w:numPr>
        <w:tabs>
          <w:tab w:val="clear" w:pos="360"/>
          <w:tab w:val="num" w:pos="426"/>
        </w:tabs>
        <w:ind w:left="426" w:hanging="426"/>
        <w:jc w:val="both"/>
      </w:pPr>
      <w:r w:rsidRPr="00B63B5A">
        <w:t>Daňový doklad je považován za uhrazený dnem odepsání fakturované částky z účtu objednatele.</w:t>
      </w:r>
    </w:p>
    <w:p w14:paraId="40B14DB6" w14:textId="77777777" w:rsidR="008B64D4" w:rsidRDefault="008B64D4" w:rsidP="008B64D4">
      <w:pPr>
        <w:spacing w:line="240" w:lineRule="atLeast"/>
        <w:outlineLvl w:val="0"/>
        <w:rPr>
          <w:color w:val="000000"/>
        </w:rPr>
      </w:pPr>
    </w:p>
    <w:p w14:paraId="6CFF264B" w14:textId="77777777" w:rsidR="008B64D4" w:rsidRPr="00B63B5A" w:rsidRDefault="008B64D4" w:rsidP="008B64D4">
      <w:pPr>
        <w:spacing w:line="240" w:lineRule="atLeast"/>
        <w:outlineLvl w:val="0"/>
        <w:rPr>
          <w:color w:val="000000"/>
        </w:rPr>
      </w:pPr>
    </w:p>
    <w:p w14:paraId="136CE9A9" w14:textId="77777777" w:rsidR="008B64D4" w:rsidRPr="00B63B5A" w:rsidRDefault="008B64D4" w:rsidP="008B64D4">
      <w:pPr>
        <w:spacing w:line="240" w:lineRule="atLeast"/>
        <w:jc w:val="center"/>
        <w:outlineLvl w:val="0"/>
        <w:rPr>
          <w:b/>
          <w:color w:val="000000"/>
        </w:rPr>
      </w:pPr>
      <w:r w:rsidRPr="00B63B5A">
        <w:rPr>
          <w:b/>
          <w:color w:val="000000"/>
        </w:rPr>
        <w:t>Článek IV.</w:t>
      </w:r>
    </w:p>
    <w:p w14:paraId="544CA6C6" w14:textId="07E53FE2" w:rsidR="008B64D4" w:rsidRPr="00B63B5A" w:rsidRDefault="008B64D4" w:rsidP="007571BB">
      <w:pPr>
        <w:ind w:left="426" w:hanging="426"/>
        <w:jc w:val="center"/>
        <w:rPr>
          <w:b/>
        </w:rPr>
      </w:pPr>
      <w:r w:rsidRPr="00B63B5A">
        <w:rPr>
          <w:b/>
        </w:rPr>
        <w:t>Předání a převzetí díla, záruční doba</w:t>
      </w:r>
    </w:p>
    <w:p w14:paraId="5A6AA63A" w14:textId="7FFE8F94" w:rsidR="007F0215" w:rsidRPr="00373D7A" w:rsidRDefault="007F0215" w:rsidP="007F0215">
      <w:pPr>
        <w:numPr>
          <w:ilvl w:val="0"/>
          <w:numId w:val="7"/>
        </w:numPr>
        <w:spacing w:line="240" w:lineRule="atLeast"/>
        <w:ind w:left="426" w:hanging="426"/>
        <w:jc w:val="both"/>
      </w:pPr>
      <w:r w:rsidRPr="00373D7A">
        <w:t>Povinnost zhotovitele provést řádně dílo je splněna dnem, kdy jsou splněny podmínky uvedené v</w:t>
      </w:r>
      <w:r>
        <w:t> </w:t>
      </w:r>
      <w:r w:rsidRPr="00373D7A">
        <w:t>čl</w:t>
      </w:r>
      <w:r>
        <w:t>.</w:t>
      </w:r>
      <w:r w:rsidRPr="00373D7A">
        <w:t xml:space="preserve"> I. této smlouvy.</w:t>
      </w:r>
    </w:p>
    <w:p w14:paraId="1BA6E47B" w14:textId="3887088A" w:rsidR="008B64D4" w:rsidRPr="00B63B5A" w:rsidRDefault="008B64D4" w:rsidP="007571BB">
      <w:pPr>
        <w:numPr>
          <w:ilvl w:val="0"/>
          <w:numId w:val="7"/>
        </w:numPr>
        <w:ind w:left="426" w:hanging="426"/>
        <w:jc w:val="both"/>
      </w:pPr>
      <w:r>
        <w:rPr>
          <w:color w:val="000000"/>
        </w:rPr>
        <w:t xml:space="preserve">O </w:t>
      </w:r>
      <w:r w:rsidRPr="00B63B5A">
        <w:rPr>
          <w:color w:val="000000"/>
        </w:rPr>
        <w:t xml:space="preserve">předání </w:t>
      </w:r>
      <w:r w:rsidR="00114999">
        <w:rPr>
          <w:color w:val="000000"/>
        </w:rPr>
        <w:t xml:space="preserve">a převzetí </w:t>
      </w:r>
      <w:r w:rsidRPr="00B63B5A">
        <w:rPr>
          <w:color w:val="000000"/>
        </w:rPr>
        <w:t>provedeného díla zhotovitelem bud</w:t>
      </w:r>
      <w:r w:rsidR="007F0215">
        <w:rPr>
          <w:color w:val="000000"/>
        </w:rPr>
        <w:t>e</w:t>
      </w:r>
      <w:r w:rsidRPr="00B63B5A">
        <w:rPr>
          <w:color w:val="000000"/>
        </w:rPr>
        <w:t xml:space="preserve"> sepsán předávací protokol, kter</w:t>
      </w:r>
      <w:r w:rsidR="007F0215">
        <w:rPr>
          <w:color w:val="000000"/>
        </w:rPr>
        <w:t>ý</w:t>
      </w:r>
      <w:r w:rsidRPr="00B63B5A">
        <w:rPr>
          <w:color w:val="000000"/>
        </w:rPr>
        <w:t xml:space="preserve"> podepíší zástupci obou smluvních stran. </w:t>
      </w:r>
    </w:p>
    <w:p w14:paraId="13344470" w14:textId="0685A31F" w:rsidR="00615ECF" w:rsidRDefault="00615ECF" w:rsidP="00615ECF">
      <w:pPr>
        <w:numPr>
          <w:ilvl w:val="0"/>
          <w:numId w:val="7"/>
        </w:numPr>
        <w:spacing w:line="240" w:lineRule="atLeast"/>
        <w:ind w:left="426" w:hanging="426"/>
        <w:jc w:val="both"/>
      </w:pPr>
      <w:r w:rsidRPr="00243C08">
        <w:t>Nedokončené dílo není objednatel povinen převzít.</w:t>
      </w:r>
    </w:p>
    <w:p w14:paraId="573237E1" w14:textId="77777777" w:rsidR="00615ECF" w:rsidRPr="00373D7A" w:rsidRDefault="00615ECF" w:rsidP="00615ECF">
      <w:pPr>
        <w:numPr>
          <w:ilvl w:val="0"/>
          <w:numId w:val="7"/>
        </w:numPr>
        <w:spacing w:line="240" w:lineRule="atLeast"/>
        <w:ind w:left="426" w:hanging="426"/>
        <w:jc w:val="both"/>
      </w:pPr>
      <w:r w:rsidRPr="00373D7A">
        <w:t>Dílo má vady, jestliže ho nelze užívat k účelu, pro který bylo zhotoveno a svým provedením neodpovídá výsledku určenému ve smlouvě, tj. kvalitě a rozsahu. Vady musí být jednoznačně specifikovány v předávacím protokolu.</w:t>
      </w:r>
    </w:p>
    <w:p w14:paraId="6C980165" w14:textId="02645605" w:rsidR="008B64D4" w:rsidRPr="00B63B5A" w:rsidRDefault="008B64D4" w:rsidP="007571BB">
      <w:pPr>
        <w:numPr>
          <w:ilvl w:val="0"/>
          <w:numId w:val="7"/>
        </w:numPr>
        <w:ind w:left="426" w:hanging="426"/>
        <w:jc w:val="both"/>
      </w:pPr>
      <w:r w:rsidRPr="00B63B5A">
        <w:t xml:space="preserve">Zhotovitel poskytuje objednateli záruku za vady, které vzniknou v záruční době, která činí na zhotovené dílo </w:t>
      </w:r>
      <w:r w:rsidR="00384799">
        <w:t xml:space="preserve">24 </w:t>
      </w:r>
      <w:r w:rsidRPr="00B63B5A">
        <w:t>měsíců</w:t>
      </w:r>
      <w:r w:rsidR="00704F17">
        <w:t xml:space="preserve"> a</w:t>
      </w:r>
      <w:r w:rsidRPr="00B63B5A">
        <w:t xml:space="preserve"> která začne běžet dnem následujícím po písemném předání díla objednateli.</w:t>
      </w:r>
    </w:p>
    <w:p w14:paraId="1EC25EAF" w14:textId="77777777" w:rsidR="00615ECF" w:rsidRPr="00373D7A" w:rsidRDefault="00615ECF" w:rsidP="00615ECF">
      <w:pPr>
        <w:numPr>
          <w:ilvl w:val="0"/>
          <w:numId w:val="7"/>
        </w:numPr>
        <w:spacing w:line="240" w:lineRule="atLeast"/>
        <w:ind w:left="426" w:hanging="426"/>
        <w:jc w:val="both"/>
      </w:pPr>
      <w:r w:rsidRPr="00373D7A">
        <w:lastRenderedPageBreak/>
        <w:t xml:space="preserve">Oznámení vady (reklamace), včetně popisu vady musí objednatel sdělit zhotoviteli </w:t>
      </w:r>
      <w:r w:rsidRPr="00C349F3">
        <w:t>písemně bez zbytečného odkladu, avšak nejpozději do pěti dnů poté, kdy vadu zjistil, a to doporučeným dopisem do rukou</w:t>
      </w:r>
      <w:r w:rsidRPr="00373D7A">
        <w:t xml:space="preserve"> zhotovitele.</w:t>
      </w:r>
    </w:p>
    <w:p w14:paraId="21B72A21" w14:textId="77777777" w:rsidR="00615ECF" w:rsidRPr="00373D7A" w:rsidRDefault="00615ECF" w:rsidP="00615ECF">
      <w:pPr>
        <w:numPr>
          <w:ilvl w:val="0"/>
          <w:numId w:val="7"/>
        </w:numPr>
        <w:spacing w:line="240" w:lineRule="atLeast"/>
        <w:ind w:left="426" w:hanging="426"/>
        <w:jc w:val="both"/>
      </w:pPr>
      <w:r w:rsidRPr="00373D7A">
        <w:t>Zhotovitel se zavazuje do</w:t>
      </w:r>
      <w:r>
        <w:t xml:space="preserve"> </w:t>
      </w:r>
      <w:r w:rsidRPr="00373D7A">
        <w:t xml:space="preserve">5 pracovních dnů po obdržení reklamace objednatele, reklamované vady prověřit a navrhnout způsob odstranění vad. Termín odstranění vad bude dohodnut písemnou formou s přihlédnutím k povaze vady. </w:t>
      </w:r>
    </w:p>
    <w:p w14:paraId="5CBA23AA" w14:textId="77777777" w:rsidR="008B64D4" w:rsidRDefault="008B64D4" w:rsidP="008B64D4"/>
    <w:p w14:paraId="63171714" w14:textId="77777777" w:rsidR="00CF73C4" w:rsidRPr="00B63B5A" w:rsidRDefault="00CF73C4" w:rsidP="008B64D4"/>
    <w:p w14:paraId="6BF710D0" w14:textId="20A7193B" w:rsidR="008B64D4" w:rsidRPr="00B63B5A" w:rsidRDefault="008B64D4" w:rsidP="008B64D4">
      <w:pPr>
        <w:jc w:val="center"/>
        <w:rPr>
          <w:b/>
        </w:rPr>
      </w:pPr>
      <w:r w:rsidRPr="00B63B5A">
        <w:rPr>
          <w:b/>
        </w:rPr>
        <w:t>Článek V</w:t>
      </w:r>
      <w:r w:rsidR="00FF4758">
        <w:rPr>
          <w:b/>
        </w:rPr>
        <w:t>.</w:t>
      </w:r>
    </w:p>
    <w:p w14:paraId="3B3F909A" w14:textId="583F8178" w:rsidR="008B64D4" w:rsidRPr="00B63B5A" w:rsidRDefault="009C37BA" w:rsidP="008B64D4">
      <w:pPr>
        <w:jc w:val="center"/>
        <w:rPr>
          <w:b/>
        </w:rPr>
      </w:pPr>
      <w:r>
        <w:rPr>
          <w:b/>
        </w:rPr>
        <w:t>Závěrečná</w:t>
      </w:r>
      <w:r w:rsidR="008B64D4" w:rsidRPr="00B63B5A">
        <w:rPr>
          <w:b/>
        </w:rPr>
        <w:t xml:space="preserve"> ujednání</w:t>
      </w:r>
    </w:p>
    <w:p w14:paraId="109B3C97" w14:textId="644A4645" w:rsidR="008B64D4" w:rsidRPr="00B63B5A" w:rsidRDefault="008B64D4" w:rsidP="008B64D4">
      <w:pPr>
        <w:numPr>
          <w:ilvl w:val="0"/>
          <w:numId w:val="6"/>
        </w:numPr>
        <w:jc w:val="both"/>
      </w:pPr>
      <w:r w:rsidRPr="00B63B5A">
        <w:t xml:space="preserve">Zhotovitel bude při plnění předmětu této smlouvy postupovat s odbornou péčí. Zavazuje se dodržovat obecně závazné právní předpisy, technické normy a podmínky této smlouvy. </w:t>
      </w:r>
    </w:p>
    <w:p w14:paraId="1DE5D671" w14:textId="3A013201" w:rsidR="008B64D4" w:rsidRPr="00B63B5A" w:rsidRDefault="003B159A" w:rsidP="008B64D4">
      <w:pPr>
        <w:pStyle w:val="Odstavecseseznamem"/>
        <w:numPr>
          <w:ilvl w:val="0"/>
          <w:numId w:val="6"/>
        </w:numPr>
        <w:suppressAutoHyphens/>
        <w:contextualSpacing/>
        <w:jc w:val="both"/>
      </w:pPr>
      <w:r>
        <w:t>T</w:t>
      </w:r>
      <w:r w:rsidR="008B64D4" w:rsidRPr="00B63B5A">
        <w:t>ato smlouva nabývá platnosti dnem jejího podpisu smluvní</w:t>
      </w:r>
      <w:r w:rsidR="0050557F">
        <w:t>mi</w:t>
      </w:r>
      <w:r w:rsidR="008B64D4" w:rsidRPr="00B63B5A">
        <w:t xml:space="preserve"> stran</w:t>
      </w:r>
      <w:r w:rsidR="0050557F">
        <w:t>ami a</w:t>
      </w:r>
      <w:r w:rsidR="008B64D4" w:rsidRPr="00B63B5A">
        <w:t xml:space="preserve"> účinnosti dnem uveřejnění v </w:t>
      </w:r>
      <w:r w:rsidR="008B64D4">
        <w:t>r</w:t>
      </w:r>
      <w:r w:rsidR="008B64D4" w:rsidRPr="00B63B5A">
        <w:t xml:space="preserve">egistru smluv. </w:t>
      </w:r>
    </w:p>
    <w:p w14:paraId="15607549" w14:textId="77777777" w:rsidR="008B64D4" w:rsidRPr="00B63B5A" w:rsidRDefault="008B64D4" w:rsidP="008B64D4">
      <w:pPr>
        <w:numPr>
          <w:ilvl w:val="0"/>
          <w:numId w:val="6"/>
        </w:numPr>
        <w:jc w:val="both"/>
      </w:pPr>
      <w:r w:rsidRPr="00B63B5A">
        <w:t>Práva a povinnosti smluvních stran, neupravené výslovně touto smlouvou, se řídí ustanoveními občanského zákoníku.</w:t>
      </w:r>
    </w:p>
    <w:p w14:paraId="308028E5" w14:textId="77777777" w:rsidR="008B64D4" w:rsidRPr="0068050B" w:rsidRDefault="008B64D4" w:rsidP="008B64D4">
      <w:pPr>
        <w:widowControl w:val="0"/>
        <w:numPr>
          <w:ilvl w:val="0"/>
          <w:numId w:val="6"/>
        </w:numPr>
        <w:tabs>
          <w:tab w:val="left" w:pos="360"/>
        </w:tabs>
        <w:autoSpaceDE w:val="0"/>
        <w:autoSpaceDN w:val="0"/>
        <w:adjustRightInd w:val="0"/>
        <w:jc w:val="both"/>
        <w:rPr>
          <w:szCs w:val="22"/>
        </w:rPr>
      </w:pPr>
      <w:r w:rsidRPr="0068050B">
        <w:rPr>
          <w:szCs w:val="22"/>
        </w:rPr>
        <w:t xml:space="preserve">Tato smlouva je vyhotovena ve </w:t>
      </w:r>
      <w:r>
        <w:rPr>
          <w:szCs w:val="22"/>
        </w:rPr>
        <w:t>třech</w:t>
      </w:r>
      <w:r w:rsidRPr="0068050B">
        <w:rPr>
          <w:szCs w:val="22"/>
        </w:rPr>
        <w:t xml:space="preserve"> vyhotoveních, z nichž </w:t>
      </w:r>
      <w:r>
        <w:rPr>
          <w:szCs w:val="22"/>
        </w:rPr>
        <w:t xml:space="preserve">objednatel </w:t>
      </w:r>
      <w:r w:rsidRPr="0068050B">
        <w:rPr>
          <w:szCs w:val="22"/>
        </w:rPr>
        <w:t xml:space="preserve">obdrží </w:t>
      </w:r>
      <w:r>
        <w:rPr>
          <w:szCs w:val="22"/>
        </w:rPr>
        <w:t>dvě a zhotovitel jedno vyhotovení</w:t>
      </w:r>
      <w:r w:rsidRPr="0068050B">
        <w:rPr>
          <w:szCs w:val="22"/>
        </w:rPr>
        <w:t>.</w:t>
      </w:r>
    </w:p>
    <w:p w14:paraId="3FAD9595" w14:textId="78F2DD68" w:rsidR="008B64D4" w:rsidRPr="00B63B5A" w:rsidRDefault="008B64D4" w:rsidP="008B64D4">
      <w:pPr>
        <w:numPr>
          <w:ilvl w:val="0"/>
          <w:numId w:val="6"/>
        </w:numPr>
        <w:jc w:val="both"/>
      </w:pPr>
      <w:r w:rsidRPr="00B63B5A">
        <w:t>T</w:t>
      </w:r>
      <w:r>
        <w:t>ut</w:t>
      </w:r>
      <w:r w:rsidRPr="00B63B5A">
        <w:t>o smlouv</w:t>
      </w:r>
      <w:r>
        <w:t>u</w:t>
      </w:r>
      <w:r w:rsidRPr="00B63B5A">
        <w:t xml:space="preserve"> je možno měnit a doplňovat pouze číslovanými písemnými dodatky, podepsanými oprávněnými zástupci smluvních stran. </w:t>
      </w:r>
    </w:p>
    <w:p w14:paraId="01505E68" w14:textId="77777777" w:rsidR="008B64D4" w:rsidRPr="00B63B5A" w:rsidRDefault="008B64D4" w:rsidP="008B64D4">
      <w:pPr>
        <w:numPr>
          <w:ilvl w:val="0"/>
          <w:numId w:val="6"/>
        </w:numPr>
        <w:jc w:val="both"/>
      </w:pPr>
      <w:r w:rsidRPr="00B63B5A">
        <w:t>Smluvní strany prohlašují, že je jim znám obsah této smlouvy včetně příloh, že s jejím obsahem souhlasí, a že smlouvu uzavírají na základě svobodné vůle, nikoliv v tísni či za nevýhodných podmínek.</w:t>
      </w:r>
    </w:p>
    <w:p w14:paraId="03427721" w14:textId="77777777" w:rsidR="008B64D4" w:rsidRPr="0068050B"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27E0DB12" w14:textId="77777777" w:rsidR="008B64D4" w:rsidRPr="0068050B"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78411BB6" w14:textId="59FC1B27" w:rsidR="008B64D4" w:rsidRPr="0068050B"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r w:rsidRPr="0068050B">
        <w:rPr>
          <w:bCs/>
          <w:color w:val="000000"/>
          <w:szCs w:val="22"/>
        </w:rPr>
        <w:t xml:space="preserve">V Praze dne </w:t>
      </w:r>
      <w:r>
        <w:rPr>
          <w:bCs/>
          <w:color w:val="000000"/>
          <w:szCs w:val="22"/>
        </w:rPr>
        <w:t>_______________</w:t>
      </w:r>
      <w:r w:rsidRPr="0068050B">
        <w:rPr>
          <w:bCs/>
          <w:color w:val="000000"/>
          <w:szCs w:val="22"/>
        </w:rPr>
        <w:tab/>
      </w:r>
      <w:r w:rsidRPr="0068050B">
        <w:rPr>
          <w:bCs/>
          <w:color w:val="000000"/>
          <w:szCs w:val="22"/>
        </w:rPr>
        <w:tab/>
      </w:r>
      <w:r>
        <w:rPr>
          <w:bCs/>
          <w:color w:val="000000"/>
          <w:szCs w:val="22"/>
        </w:rPr>
        <w:tab/>
      </w:r>
      <w:r w:rsidRPr="0068050B">
        <w:rPr>
          <w:bCs/>
          <w:color w:val="000000"/>
          <w:szCs w:val="22"/>
        </w:rPr>
        <w:tab/>
        <w:t xml:space="preserve">V </w:t>
      </w:r>
      <w:r w:rsidR="00611A28">
        <w:rPr>
          <w:bCs/>
          <w:color w:val="000000"/>
          <w:szCs w:val="22"/>
        </w:rPr>
        <w:t>Praze</w:t>
      </w:r>
      <w:r>
        <w:rPr>
          <w:bCs/>
          <w:color w:val="000000"/>
          <w:szCs w:val="22"/>
        </w:rPr>
        <w:t xml:space="preserve"> </w:t>
      </w:r>
      <w:r w:rsidRPr="0068050B">
        <w:rPr>
          <w:bCs/>
          <w:color w:val="000000"/>
          <w:szCs w:val="22"/>
        </w:rPr>
        <w:t xml:space="preserve">dne </w:t>
      </w:r>
      <w:r>
        <w:rPr>
          <w:bCs/>
          <w:color w:val="000000"/>
          <w:szCs w:val="22"/>
        </w:rPr>
        <w:t>_______________</w:t>
      </w:r>
    </w:p>
    <w:p w14:paraId="74D10253" w14:textId="77777777" w:rsidR="008B64D4" w:rsidRPr="00B77279"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1530D49" w14:textId="77777777" w:rsidR="008B64D4"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A3168FC" w14:textId="25C007FD" w:rsidR="008B64D4" w:rsidRPr="00B77279" w:rsidRDefault="007015DD"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Xxxxxxxxxxxxxxxxxxxx</w:t>
      </w:r>
      <w:r>
        <w:rPr>
          <w:color w:val="000000"/>
          <w:szCs w:val="22"/>
        </w:rPr>
        <w:tab/>
      </w:r>
      <w:r>
        <w:rPr>
          <w:color w:val="000000"/>
          <w:szCs w:val="22"/>
        </w:rPr>
        <w:tab/>
      </w:r>
      <w:r>
        <w:rPr>
          <w:color w:val="000000"/>
          <w:szCs w:val="22"/>
        </w:rPr>
        <w:tab/>
      </w:r>
      <w:r>
        <w:rPr>
          <w:color w:val="000000"/>
          <w:szCs w:val="22"/>
        </w:rPr>
        <w:tab/>
      </w:r>
      <w:r>
        <w:rPr>
          <w:color w:val="000000"/>
          <w:szCs w:val="22"/>
        </w:rPr>
        <w:tab/>
        <w:t>xxxxxxxxxxxxxxxxxxxxxxx</w:t>
      </w:r>
    </w:p>
    <w:p w14:paraId="14955F9F" w14:textId="77777777" w:rsidR="008B64D4"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_________________________</w:t>
      </w:r>
      <w:r>
        <w:rPr>
          <w:color w:val="000000"/>
          <w:szCs w:val="22"/>
        </w:rPr>
        <w:tab/>
      </w:r>
      <w:r>
        <w:rPr>
          <w:color w:val="000000"/>
          <w:szCs w:val="22"/>
        </w:rPr>
        <w:tab/>
      </w:r>
      <w:r>
        <w:rPr>
          <w:color w:val="000000"/>
          <w:szCs w:val="22"/>
        </w:rPr>
        <w:tab/>
      </w:r>
      <w:r>
        <w:rPr>
          <w:color w:val="000000"/>
          <w:szCs w:val="22"/>
        </w:rPr>
        <w:tab/>
        <w:t>_________________________</w:t>
      </w:r>
    </w:p>
    <w:p w14:paraId="33AA6506" w14:textId="5C8EECFF" w:rsidR="006954A6" w:rsidRDefault="00CA6B96"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Ing. Martin Souček, Ph.D.</w:t>
      </w:r>
      <w:r w:rsidR="008B64D4">
        <w:rPr>
          <w:color w:val="000000"/>
          <w:szCs w:val="22"/>
        </w:rPr>
        <w:tab/>
      </w:r>
      <w:r w:rsidR="008B64D4">
        <w:rPr>
          <w:color w:val="000000"/>
          <w:szCs w:val="22"/>
        </w:rPr>
        <w:tab/>
      </w:r>
      <w:r w:rsidR="008B64D4">
        <w:rPr>
          <w:color w:val="000000"/>
          <w:szCs w:val="22"/>
        </w:rPr>
        <w:tab/>
      </w:r>
      <w:r w:rsidR="008B64D4">
        <w:rPr>
          <w:color w:val="000000"/>
          <w:szCs w:val="22"/>
        </w:rPr>
        <w:tab/>
      </w:r>
      <w:r w:rsidR="008B64D4">
        <w:rPr>
          <w:color w:val="000000"/>
          <w:szCs w:val="22"/>
        </w:rPr>
        <w:tab/>
      </w:r>
      <w:r w:rsidR="00800325">
        <w:rPr>
          <w:color w:val="000000"/>
          <w:szCs w:val="22"/>
        </w:rPr>
        <w:t>Tomáš Pavelka</w:t>
      </w:r>
    </w:p>
    <w:p w14:paraId="44FF53FF" w14:textId="2E631B99" w:rsidR="00462930" w:rsidRDefault="00462930"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65447">
        <w:t>ředitel Odboru digitalizace</w:t>
      </w:r>
      <w:r>
        <w:tab/>
      </w:r>
      <w:r>
        <w:tab/>
      </w:r>
      <w:r>
        <w:tab/>
      </w:r>
      <w:r>
        <w:tab/>
      </w:r>
      <w:r>
        <w:tab/>
      </w:r>
      <w:r w:rsidR="00FF4758">
        <w:t>jednatel</w:t>
      </w:r>
    </w:p>
    <w:p w14:paraId="11725725" w14:textId="124628B8" w:rsidR="00DA18AC" w:rsidRDefault="00462930"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65447">
        <w:t>a informačních systémů</w:t>
      </w:r>
    </w:p>
    <w:p w14:paraId="2FFC97C1"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B8F6328"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1016CF1"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66A2E8E"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1832E78"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6BB3247"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908FB87"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46BF771"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909E568"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AA41529"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436DBC1"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2A74BEE"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C766DBA"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4081BE3"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77FA7A0"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9B1782B"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9EF837E" w14:textId="77777777" w:rsidR="006B4CE3"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F7A76B5" w14:textId="77777777" w:rsidR="006B4CE3" w:rsidRPr="006B4CE3" w:rsidRDefault="006B4CE3" w:rsidP="006B4CE3">
      <w:pPr>
        <w:spacing w:line="276" w:lineRule="auto"/>
        <w:jc w:val="both"/>
      </w:pPr>
      <w:r w:rsidRPr="006B4CE3">
        <w:lastRenderedPageBreak/>
        <w:t>Příloha č.1</w:t>
      </w:r>
    </w:p>
    <w:p w14:paraId="7828F32A" w14:textId="77777777" w:rsidR="006B4CE3" w:rsidRDefault="006B4CE3" w:rsidP="006B4CE3">
      <w:pPr>
        <w:spacing w:line="276" w:lineRule="auto"/>
        <w:jc w:val="both"/>
        <w:rPr>
          <w:rFonts w:ascii="Arial" w:hAnsi="Arial" w:cs="Arial"/>
        </w:rPr>
      </w:pPr>
    </w:p>
    <w:p w14:paraId="5605844C" w14:textId="77777777" w:rsidR="006B4CE3" w:rsidRPr="004A46BD" w:rsidRDefault="006B4CE3" w:rsidP="006B4CE3">
      <w:pPr>
        <w:spacing w:line="276" w:lineRule="auto"/>
        <w:jc w:val="both"/>
        <w:rPr>
          <w:rFonts w:asciiTheme="minorHAnsi" w:hAnsiTheme="minorHAnsi" w:cstheme="minorHAnsi"/>
          <w:b/>
          <w:bCs/>
          <w:i/>
          <w:iCs/>
          <w:color w:val="2763B3"/>
          <w:sz w:val="22"/>
          <w:szCs w:val="22"/>
          <w:u w:val="single"/>
        </w:rPr>
      </w:pPr>
      <w:r w:rsidRPr="004A46BD">
        <w:rPr>
          <w:rFonts w:asciiTheme="minorHAnsi" w:hAnsiTheme="minorHAnsi" w:cstheme="minorHAnsi"/>
          <w:b/>
          <w:bCs/>
          <w:i/>
          <w:iCs/>
          <w:color w:val="2763B3"/>
          <w:sz w:val="22"/>
          <w:szCs w:val="22"/>
          <w:u w:val="single"/>
        </w:rPr>
        <w:t>Doplnění a rozšíření instalace A V techniky sálu 103 a 104</w:t>
      </w:r>
    </w:p>
    <w:p w14:paraId="2CB14322" w14:textId="77777777" w:rsidR="006B4CE3" w:rsidRPr="004A46BD" w:rsidRDefault="006B4CE3" w:rsidP="006B4CE3">
      <w:pPr>
        <w:spacing w:line="276" w:lineRule="auto"/>
        <w:jc w:val="both"/>
        <w:rPr>
          <w:rFonts w:asciiTheme="minorHAnsi" w:hAnsiTheme="minorHAnsi" w:cstheme="minorHAnsi"/>
          <w:b/>
          <w:bCs/>
          <w:i/>
          <w:iCs/>
          <w:color w:val="2763B3"/>
          <w:sz w:val="22"/>
          <w:szCs w:val="22"/>
          <w:u w:val="single"/>
        </w:rPr>
      </w:pPr>
    </w:p>
    <w:p w14:paraId="27693BEE" w14:textId="77777777" w:rsidR="006B4CE3" w:rsidRPr="004A46BD" w:rsidRDefault="006B4CE3" w:rsidP="006B4CE3">
      <w:pPr>
        <w:pStyle w:val="Tableofcontents10"/>
        <w:tabs>
          <w:tab w:val="left" w:pos="6907"/>
        </w:tabs>
        <w:ind w:firstLine="0"/>
        <w:rPr>
          <w:rFonts w:asciiTheme="minorHAnsi" w:hAnsiTheme="minorHAnsi" w:cstheme="minorHAnsi"/>
          <w:sz w:val="22"/>
          <w:szCs w:val="22"/>
        </w:rPr>
      </w:pPr>
      <w:r w:rsidRPr="004A46BD">
        <w:rPr>
          <w:rFonts w:asciiTheme="minorHAnsi" w:hAnsiTheme="minorHAnsi" w:cstheme="minorHAnsi"/>
          <w:b/>
          <w:bCs/>
          <w:color w:val="000000"/>
          <w:sz w:val="22"/>
          <w:szCs w:val="22"/>
        </w:rPr>
        <w:t>Acer PM161QB1 + NAPÁJECÍ ZDROJ + NAPÁJECÍ KABEL</w:t>
      </w:r>
      <w:r w:rsidRPr="004A46BD">
        <w:rPr>
          <w:rFonts w:asciiTheme="minorHAnsi" w:hAnsiTheme="minorHAnsi" w:cstheme="minorHAnsi"/>
          <w:b/>
          <w:bCs/>
          <w:color w:val="000000"/>
          <w:sz w:val="22"/>
          <w:szCs w:val="22"/>
        </w:rPr>
        <w:tab/>
        <w:t xml:space="preserve"> </w:t>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sidRPr="004A46BD">
        <w:rPr>
          <w:rFonts w:asciiTheme="minorHAnsi" w:hAnsiTheme="minorHAnsi" w:cstheme="minorHAnsi"/>
          <w:b/>
          <w:bCs/>
          <w:color w:val="000000"/>
          <w:sz w:val="22"/>
          <w:szCs w:val="22"/>
        </w:rPr>
        <w:t>2 ks</w:t>
      </w:r>
    </w:p>
    <w:p w14:paraId="0B2CE55E" w14:textId="77777777" w:rsidR="006B4CE3" w:rsidRPr="004A46BD" w:rsidRDefault="006B4CE3" w:rsidP="006B4CE3">
      <w:pPr>
        <w:pStyle w:val="Tableofcontents10"/>
        <w:tabs>
          <w:tab w:val="left" w:pos="6335"/>
        </w:tabs>
        <w:rPr>
          <w:rFonts w:asciiTheme="minorHAnsi" w:hAnsiTheme="minorHAnsi" w:cstheme="minorHAnsi"/>
          <w:sz w:val="22"/>
          <w:szCs w:val="22"/>
        </w:rPr>
      </w:pPr>
      <w:r w:rsidRPr="004A46BD">
        <w:rPr>
          <w:rFonts w:asciiTheme="minorHAnsi" w:hAnsiTheme="minorHAnsi" w:cstheme="minorHAnsi"/>
          <w:color w:val="000000"/>
          <w:sz w:val="22"/>
          <w:szCs w:val="22"/>
        </w:rPr>
        <w:t>Acer PM161QB1,IPS,FHD,HDMI,USB-C,250nits</w:t>
      </w:r>
      <w:r w:rsidRPr="004A46BD">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4A46BD">
        <w:rPr>
          <w:rFonts w:asciiTheme="minorHAnsi" w:hAnsiTheme="minorHAnsi" w:cstheme="minorHAnsi"/>
          <w:color w:val="000000"/>
          <w:sz w:val="22"/>
          <w:szCs w:val="22"/>
        </w:rPr>
        <w:t>1 ks</w:t>
      </w:r>
    </w:p>
    <w:p w14:paraId="5467FAB3" w14:textId="77777777" w:rsidR="006B4CE3" w:rsidRPr="004A46BD" w:rsidRDefault="006B4CE3" w:rsidP="006B4CE3">
      <w:pPr>
        <w:pStyle w:val="Tableofcontents10"/>
        <w:tabs>
          <w:tab w:val="left" w:pos="6369"/>
        </w:tabs>
        <w:rPr>
          <w:rFonts w:asciiTheme="minorHAnsi" w:hAnsiTheme="minorHAnsi" w:cstheme="minorHAnsi"/>
          <w:sz w:val="22"/>
          <w:szCs w:val="22"/>
        </w:rPr>
      </w:pPr>
      <w:r w:rsidRPr="004A46BD">
        <w:rPr>
          <w:rFonts w:asciiTheme="minorHAnsi" w:hAnsiTheme="minorHAnsi" w:cstheme="minorHAnsi"/>
          <w:color w:val="000000"/>
          <w:sz w:val="22"/>
          <w:szCs w:val="22"/>
        </w:rPr>
        <w:t>goobay Napájecí a nabíjecí adaptér 230V na USB-C PD (Fast charge) 20W, černá</w:t>
      </w:r>
      <w:r w:rsidRPr="004A46BD">
        <w:rPr>
          <w:rFonts w:asciiTheme="minorHAnsi" w:hAnsiTheme="minorHAnsi" w:cstheme="minorHAnsi"/>
          <w:color w:val="000000"/>
          <w:sz w:val="22"/>
          <w:szCs w:val="22"/>
        </w:rPr>
        <w:tab/>
        <w:t>1 ks</w:t>
      </w:r>
    </w:p>
    <w:p w14:paraId="34097DAB" w14:textId="77777777" w:rsidR="006B4CE3" w:rsidRPr="004A46BD" w:rsidRDefault="006B4CE3" w:rsidP="006B4CE3">
      <w:pPr>
        <w:pStyle w:val="Tableofcontents10"/>
        <w:tabs>
          <w:tab w:val="left" w:pos="6364"/>
        </w:tabs>
        <w:rPr>
          <w:rFonts w:asciiTheme="minorHAnsi" w:hAnsiTheme="minorHAnsi" w:cstheme="minorHAnsi"/>
          <w:sz w:val="22"/>
          <w:szCs w:val="22"/>
        </w:rPr>
      </w:pPr>
      <w:r w:rsidRPr="004A46BD">
        <w:rPr>
          <w:rFonts w:asciiTheme="minorHAnsi" w:hAnsiTheme="minorHAnsi" w:cstheme="minorHAnsi"/>
          <w:color w:val="000000"/>
          <w:sz w:val="22"/>
          <w:szCs w:val="22"/>
        </w:rPr>
        <w:t>USB-C kabel ( USB 3.2 generation 2x2, 5A, 20Gbit/s ) černý, 2m</w:t>
      </w:r>
      <w:r w:rsidRPr="004A46BD">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4A46BD">
        <w:rPr>
          <w:rFonts w:asciiTheme="minorHAnsi" w:hAnsiTheme="minorHAnsi" w:cstheme="minorHAnsi"/>
          <w:color w:val="000000"/>
          <w:sz w:val="22"/>
          <w:szCs w:val="22"/>
        </w:rPr>
        <w:t>1 ks</w:t>
      </w:r>
    </w:p>
    <w:p w14:paraId="6B26DE63" w14:textId="77777777" w:rsidR="006B4CE3" w:rsidRPr="004A46BD" w:rsidRDefault="006B4CE3" w:rsidP="006B4CE3">
      <w:pPr>
        <w:pStyle w:val="Tableofcontents10"/>
        <w:tabs>
          <w:tab w:val="left" w:pos="6369"/>
        </w:tabs>
        <w:rPr>
          <w:rFonts w:asciiTheme="minorHAnsi" w:hAnsiTheme="minorHAnsi" w:cstheme="minorHAnsi"/>
          <w:sz w:val="22"/>
          <w:szCs w:val="22"/>
        </w:rPr>
      </w:pPr>
      <w:r w:rsidRPr="004A46BD">
        <w:rPr>
          <w:rFonts w:asciiTheme="minorHAnsi" w:hAnsiTheme="minorHAnsi" w:cstheme="minorHAnsi"/>
          <w:color w:val="000000"/>
          <w:sz w:val="22"/>
          <w:szCs w:val="22"/>
        </w:rPr>
        <w:t>zakázkový stojánek 40st na řečnický pult strukturovaná černá</w:t>
      </w:r>
      <w:r w:rsidRPr="004A46BD">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4A46BD">
        <w:rPr>
          <w:rFonts w:asciiTheme="minorHAnsi" w:hAnsiTheme="minorHAnsi" w:cstheme="minorHAnsi"/>
          <w:color w:val="000000"/>
          <w:sz w:val="22"/>
          <w:szCs w:val="22"/>
        </w:rPr>
        <w:t>1 ks</w:t>
      </w:r>
    </w:p>
    <w:p w14:paraId="4D2E70ED" w14:textId="77777777" w:rsidR="006B4CE3" w:rsidRPr="004A46BD" w:rsidRDefault="006B4CE3" w:rsidP="006B4CE3">
      <w:pPr>
        <w:pStyle w:val="Bodytext10"/>
        <w:spacing w:after="0" w:line="240" w:lineRule="auto"/>
        <w:ind w:left="460" w:firstLine="0"/>
        <w:rPr>
          <w:rFonts w:asciiTheme="minorHAnsi" w:hAnsiTheme="minorHAnsi" w:cstheme="minorHAnsi"/>
          <w:sz w:val="22"/>
          <w:szCs w:val="22"/>
        </w:rPr>
      </w:pPr>
      <w:r w:rsidRPr="004A46BD">
        <w:rPr>
          <w:rFonts w:asciiTheme="minorHAnsi" w:hAnsiTheme="minorHAnsi" w:cstheme="minorHAnsi"/>
          <w:color w:val="000000"/>
          <w:sz w:val="22"/>
          <w:szCs w:val="22"/>
        </w:rPr>
        <w:t>přenosný displej HOR 10 45% NTSC Blue Light Shield kabel miniHDMI-HDMI, kabel USB-C černý stojánek Typ obrazovky: IPS LED Úhlopříčka: 15,6" (40cm) Rozlišení:</w:t>
      </w:r>
    </w:p>
    <w:p w14:paraId="09AF22C5" w14:textId="77777777" w:rsidR="006B4CE3" w:rsidRPr="004A46BD" w:rsidRDefault="006B4CE3" w:rsidP="006B4CE3">
      <w:pPr>
        <w:pStyle w:val="Bodytext10"/>
        <w:spacing w:after="0" w:line="240" w:lineRule="auto"/>
        <w:ind w:left="460" w:firstLine="0"/>
        <w:rPr>
          <w:rFonts w:asciiTheme="minorHAnsi" w:hAnsiTheme="minorHAnsi" w:cstheme="minorHAnsi"/>
          <w:sz w:val="22"/>
          <w:szCs w:val="22"/>
        </w:rPr>
      </w:pPr>
      <w:r w:rsidRPr="004A46BD">
        <w:rPr>
          <w:rFonts w:asciiTheme="minorHAnsi" w:hAnsiTheme="minorHAnsi" w:cstheme="minorHAnsi"/>
          <w:color w:val="000000"/>
          <w:sz w:val="22"/>
          <w:szCs w:val="22"/>
        </w:rPr>
        <w:t>Full HD (1920x1080) Obnovovací frekvence: 60Hz Jas: 250 nitu Pozorovací úhly (H/V): 170*7170° Audio: 2x 1W</w:t>
      </w:r>
    </w:p>
    <w:p w14:paraId="1ED59DE9" w14:textId="77777777" w:rsidR="006B4CE3" w:rsidRPr="004A46BD" w:rsidRDefault="006B4CE3" w:rsidP="006B4CE3">
      <w:pPr>
        <w:pStyle w:val="Bodytext10"/>
        <w:spacing w:after="0" w:line="240" w:lineRule="auto"/>
        <w:ind w:left="460" w:firstLine="0"/>
        <w:rPr>
          <w:rFonts w:asciiTheme="minorHAnsi" w:hAnsiTheme="minorHAnsi" w:cstheme="minorHAnsi"/>
          <w:sz w:val="22"/>
          <w:szCs w:val="22"/>
        </w:rPr>
      </w:pPr>
      <w:r w:rsidRPr="004A46BD">
        <w:rPr>
          <w:rFonts w:asciiTheme="minorHAnsi" w:hAnsiTheme="minorHAnsi" w:cstheme="minorHAnsi"/>
          <w:color w:val="000000"/>
          <w:sz w:val="22"/>
          <w:szCs w:val="22"/>
        </w:rPr>
        <w:t>Konektory: lx miniHDMI 2x USB-C (15W) lx audio výstup Montáž na zeď: VESA 75x75 Barva: černá Hmotnost: 0,69 kg Záruka: 2 roky</w:t>
      </w:r>
    </w:p>
    <w:p w14:paraId="0417ABEB" w14:textId="77777777" w:rsidR="006B4CE3" w:rsidRPr="004A46BD" w:rsidRDefault="006B4CE3" w:rsidP="006B4CE3">
      <w:pPr>
        <w:pStyle w:val="Bodytext30"/>
        <w:tabs>
          <w:tab w:val="left" w:pos="6898"/>
        </w:tabs>
        <w:spacing w:after="40" w:line="240" w:lineRule="auto"/>
        <w:rPr>
          <w:rFonts w:asciiTheme="minorHAnsi" w:hAnsiTheme="minorHAnsi" w:cstheme="minorHAnsi"/>
          <w:sz w:val="22"/>
          <w:szCs w:val="22"/>
        </w:rPr>
      </w:pPr>
      <w:r w:rsidRPr="004A46BD">
        <w:rPr>
          <w:rFonts w:asciiTheme="minorHAnsi" w:hAnsiTheme="minorHAnsi" w:cstheme="minorHAnsi"/>
          <w:b/>
          <w:bCs/>
          <w:color w:val="000000"/>
          <w:sz w:val="22"/>
          <w:szCs w:val="22"/>
        </w:rPr>
        <w:t>Kramer TP-580Rxr</w:t>
      </w:r>
      <w:r w:rsidRPr="004A46BD">
        <w:rPr>
          <w:rFonts w:asciiTheme="minorHAnsi" w:hAnsiTheme="minorHAnsi" w:cstheme="minorHAnsi"/>
          <w:b/>
          <w:bCs/>
          <w:color w:val="000000"/>
          <w:sz w:val="22"/>
          <w:szCs w:val="22"/>
        </w:rPr>
        <w:tab/>
        <w:t xml:space="preserve"> </w:t>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sidRPr="004A46BD">
        <w:rPr>
          <w:rFonts w:asciiTheme="minorHAnsi" w:hAnsiTheme="minorHAnsi" w:cstheme="minorHAnsi"/>
          <w:b/>
          <w:bCs/>
          <w:color w:val="000000"/>
          <w:sz w:val="22"/>
          <w:szCs w:val="22"/>
        </w:rPr>
        <w:t>4 ks</w:t>
      </w:r>
    </w:p>
    <w:p w14:paraId="1B2B19A9" w14:textId="77777777" w:rsidR="006B4CE3" w:rsidRPr="004A46BD" w:rsidRDefault="006B4CE3" w:rsidP="006B4CE3">
      <w:pPr>
        <w:pStyle w:val="Bodytext10"/>
        <w:spacing w:line="307" w:lineRule="auto"/>
        <w:ind w:left="440"/>
        <w:rPr>
          <w:rFonts w:asciiTheme="minorHAnsi" w:hAnsiTheme="minorHAnsi" w:cstheme="minorHAnsi"/>
          <w:sz w:val="22"/>
          <w:szCs w:val="22"/>
        </w:rPr>
      </w:pPr>
      <w:r w:rsidRPr="004A46BD">
        <w:rPr>
          <w:rFonts w:asciiTheme="minorHAnsi" w:hAnsiTheme="minorHAnsi" w:cstheme="minorHAnsi"/>
          <w:color w:val="000000"/>
          <w:sz w:val="22"/>
          <w:szCs w:val="22"/>
        </w:rPr>
        <w:t>Profesionální extender HDBaseT s prodlouženým dosahem. 4K60 4:2:0 HDMI HDCP 2.2 přijímač s RS-232 a IR přes HDBaseT s prodlouženým dosahem. HDMI HDCP 2.2. Podporuje Deep Color, xvColor, Lip Synchronization, nekomprimované audio kanály HDMI, Dolby TrueHD, DTS-HD, 2K, 4K a 3D dle specifikace v HDMI 2.0. Signály EDID a CEC procházejí ze zdroje do displeje. I-EDIDPro Kramer Intelligent EDID Processing — Inteligentní algoritmus pro manipulaci, zpracování a průchod EDID, který zajišťuje provoz typu Plug and Play pro zdroje HDMI a zobrazovací systémy. Rozšíření více kanálů audia - Až 32 kanálů digitálních stereofonních nekomprimovaných signálů pro podporu prostorového zvuku studiové kvality. Obousměrné rozšíření RS-232. Obousměrný přenos IR linky.</w:t>
      </w:r>
    </w:p>
    <w:p w14:paraId="5F842037" w14:textId="77777777" w:rsidR="006B4CE3" w:rsidRPr="004A46BD" w:rsidRDefault="006B4CE3" w:rsidP="006B4CE3">
      <w:pPr>
        <w:pStyle w:val="Bodytext30"/>
        <w:tabs>
          <w:tab w:val="left" w:pos="6902"/>
        </w:tabs>
        <w:spacing w:after="40" w:line="240" w:lineRule="auto"/>
        <w:rPr>
          <w:rFonts w:asciiTheme="minorHAnsi" w:hAnsiTheme="minorHAnsi" w:cstheme="minorHAnsi"/>
          <w:sz w:val="22"/>
          <w:szCs w:val="22"/>
        </w:rPr>
      </w:pPr>
      <w:r w:rsidRPr="004A46BD">
        <w:rPr>
          <w:rFonts w:asciiTheme="minorHAnsi" w:hAnsiTheme="minorHAnsi" w:cstheme="minorHAnsi"/>
          <w:b/>
          <w:bCs/>
          <w:color w:val="000000"/>
          <w:sz w:val="22"/>
          <w:szCs w:val="22"/>
        </w:rPr>
        <w:t>Kramer TP-580Txr</w:t>
      </w:r>
      <w:r w:rsidRPr="004A46BD">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sidRPr="004A46BD">
        <w:rPr>
          <w:rFonts w:asciiTheme="minorHAnsi" w:hAnsiTheme="minorHAnsi" w:cstheme="minorHAnsi"/>
          <w:b/>
          <w:bCs/>
          <w:color w:val="000000"/>
          <w:sz w:val="22"/>
          <w:szCs w:val="22"/>
        </w:rPr>
        <w:t xml:space="preserve"> 4 ks</w:t>
      </w:r>
    </w:p>
    <w:p w14:paraId="6AD4C42E" w14:textId="77777777" w:rsidR="006B4CE3" w:rsidRPr="004A46BD" w:rsidRDefault="006B4CE3" w:rsidP="006B4CE3">
      <w:pPr>
        <w:pStyle w:val="Bodytext10"/>
        <w:spacing w:after="0"/>
        <w:ind w:left="440"/>
        <w:rPr>
          <w:rFonts w:asciiTheme="minorHAnsi" w:hAnsiTheme="minorHAnsi" w:cstheme="minorHAnsi"/>
          <w:sz w:val="22"/>
          <w:szCs w:val="22"/>
        </w:rPr>
      </w:pPr>
      <w:r w:rsidRPr="004A46BD">
        <w:rPr>
          <w:rFonts w:asciiTheme="minorHAnsi" w:hAnsiTheme="minorHAnsi" w:cstheme="minorHAnsi"/>
          <w:color w:val="000000"/>
          <w:sz w:val="22"/>
          <w:szCs w:val="22"/>
        </w:rPr>
        <w:t>Profesionální extender HDBaseT s prodlouženým dosahem. 4K60 4:2:0 HDMI HDCP 2.2 vysílač s RS-232 a IR přes HDBaseT s prodlouženým dosahem. HDMI HDCP 2.2. Podporuje Deep Color, xvColor, Lip Synchronization, nekomprimované audio kanály HDMI, Dolby TrueHD, DTS-HD, 2K, 4K a 3D dle specifikace v HDMI 2.0. Signály EDID a CEC procházejí ze zdroje do displeje. I-EDIDPro Kramer Intelligent EDID Processing — Inteligentní algoritmus pro manipulaci, zpracování a průchod EDID, který zajišťuje provoz typu Plug and Play pro zdroje HDMI a zobrazovací systémy. Rozšíření více kanálů audia - Až 32 kanálů digitálních stereofonních nekomprimovaných signálů pro podporu prostorového zvuku studiové kvality. Obousměrné rozšíření RS-232. Obousměrný přenos IR linky.</w:t>
      </w:r>
    </w:p>
    <w:p w14:paraId="7F770F9E" w14:textId="77777777" w:rsidR="006B4CE3" w:rsidRPr="004A46BD" w:rsidRDefault="006B4CE3" w:rsidP="006B4CE3">
      <w:pPr>
        <w:pStyle w:val="Bodytext30"/>
        <w:tabs>
          <w:tab w:val="left" w:pos="6806"/>
        </w:tabs>
        <w:spacing w:after="40" w:line="240" w:lineRule="auto"/>
        <w:rPr>
          <w:rFonts w:asciiTheme="minorHAnsi" w:hAnsiTheme="minorHAnsi" w:cstheme="minorHAnsi"/>
          <w:sz w:val="22"/>
          <w:szCs w:val="22"/>
        </w:rPr>
      </w:pPr>
      <w:r w:rsidRPr="004A46BD">
        <w:rPr>
          <w:rFonts w:asciiTheme="minorHAnsi" w:hAnsiTheme="minorHAnsi" w:cstheme="minorHAnsi"/>
          <w:b/>
          <w:bCs/>
          <w:color w:val="000000"/>
          <w:sz w:val="22"/>
          <w:szCs w:val="22"/>
        </w:rPr>
        <w:t>Kramer VS-42H2</w:t>
      </w:r>
      <w:r w:rsidRPr="004A46BD">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sidRPr="004A46BD">
        <w:rPr>
          <w:rFonts w:asciiTheme="minorHAnsi" w:hAnsiTheme="minorHAnsi" w:cstheme="minorHAnsi"/>
          <w:b/>
          <w:bCs/>
          <w:color w:val="000000"/>
          <w:sz w:val="22"/>
          <w:szCs w:val="22"/>
        </w:rPr>
        <w:t>2 ks</w:t>
      </w:r>
    </w:p>
    <w:p w14:paraId="159F2ACB" w14:textId="77777777" w:rsidR="006B4CE3" w:rsidRPr="004A46BD" w:rsidRDefault="006B4CE3" w:rsidP="006B4CE3">
      <w:pPr>
        <w:pStyle w:val="Bodytext10"/>
        <w:spacing w:after="0"/>
        <w:ind w:left="440" w:firstLine="0"/>
        <w:rPr>
          <w:rFonts w:asciiTheme="minorHAnsi" w:hAnsiTheme="minorHAnsi" w:cstheme="minorHAnsi"/>
          <w:sz w:val="22"/>
          <w:szCs w:val="22"/>
        </w:rPr>
      </w:pPr>
      <w:r w:rsidRPr="004A46BD">
        <w:rPr>
          <w:rFonts w:asciiTheme="minorHAnsi" w:hAnsiTheme="minorHAnsi" w:cstheme="minorHAnsi"/>
          <w:color w:val="000000"/>
          <w:sz w:val="22"/>
          <w:szCs w:val="22"/>
        </w:rPr>
        <w:t xml:space="preserve">Vysoce výkonná AV matice - Přepíná 4 signály 4K@60Hz (4:4:4) HDR HDMI kompatibilní s HDCP na 2 výstupy 18G 4K@60Hz (4:4:4) HDR HDMI kompatibilní s HDCP s datovou rychlostí až 18G. Signály jsou kompatibilní s HDCP 2.2/1.4. Technologie Kramer Equalization 8. reKlocking - Obnovuje digitální signál pro přenos na delší vzdálenosti. Správa EDID — Individuální správa EDID pro každý vstup. Zaznamenává a ukládá EDID ze zobrazovacího zařízení. Flexibilní ochrana obsahu - Volitelné HDCP pro každý vstup. Rychlý přístup k běžným konfiguracím - až šest přednastavených konfigurací. Pohodlné ovládání a konfigurace jednotky - Lokální ovládání na </w:t>
      </w:r>
      <w:r w:rsidRPr="004A46BD">
        <w:rPr>
          <w:rFonts w:asciiTheme="minorHAnsi" w:hAnsiTheme="minorHAnsi" w:cstheme="minorHAnsi"/>
          <w:color w:val="000000"/>
          <w:sz w:val="22"/>
          <w:szCs w:val="22"/>
        </w:rPr>
        <w:lastRenderedPageBreak/>
        <w:t>předním panelu, Vzdálené ovládání pomocí uživatelsky přívětivých integrovaných webových stránek přes Ethernet, protokol API 3000 a sériové příkazy RS-232.</w:t>
      </w:r>
    </w:p>
    <w:tbl>
      <w:tblPr>
        <w:tblW w:w="9214" w:type="dxa"/>
        <w:tblLayout w:type="fixed"/>
        <w:tblCellMar>
          <w:left w:w="10" w:type="dxa"/>
          <w:right w:w="10" w:type="dxa"/>
        </w:tblCellMar>
        <w:tblLook w:val="04A0" w:firstRow="1" w:lastRow="0" w:firstColumn="1" w:lastColumn="0" w:noHBand="0" w:noVBand="1"/>
      </w:tblPr>
      <w:tblGrid>
        <w:gridCol w:w="7513"/>
        <w:gridCol w:w="1418"/>
        <w:gridCol w:w="283"/>
      </w:tblGrid>
      <w:tr w:rsidR="006B4CE3" w:rsidRPr="004A46BD" w14:paraId="265A9CD0" w14:textId="77777777" w:rsidTr="003A4DE9">
        <w:trPr>
          <w:trHeight w:hRule="exact" w:val="407"/>
        </w:trPr>
        <w:tc>
          <w:tcPr>
            <w:tcW w:w="7513" w:type="dxa"/>
            <w:shd w:val="clear" w:color="auto" w:fill="FFFFFF"/>
          </w:tcPr>
          <w:p w14:paraId="1639741B" w14:textId="77777777" w:rsidR="006B4CE3" w:rsidRPr="004A46BD" w:rsidRDefault="006B4CE3" w:rsidP="003A4DE9">
            <w:pPr>
              <w:pStyle w:val="Other10"/>
              <w:spacing w:after="0" w:line="240" w:lineRule="auto"/>
              <w:ind w:firstLine="0"/>
              <w:rPr>
                <w:rFonts w:asciiTheme="minorHAnsi" w:hAnsiTheme="minorHAnsi" w:cstheme="minorHAnsi"/>
                <w:sz w:val="22"/>
                <w:szCs w:val="22"/>
              </w:rPr>
            </w:pPr>
            <w:r w:rsidRPr="004A46BD">
              <w:rPr>
                <w:rFonts w:asciiTheme="minorHAnsi" w:hAnsiTheme="minorHAnsi" w:cstheme="minorHAnsi"/>
                <w:b/>
                <w:bCs/>
                <w:color w:val="000000"/>
                <w:sz w:val="22"/>
                <w:szCs w:val="22"/>
              </w:rPr>
              <w:t>Instalační materiál</w:t>
            </w:r>
          </w:p>
        </w:tc>
        <w:tc>
          <w:tcPr>
            <w:tcW w:w="1418" w:type="dxa"/>
            <w:shd w:val="clear" w:color="auto" w:fill="FFFFFF"/>
          </w:tcPr>
          <w:p w14:paraId="3527F8CA" w14:textId="77777777" w:rsidR="006B4CE3" w:rsidRPr="00422A95" w:rsidRDefault="006B4CE3" w:rsidP="003A4DE9">
            <w:pPr>
              <w:pStyle w:val="Other10"/>
              <w:spacing w:after="0" w:line="240" w:lineRule="auto"/>
              <w:ind w:firstLine="0"/>
              <w:jc w:val="right"/>
              <w:rPr>
                <w:rFonts w:asciiTheme="minorHAnsi" w:hAnsiTheme="minorHAnsi" w:cstheme="minorHAnsi"/>
                <w:sz w:val="24"/>
                <w:szCs w:val="24"/>
              </w:rPr>
            </w:pPr>
            <w:r w:rsidRPr="00422A95">
              <w:rPr>
                <w:rFonts w:asciiTheme="minorHAnsi" w:hAnsiTheme="minorHAnsi" w:cstheme="minorHAnsi"/>
                <w:sz w:val="24"/>
                <w:szCs w:val="24"/>
              </w:rPr>
              <w:t>2 ks</w:t>
            </w:r>
          </w:p>
        </w:tc>
        <w:tc>
          <w:tcPr>
            <w:tcW w:w="283" w:type="dxa"/>
            <w:shd w:val="clear" w:color="auto" w:fill="FFFFFF"/>
          </w:tcPr>
          <w:p w14:paraId="59803413" w14:textId="77777777" w:rsidR="006B4CE3" w:rsidRPr="004A46BD" w:rsidRDefault="006B4CE3" w:rsidP="003A4DE9">
            <w:pPr>
              <w:pStyle w:val="Other10"/>
              <w:spacing w:after="0" w:line="240" w:lineRule="auto"/>
              <w:ind w:firstLine="0"/>
              <w:jc w:val="right"/>
              <w:rPr>
                <w:rFonts w:asciiTheme="minorHAnsi" w:hAnsiTheme="minorHAnsi" w:cstheme="minorHAnsi"/>
                <w:sz w:val="22"/>
                <w:szCs w:val="22"/>
              </w:rPr>
            </w:pPr>
          </w:p>
        </w:tc>
      </w:tr>
      <w:tr w:rsidR="006B4CE3" w:rsidRPr="004A46BD" w14:paraId="0299B673" w14:textId="77777777" w:rsidTr="003A4DE9">
        <w:trPr>
          <w:trHeight w:hRule="exact" w:val="453"/>
        </w:trPr>
        <w:tc>
          <w:tcPr>
            <w:tcW w:w="7513" w:type="dxa"/>
            <w:shd w:val="clear" w:color="auto" w:fill="FFFFFF"/>
            <w:vAlign w:val="bottom"/>
          </w:tcPr>
          <w:p w14:paraId="7D3E9E37" w14:textId="77777777" w:rsidR="006B4CE3" w:rsidRPr="004A46BD" w:rsidRDefault="006B4CE3" w:rsidP="003A4DE9">
            <w:pPr>
              <w:pStyle w:val="Other10"/>
              <w:spacing w:after="0" w:line="240" w:lineRule="auto"/>
              <w:ind w:firstLine="460"/>
              <w:rPr>
                <w:rFonts w:asciiTheme="minorHAnsi" w:hAnsiTheme="minorHAnsi" w:cstheme="minorHAnsi"/>
                <w:sz w:val="22"/>
                <w:szCs w:val="22"/>
              </w:rPr>
            </w:pPr>
            <w:r w:rsidRPr="004A46BD">
              <w:rPr>
                <w:rFonts w:asciiTheme="minorHAnsi" w:hAnsiTheme="minorHAnsi" w:cstheme="minorHAnsi"/>
                <w:color w:val="000000"/>
                <w:sz w:val="22"/>
                <w:szCs w:val="22"/>
              </w:rPr>
              <w:t>Vivolink HDMI Cable F/F for wall plate</w:t>
            </w:r>
          </w:p>
        </w:tc>
        <w:tc>
          <w:tcPr>
            <w:tcW w:w="1418" w:type="dxa"/>
            <w:shd w:val="clear" w:color="auto" w:fill="FFFFFF"/>
            <w:vAlign w:val="bottom"/>
          </w:tcPr>
          <w:p w14:paraId="6648AF32" w14:textId="77777777" w:rsidR="006B4CE3" w:rsidRPr="00422A95" w:rsidRDefault="006B4CE3" w:rsidP="003A4DE9">
            <w:pPr>
              <w:pStyle w:val="Other10"/>
              <w:spacing w:after="0" w:line="240" w:lineRule="auto"/>
              <w:ind w:firstLine="660"/>
              <w:jc w:val="right"/>
              <w:rPr>
                <w:rFonts w:asciiTheme="minorHAnsi" w:hAnsiTheme="minorHAnsi" w:cstheme="minorHAnsi"/>
                <w:sz w:val="24"/>
                <w:szCs w:val="24"/>
              </w:rPr>
            </w:pPr>
            <w:r w:rsidRPr="00422A95">
              <w:rPr>
                <w:rFonts w:asciiTheme="minorHAnsi" w:hAnsiTheme="minorHAnsi" w:cstheme="minorHAnsi"/>
                <w:color w:val="000000"/>
                <w:sz w:val="24"/>
                <w:szCs w:val="24"/>
              </w:rPr>
              <w:t>1 ks</w:t>
            </w:r>
          </w:p>
        </w:tc>
        <w:tc>
          <w:tcPr>
            <w:tcW w:w="283" w:type="dxa"/>
            <w:shd w:val="clear" w:color="auto" w:fill="FFFFFF"/>
          </w:tcPr>
          <w:p w14:paraId="0D75FDE3" w14:textId="77777777" w:rsidR="006B4CE3" w:rsidRPr="004A46BD" w:rsidRDefault="006B4CE3" w:rsidP="003A4DE9">
            <w:pPr>
              <w:rPr>
                <w:rFonts w:asciiTheme="minorHAnsi" w:hAnsiTheme="minorHAnsi" w:cstheme="minorHAnsi"/>
                <w:sz w:val="22"/>
                <w:szCs w:val="22"/>
              </w:rPr>
            </w:pPr>
          </w:p>
        </w:tc>
      </w:tr>
      <w:tr w:rsidR="006B4CE3" w:rsidRPr="004A46BD" w14:paraId="2FE595A7" w14:textId="77777777" w:rsidTr="003A4DE9">
        <w:trPr>
          <w:trHeight w:hRule="exact" w:val="391"/>
        </w:trPr>
        <w:tc>
          <w:tcPr>
            <w:tcW w:w="7513" w:type="dxa"/>
            <w:shd w:val="clear" w:color="auto" w:fill="FFFFFF"/>
          </w:tcPr>
          <w:p w14:paraId="5DF90A1B" w14:textId="77777777" w:rsidR="006B4CE3" w:rsidRPr="004A46BD" w:rsidRDefault="006B4CE3" w:rsidP="003A4DE9">
            <w:pPr>
              <w:pStyle w:val="Other10"/>
              <w:spacing w:after="0" w:line="240" w:lineRule="auto"/>
              <w:ind w:firstLine="460"/>
              <w:rPr>
                <w:rFonts w:asciiTheme="minorHAnsi" w:hAnsiTheme="minorHAnsi" w:cstheme="minorHAnsi"/>
                <w:sz w:val="22"/>
                <w:szCs w:val="22"/>
              </w:rPr>
            </w:pPr>
            <w:r w:rsidRPr="004A46BD">
              <w:rPr>
                <w:rFonts w:asciiTheme="minorHAnsi" w:hAnsiTheme="minorHAnsi" w:cstheme="minorHAnsi"/>
                <w:color w:val="000000"/>
                <w:sz w:val="22"/>
                <w:szCs w:val="22"/>
              </w:rPr>
              <w:t>Vivolink 3.5MM - 2 X RCA M-M 2m</w:t>
            </w:r>
          </w:p>
        </w:tc>
        <w:tc>
          <w:tcPr>
            <w:tcW w:w="1418" w:type="dxa"/>
            <w:shd w:val="clear" w:color="auto" w:fill="FFFFFF"/>
          </w:tcPr>
          <w:p w14:paraId="36058DB8" w14:textId="77777777" w:rsidR="006B4CE3" w:rsidRPr="00422A95" w:rsidRDefault="006B4CE3" w:rsidP="003A4DE9">
            <w:pPr>
              <w:pStyle w:val="Other10"/>
              <w:spacing w:after="0" w:line="240" w:lineRule="auto"/>
              <w:ind w:firstLine="660"/>
              <w:jc w:val="right"/>
              <w:rPr>
                <w:rFonts w:asciiTheme="minorHAnsi" w:hAnsiTheme="minorHAnsi" w:cstheme="minorHAnsi"/>
                <w:sz w:val="24"/>
                <w:szCs w:val="24"/>
              </w:rPr>
            </w:pPr>
            <w:r w:rsidRPr="00422A95">
              <w:rPr>
                <w:rFonts w:asciiTheme="minorHAnsi" w:hAnsiTheme="minorHAnsi" w:cstheme="minorHAnsi"/>
                <w:color w:val="000000"/>
                <w:sz w:val="24"/>
                <w:szCs w:val="24"/>
              </w:rPr>
              <w:t>1 ks</w:t>
            </w:r>
          </w:p>
        </w:tc>
        <w:tc>
          <w:tcPr>
            <w:tcW w:w="283" w:type="dxa"/>
            <w:shd w:val="clear" w:color="auto" w:fill="FFFFFF"/>
          </w:tcPr>
          <w:p w14:paraId="0E1AA982" w14:textId="77777777" w:rsidR="006B4CE3" w:rsidRPr="004A46BD" w:rsidRDefault="006B4CE3" w:rsidP="003A4DE9">
            <w:pPr>
              <w:rPr>
                <w:rFonts w:asciiTheme="minorHAnsi" w:hAnsiTheme="minorHAnsi" w:cstheme="minorHAnsi"/>
                <w:sz w:val="22"/>
                <w:szCs w:val="22"/>
              </w:rPr>
            </w:pPr>
          </w:p>
        </w:tc>
      </w:tr>
      <w:tr w:rsidR="006B4CE3" w:rsidRPr="004A46BD" w14:paraId="7605303E" w14:textId="77777777" w:rsidTr="003A4DE9">
        <w:trPr>
          <w:trHeight w:hRule="exact" w:val="434"/>
        </w:trPr>
        <w:tc>
          <w:tcPr>
            <w:tcW w:w="7513" w:type="dxa"/>
            <w:shd w:val="clear" w:color="auto" w:fill="FFFFFF"/>
          </w:tcPr>
          <w:p w14:paraId="15AAEEB4" w14:textId="77777777" w:rsidR="006B4CE3" w:rsidRPr="004A46BD" w:rsidRDefault="006B4CE3" w:rsidP="003A4DE9">
            <w:pPr>
              <w:pStyle w:val="Other10"/>
              <w:spacing w:after="0" w:line="240" w:lineRule="auto"/>
              <w:ind w:firstLine="460"/>
              <w:rPr>
                <w:rFonts w:asciiTheme="minorHAnsi" w:hAnsiTheme="minorHAnsi" w:cstheme="minorHAnsi"/>
                <w:sz w:val="22"/>
                <w:szCs w:val="22"/>
              </w:rPr>
            </w:pPr>
            <w:r w:rsidRPr="004A46BD">
              <w:rPr>
                <w:rFonts w:asciiTheme="minorHAnsi" w:hAnsiTheme="minorHAnsi" w:cstheme="minorHAnsi"/>
                <w:color w:val="000000"/>
                <w:sz w:val="22"/>
                <w:szCs w:val="22"/>
              </w:rPr>
              <w:t>Audio Extractor 4K/60hZ, ARC, HDR, výstupy: stereo jack, SPDIF, RCA</w:t>
            </w:r>
          </w:p>
        </w:tc>
        <w:tc>
          <w:tcPr>
            <w:tcW w:w="1418" w:type="dxa"/>
            <w:shd w:val="clear" w:color="auto" w:fill="FFFFFF"/>
          </w:tcPr>
          <w:p w14:paraId="59942A5C" w14:textId="77777777" w:rsidR="006B4CE3" w:rsidRPr="00422A95" w:rsidRDefault="006B4CE3" w:rsidP="003A4DE9">
            <w:pPr>
              <w:pStyle w:val="Other10"/>
              <w:spacing w:after="0" w:line="240" w:lineRule="auto"/>
              <w:ind w:firstLine="660"/>
              <w:jc w:val="right"/>
              <w:rPr>
                <w:rFonts w:asciiTheme="minorHAnsi" w:hAnsiTheme="minorHAnsi" w:cstheme="minorHAnsi"/>
                <w:sz w:val="24"/>
                <w:szCs w:val="24"/>
              </w:rPr>
            </w:pPr>
            <w:r w:rsidRPr="00422A95">
              <w:rPr>
                <w:rFonts w:asciiTheme="minorHAnsi" w:hAnsiTheme="minorHAnsi" w:cstheme="minorHAnsi"/>
                <w:color w:val="000000"/>
                <w:sz w:val="24"/>
                <w:szCs w:val="24"/>
              </w:rPr>
              <w:t>1 ks</w:t>
            </w:r>
          </w:p>
        </w:tc>
        <w:tc>
          <w:tcPr>
            <w:tcW w:w="283" w:type="dxa"/>
            <w:shd w:val="clear" w:color="auto" w:fill="FFFFFF"/>
          </w:tcPr>
          <w:p w14:paraId="2429E364" w14:textId="77777777" w:rsidR="006B4CE3" w:rsidRPr="004A46BD" w:rsidRDefault="006B4CE3" w:rsidP="003A4DE9">
            <w:pPr>
              <w:rPr>
                <w:rFonts w:asciiTheme="minorHAnsi" w:hAnsiTheme="minorHAnsi" w:cstheme="minorHAnsi"/>
                <w:sz w:val="22"/>
                <w:szCs w:val="22"/>
              </w:rPr>
            </w:pPr>
          </w:p>
        </w:tc>
      </w:tr>
      <w:tr w:rsidR="006B4CE3" w:rsidRPr="004A46BD" w14:paraId="610FDF5F" w14:textId="77777777" w:rsidTr="003A4DE9">
        <w:trPr>
          <w:trHeight w:hRule="exact" w:val="417"/>
        </w:trPr>
        <w:tc>
          <w:tcPr>
            <w:tcW w:w="7513" w:type="dxa"/>
            <w:shd w:val="clear" w:color="auto" w:fill="FFFFFF"/>
          </w:tcPr>
          <w:p w14:paraId="4018AE37" w14:textId="77777777" w:rsidR="006B4CE3" w:rsidRPr="004A46BD" w:rsidRDefault="006B4CE3" w:rsidP="003A4DE9">
            <w:pPr>
              <w:pStyle w:val="Other10"/>
              <w:spacing w:after="0" w:line="240" w:lineRule="auto"/>
              <w:ind w:firstLine="460"/>
              <w:rPr>
                <w:rFonts w:asciiTheme="minorHAnsi" w:hAnsiTheme="minorHAnsi" w:cstheme="minorHAnsi"/>
                <w:sz w:val="22"/>
                <w:szCs w:val="22"/>
              </w:rPr>
            </w:pPr>
            <w:r w:rsidRPr="004A46BD">
              <w:rPr>
                <w:rFonts w:asciiTheme="minorHAnsi" w:hAnsiTheme="minorHAnsi" w:cstheme="minorHAnsi"/>
                <w:color w:val="000000"/>
                <w:sz w:val="22"/>
                <w:szCs w:val="22"/>
              </w:rPr>
              <w:t>4K HDMI propojovací kabeláž - výměna</w:t>
            </w:r>
          </w:p>
        </w:tc>
        <w:tc>
          <w:tcPr>
            <w:tcW w:w="1418" w:type="dxa"/>
            <w:shd w:val="clear" w:color="auto" w:fill="FFFFFF"/>
          </w:tcPr>
          <w:p w14:paraId="0DE038D8" w14:textId="77777777" w:rsidR="006B4CE3" w:rsidRPr="00422A95" w:rsidRDefault="006B4CE3" w:rsidP="003A4DE9">
            <w:pPr>
              <w:pStyle w:val="Other10"/>
              <w:spacing w:after="0" w:line="240" w:lineRule="auto"/>
              <w:ind w:firstLine="660"/>
              <w:jc w:val="right"/>
              <w:rPr>
                <w:rFonts w:asciiTheme="minorHAnsi" w:hAnsiTheme="minorHAnsi" w:cstheme="minorHAnsi"/>
                <w:sz w:val="24"/>
                <w:szCs w:val="24"/>
              </w:rPr>
            </w:pPr>
            <w:r w:rsidRPr="00422A95">
              <w:rPr>
                <w:rFonts w:asciiTheme="minorHAnsi" w:hAnsiTheme="minorHAnsi" w:cstheme="minorHAnsi"/>
                <w:color w:val="000000"/>
                <w:sz w:val="24"/>
                <w:szCs w:val="24"/>
              </w:rPr>
              <w:t>1 ks</w:t>
            </w:r>
          </w:p>
        </w:tc>
        <w:tc>
          <w:tcPr>
            <w:tcW w:w="283" w:type="dxa"/>
            <w:shd w:val="clear" w:color="auto" w:fill="FFFFFF"/>
          </w:tcPr>
          <w:p w14:paraId="6DF1672B" w14:textId="77777777" w:rsidR="006B4CE3" w:rsidRPr="004A46BD" w:rsidRDefault="006B4CE3" w:rsidP="003A4DE9">
            <w:pPr>
              <w:rPr>
                <w:rFonts w:asciiTheme="minorHAnsi" w:hAnsiTheme="minorHAnsi" w:cstheme="minorHAnsi"/>
                <w:sz w:val="22"/>
                <w:szCs w:val="22"/>
              </w:rPr>
            </w:pPr>
          </w:p>
        </w:tc>
      </w:tr>
      <w:tr w:rsidR="006B4CE3" w:rsidRPr="004A46BD" w14:paraId="70A966B5" w14:textId="77777777" w:rsidTr="003A4DE9">
        <w:trPr>
          <w:trHeight w:hRule="exact" w:val="423"/>
        </w:trPr>
        <w:tc>
          <w:tcPr>
            <w:tcW w:w="7513" w:type="dxa"/>
            <w:shd w:val="clear" w:color="auto" w:fill="FFFFFF"/>
          </w:tcPr>
          <w:p w14:paraId="38F91801" w14:textId="77777777" w:rsidR="006B4CE3" w:rsidRPr="004A46BD" w:rsidRDefault="006B4CE3" w:rsidP="003A4DE9">
            <w:pPr>
              <w:pStyle w:val="Other10"/>
              <w:spacing w:after="0" w:line="240" w:lineRule="auto"/>
              <w:ind w:firstLine="460"/>
              <w:rPr>
                <w:rFonts w:asciiTheme="minorHAnsi" w:hAnsiTheme="minorHAnsi" w:cstheme="minorHAnsi"/>
                <w:sz w:val="22"/>
                <w:szCs w:val="22"/>
              </w:rPr>
            </w:pPr>
            <w:r w:rsidRPr="004A46BD">
              <w:rPr>
                <w:rFonts w:asciiTheme="minorHAnsi" w:hAnsiTheme="minorHAnsi" w:cstheme="minorHAnsi"/>
                <w:color w:val="000000"/>
                <w:sz w:val="22"/>
                <w:szCs w:val="22"/>
              </w:rPr>
              <w:t>datové kabely CAT6A, koncovky CAT6A</w:t>
            </w:r>
          </w:p>
        </w:tc>
        <w:tc>
          <w:tcPr>
            <w:tcW w:w="1418" w:type="dxa"/>
            <w:shd w:val="clear" w:color="auto" w:fill="FFFFFF"/>
          </w:tcPr>
          <w:p w14:paraId="471AA5B2" w14:textId="77777777" w:rsidR="006B4CE3" w:rsidRPr="00422A95" w:rsidRDefault="006B4CE3" w:rsidP="003A4DE9">
            <w:pPr>
              <w:pStyle w:val="Other10"/>
              <w:spacing w:after="0" w:line="240" w:lineRule="auto"/>
              <w:ind w:firstLine="660"/>
              <w:jc w:val="right"/>
              <w:rPr>
                <w:rFonts w:asciiTheme="minorHAnsi" w:hAnsiTheme="minorHAnsi" w:cstheme="minorHAnsi"/>
                <w:sz w:val="24"/>
                <w:szCs w:val="24"/>
              </w:rPr>
            </w:pPr>
            <w:r w:rsidRPr="00422A95">
              <w:rPr>
                <w:rFonts w:asciiTheme="minorHAnsi" w:hAnsiTheme="minorHAnsi" w:cstheme="minorHAnsi"/>
                <w:color w:val="000000"/>
                <w:sz w:val="24"/>
                <w:szCs w:val="24"/>
              </w:rPr>
              <w:t>1 ks</w:t>
            </w:r>
          </w:p>
        </w:tc>
        <w:tc>
          <w:tcPr>
            <w:tcW w:w="283" w:type="dxa"/>
            <w:shd w:val="clear" w:color="auto" w:fill="FFFFFF"/>
          </w:tcPr>
          <w:p w14:paraId="64537481" w14:textId="77777777" w:rsidR="006B4CE3" w:rsidRPr="004A46BD" w:rsidRDefault="006B4CE3" w:rsidP="003A4DE9">
            <w:pPr>
              <w:rPr>
                <w:rFonts w:asciiTheme="minorHAnsi" w:hAnsiTheme="minorHAnsi" w:cstheme="minorHAnsi"/>
                <w:sz w:val="22"/>
                <w:szCs w:val="22"/>
              </w:rPr>
            </w:pPr>
          </w:p>
        </w:tc>
      </w:tr>
      <w:tr w:rsidR="006B4CE3" w:rsidRPr="004A46BD" w14:paraId="235E4911" w14:textId="77777777" w:rsidTr="003A4DE9">
        <w:trPr>
          <w:trHeight w:hRule="exact" w:val="435"/>
        </w:trPr>
        <w:tc>
          <w:tcPr>
            <w:tcW w:w="7513" w:type="dxa"/>
            <w:shd w:val="clear" w:color="auto" w:fill="FFFFFF"/>
          </w:tcPr>
          <w:p w14:paraId="2DD61289" w14:textId="77777777" w:rsidR="006B4CE3" w:rsidRPr="004A46BD" w:rsidRDefault="006B4CE3" w:rsidP="003A4DE9">
            <w:pPr>
              <w:pStyle w:val="Other10"/>
              <w:spacing w:after="0" w:line="240" w:lineRule="auto"/>
              <w:ind w:firstLine="460"/>
              <w:rPr>
                <w:rFonts w:asciiTheme="minorHAnsi" w:hAnsiTheme="minorHAnsi" w:cstheme="minorHAnsi"/>
                <w:sz w:val="22"/>
                <w:szCs w:val="22"/>
              </w:rPr>
            </w:pPr>
            <w:r w:rsidRPr="004A46BD">
              <w:rPr>
                <w:rFonts w:asciiTheme="minorHAnsi" w:hAnsiTheme="minorHAnsi" w:cstheme="minorHAnsi"/>
                <w:color w:val="000000"/>
                <w:sz w:val="22"/>
                <w:szCs w:val="22"/>
              </w:rPr>
              <w:t>Gembird PDU 8 zásuvek, ÍU, 16 A, 3m</w:t>
            </w:r>
          </w:p>
        </w:tc>
        <w:tc>
          <w:tcPr>
            <w:tcW w:w="1418" w:type="dxa"/>
            <w:shd w:val="clear" w:color="auto" w:fill="FFFFFF"/>
          </w:tcPr>
          <w:p w14:paraId="0891D116" w14:textId="77777777" w:rsidR="006B4CE3" w:rsidRPr="00422A95" w:rsidRDefault="006B4CE3" w:rsidP="003A4DE9">
            <w:pPr>
              <w:pStyle w:val="Other10"/>
              <w:spacing w:after="0" w:line="240" w:lineRule="auto"/>
              <w:ind w:firstLine="660"/>
              <w:jc w:val="right"/>
              <w:rPr>
                <w:rFonts w:asciiTheme="minorHAnsi" w:hAnsiTheme="minorHAnsi" w:cstheme="minorHAnsi"/>
                <w:sz w:val="24"/>
                <w:szCs w:val="24"/>
              </w:rPr>
            </w:pPr>
            <w:r w:rsidRPr="00422A95">
              <w:rPr>
                <w:rFonts w:asciiTheme="minorHAnsi" w:hAnsiTheme="minorHAnsi" w:cstheme="minorHAnsi"/>
                <w:color w:val="000000"/>
                <w:sz w:val="24"/>
                <w:szCs w:val="24"/>
              </w:rPr>
              <w:t>1 ks</w:t>
            </w:r>
          </w:p>
        </w:tc>
        <w:tc>
          <w:tcPr>
            <w:tcW w:w="283" w:type="dxa"/>
            <w:shd w:val="clear" w:color="auto" w:fill="FFFFFF"/>
          </w:tcPr>
          <w:p w14:paraId="5D0EFF20" w14:textId="77777777" w:rsidR="006B4CE3" w:rsidRPr="004A46BD" w:rsidRDefault="006B4CE3" w:rsidP="003A4DE9">
            <w:pPr>
              <w:rPr>
                <w:rFonts w:asciiTheme="minorHAnsi" w:hAnsiTheme="minorHAnsi" w:cstheme="minorHAnsi"/>
                <w:sz w:val="22"/>
                <w:szCs w:val="22"/>
              </w:rPr>
            </w:pPr>
          </w:p>
        </w:tc>
      </w:tr>
      <w:tr w:rsidR="006B4CE3" w:rsidRPr="004A46BD" w14:paraId="16DEF3AD" w14:textId="77777777" w:rsidTr="003A4DE9">
        <w:trPr>
          <w:trHeight w:hRule="exact" w:val="421"/>
        </w:trPr>
        <w:tc>
          <w:tcPr>
            <w:tcW w:w="7513" w:type="dxa"/>
            <w:shd w:val="clear" w:color="auto" w:fill="FFFFFF"/>
          </w:tcPr>
          <w:p w14:paraId="7325CDDD" w14:textId="77777777" w:rsidR="006B4CE3" w:rsidRPr="004A46BD" w:rsidRDefault="006B4CE3" w:rsidP="003A4DE9">
            <w:pPr>
              <w:pStyle w:val="Other10"/>
              <w:spacing w:after="0" w:line="240" w:lineRule="auto"/>
              <w:ind w:firstLine="460"/>
              <w:rPr>
                <w:rFonts w:asciiTheme="minorHAnsi" w:hAnsiTheme="minorHAnsi" w:cstheme="minorHAnsi"/>
                <w:sz w:val="22"/>
                <w:szCs w:val="22"/>
              </w:rPr>
            </w:pPr>
            <w:r w:rsidRPr="004A46BD">
              <w:rPr>
                <w:rFonts w:asciiTheme="minorHAnsi" w:hAnsiTheme="minorHAnsi" w:cstheme="minorHAnsi"/>
                <w:color w:val="000000"/>
                <w:sz w:val="22"/>
                <w:szCs w:val="22"/>
              </w:rPr>
              <w:t>úprava a doplnění řečnického pultu</w:t>
            </w:r>
          </w:p>
        </w:tc>
        <w:tc>
          <w:tcPr>
            <w:tcW w:w="1418" w:type="dxa"/>
            <w:shd w:val="clear" w:color="auto" w:fill="FFFFFF"/>
          </w:tcPr>
          <w:p w14:paraId="0C579C70" w14:textId="77777777" w:rsidR="006B4CE3" w:rsidRPr="00422A95" w:rsidRDefault="006B4CE3" w:rsidP="003A4DE9">
            <w:pPr>
              <w:pStyle w:val="Other10"/>
              <w:spacing w:after="0" w:line="240" w:lineRule="auto"/>
              <w:ind w:firstLine="660"/>
              <w:jc w:val="right"/>
              <w:rPr>
                <w:rFonts w:asciiTheme="minorHAnsi" w:hAnsiTheme="minorHAnsi" w:cstheme="minorHAnsi"/>
                <w:sz w:val="24"/>
                <w:szCs w:val="24"/>
              </w:rPr>
            </w:pPr>
            <w:r w:rsidRPr="00422A95">
              <w:rPr>
                <w:rFonts w:asciiTheme="minorHAnsi" w:hAnsiTheme="minorHAnsi" w:cstheme="minorHAnsi"/>
                <w:color w:val="000000"/>
                <w:sz w:val="24"/>
                <w:szCs w:val="24"/>
              </w:rPr>
              <w:t>1 ks</w:t>
            </w:r>
          </w:p>
        </w:tc>
        <w:tc>
          <w:tcPr>
            <w:tcW w:w="283" w:type="dxa"/>
            <w:shd w:val="clear" w:color="auto" w:fill="FFFFFF"/>
          </w:tcPr>
          <w:p w14:paraId="18191FA0" w14:textId="77777777" w:rsidR="006B4CE3" w:rsidRPr="004A46BD" w:rsidRDefault="006B4CE3" w:rsidP="003A4DE9">
            <w:pPr>
              <w:rPr>
                <w:rFonts w:asciiTheme="minorHAnsi" w:hAnsiTheme="minorHAnsi" w:cstheme="minorHAnsi"/>
                <w:sz w:val="22"/>
                <w:szCs w:val="22"/>
              </w:rPr>
            </w:pPr>
          </w:p>
        </w:tc>
      </w:tr>
      <w:tr w:rsidR="006B4CE3" w:rsidRPr="004A46BD" w14:paraId="5F27478E" w14:textId="77777777" w:rsidTr="003A4DE9">
        <w:trPr>
          <w:trHeight w:hRule="exact" w:val="417"/>
        </w:trPr>
        <w:tc>
          <w:tcPr>
            <w:tcW w:w="7513" w:type="dxa"/>
            <w:shd w:val="clear" w:color="auto" w:fill="FFFFFF"/>
          </w:tcPr>
          <w:p w14:paraId="0236F052" w14:textId="77777777" w:rsidR="006B4CE3" w:rsidRPr="004A46BD" w:rsidRDefault="006B4CE3" w:rsidP="003A4DE9">
            <w:pPr>
              <w:pStyle w:val="Other10"/>
              <w:spacing w:after="0" w:line="240" w:lineRule="auto"/>
              <w:ind w:firstLine="460"/>
              <w:rPr>
                <w:rFonts w:asciiTheme="minorHAnsi" w:hAnsiTheme="minorHAnsi" w:cstheme="minorHAnsi"/>
                <w:sz w:val="22"/>
                <w:szCs w:val="22"/>
              </w:rPr>
            </w:pPr>
            <w:r w:rsidRPr="004A46BD">
              <w:rPr>
                <w:rFonts w:asciiTheme="minorHAnsi" w:hAnsiTheme="minorHAnsi" w:cstheme="minorHAnsi"/>
                <w:color w:val="000000"/>
                <w:sz w:val="22"/>
                <w:szCs w:val="22"/>
              </w:rPr>
              <w:t>instalační, propojovací a kotvicí materiál</w:t>
            </w:r>
          </w:p>
        </w:tc>
        <w:tc>
          <w:tcPr>
            <w:tcW w:w="1418" w:type="dxa"/>
            <w:shd w:val="clear" w:color="auto" w:fill="FFFFFF"/>
          </w:tcPr>
          <w:p w14:paraId="10AE1D4F" w14:textId="77777777" w:rsidR="006B4CE3" w:rsidRPr="00422A95" w:rsidRDefault="006B4CE3" w:rsidP="003A4DE9">
            <w:pPr>
              <w:pStyle w:val="Other10"/>
              <w:spacing w:after="0" w:line="240" w:lineRule="auto"/>
              <w:ind w:firstLine="660"/>
              <w:jc w:val="right"/>
              <w:rPr>
                <w:rFonts w:asciiTheme="minorHAnsi" w:hAnsiTheme="minorHAnsi" w:cstheme="minorHAnsi"/>
                <w:sz w:val="24"/>
                <w:szCs w:val="24"/>
              </w:rPr>
            </w:pPr>
            <w:r w:rsidRPr="00422A95">
              <w:rPr>
                <w:rFonts w:asciiTheme="minorHAnsi" w:hAnsiTheme="minorHAnsi" w:cstheme="minorHAnsi"/>
                <w:color w:val="000000"/>
                <w:sz w:val="24"/>
                <w:szCs w:val="24"/>
              </w:rPr>
              <w:t>1 ks</w:t>
            </w:r>
          </w:p>
        </w:tc>
        <w:tc>
          <w:tcPr>
            <w:tcW w:w="283" w:type="dxa"/>
            <w:shd w:val="clear" w:color="auto" w:fill="FFFFFF"/>
          </w:tcPr>
          <w:p w14:paraId="02A716EE" w14:textId="77777777" w:rsidR="006B4CE3" w:rsidRPr="004A46BD" w:rsidRDefault="006B4CE3" w:rsidP="003A4DE9">
            <w:pPr>
              <w:rPr>
                <w:rFonts w:asciiTheme="minorHAnsi" w:hAnsiTheme="minorHAnsi" w:cstheme="minorHAnsi"/>
                <w:sz w:val="22"/>
                <w:szCs w:val="22"/>
              </w:rPr>
            </w:pPr>
          </w:p>
        </w:tc>
      </w:tr>
      <w:tr w:rsidR="006B4CE3" w:rsidRPr="004A46BD" w14:paraId="5305362D" w14:textId="77777777" w:rsidTr="003A4DE9">
        <w:trPr>
          <w:trHeight w:hRule="exact" w:val="527"/>
        </w:trPr>
        <w:tc>
          <w:tcPr>
            <w:tcW w:w="7513" w:type="dxa"/>
            <w:shd w:val="clear" w:color="auto" w:fill="FFFFFF"/>
          </w:tcPr>
          <w:p w14:paraId="00F0FB0B" w14:textId="77777777" w:rsidR="006B4CE3" w:rsidRPr="004A46BD" w:rsidRDefault="006B4CE3" w:rsidP="003A4DE9">
            <w:pPr>
              <w:pStyle w:val="Other10"/>
              <w:spacing w:after="0" w:line="240" w:lineRule="auto"/>
              <w:ind w:firstLine="0"/>
              <w:rPr>
                <w:rFonts w:asciiTheme="minorHAnsi" w:hAnsiTheme="minorHAnsi" w:cstheme="minorHAnsi"/>
                <w:sz w:val="22"/>
                <w:szCs w:val="22"/>
              </w:rPr>
            </w:pPr>
            <w:r w:rsidRPr="004A46BD">
              <w:rPr>
                <w:rFonts w:asciiTheme="minorHAnsi" w:hAnsiTheme="minorHAnsi" w:cstheme="minorHAnsi"/>
                <w:b/>
                <w:bCs/>
                <w:color w:val="000000"/>
                <w:sz w:val="22"/>
                <w:szCs w:val="22"/>
              </w:rPr>
              <w:t>programování, grafický obsah</w:t>
            </w:r>
          </w:p>
        </w:tc>
        <w:tc>
          <w:tcPr>
            <w:tcW w:w="1418" w:type="dxa"/>
            <w:shd w:val="clear" w:color="auto" w:fill="FFFFFF"/>
          </w:tcPr>
          <w:p w14:paraId="37DB810E" w14:textId="77777777" w:rsidR="006B4CE3" w:rsidRPr="00422A95" w:rsidRDefault="006B4CE3" w:rsidP="003A4DE9">
            <w:pPr>
              <w:jc w:val="right"/>
              <w:rPr>
                <w:rFonts w:asciiTheme="minorHAnsi" w:hAnsiTheme="minorHAnsi" w:cstheme="minorHAnsi"/>
              </w:rPr>
            </w:pPr>
            <w:r w:rsidRPr="00422A95">
              <w:rPr>
                <w:rFonts w:asciiTheme="minorHAnsi" w:hAnsiTheme="minorHAnsi" w:cstheme="minorHAnsi"/>
              </w:rPr>
              <w:t>2 ks</w:t>
            </w:r>
          </w:p>
          <w:p w14:paraId="7AF2C86E" w14:textId="77777777" w:rsidR="006B4CE3" w:rsidRPr="00422A95" w:rsidRDefault="006B4CE3" w:rsidP="003A4DE9">
            <w:pPr>
              <w:jc w:val="right"/>
              <w:rPr>
                <w:rFonts w:asciiTheme="minorHAnsi" w:hAnsiTheme="minorHAnsi" w:cstheme="minorHAnsi"/>
              </w:rPr>
            </w:pPr>
          </w:p>
        </w:tc>
        <w:tc>
          <w:tcPr>
            <w:tcW w:w="283" w:type="dxa"/>
            <w:shd w:val="clear" w:color="auto" w:fill="FFFFFF"/>
          </w:tcPr>
          <w:p w14:paraId="4F00212A" w14:textId="77777777" w:rsidR="006B4CE3" w:rsidRPr="004A46BD" w:rsidRDefault="006B4CE3" w:rsidP="003A4DE9">
            <w:pPr>
              <w:pStyle w:val="Other10"/>
              <w:spacing w:after="0" w:line="240" w:lineRule="auto"/>
              <w:ind w:firstLine="320"/>
              <w:rPr>
                <w:rFonts w:asciiTheme="minorHAnsi" w:hAnsiTheme="minorHAnsi" w:cstheme="minorHAnsi"/>
                <w:sz w:val="22"/>
                <w:szCs w:val="22"/>
              </w:rPr>
            </w:pPr>
          </w:p>
        </w:tc>
      </w:tr>
      <w:tr w:rsidR="006B4CE3" w:rsidRPr="004A46BD" w14:paraId="103EAB01" w14:textId="77777777" w:rsidTr="003A4DE9">
        <w:trPr>
          <w:trHeight w:hRule="exact" w:val="429"/>
        </w:trPr>
        <w:tc>
          <w:tcPr>
            <w:tcW w:w="7513" w:type="dxa"/>
            <w:shd w:val="clear" w:color="auto" w:fill="FFFFFF"/>
          </w:tcPr>
          <w:p w14:paraId="09FC4819" w14:textId="77777777" w:rsidR="006B4CE3" w:rsidRPr="004A46BD" w:rsidRDefault="006B4CE3" w:rsidP="003A4DE9">
            <w:pPr>
              <w:pStyle w:val="Other10"/>
              <w:spacing w:after="0" w:line="240" w:lineRule="auto"/>
              <w:ind w:firstLine="0"/>
              <w:rPr>
                <w:rFonts w:asciiTheme="minorHAnsi" w:hAnsiTheme="minorHAnsi" w:cstheme="minorHAnsi"/>
                <w:sz w:val="22"/>
                <w:szCs w:val="22"/>
              </w:rPr>
            </w:pPr>
            <w:r w:rsidRPr="004A46BD">
              <w:rPr>
                <w:rFonts w:asciiTheme="minorHAnsi" w:hAnsiTheme="minorHAnsi" w:cstheme="minorHAnsi"/>
                <w:b/>
                <w:bCs/>
                <w:color w:val="000000"/>
                <w:sz w:val="22"/>
                <w:szCs w:val="22"/>
              </w:rPr>
              <w:t>instalace, zprovoznění</w:t>
            </w:r>
          </w:p>
        </w:tc>
        <w:tc>
          <w:tcPr>
            <w:tcW w:w="1418" w:type="dxa"/>
            <w:shd w:val="clear" w:color="auto" w:fill="FFFFFF"/>
          </w:tcPr>
          <w:p w14:paraId="2E66A234" w14:textId="77777777" w:rsidR="006B4CE3" w:rsidRPr="00422A95" w:rsidRDefault="006B4CE3" w:rsidP="003A4DE9">
            <w:pPr>
              <w:pStyle w:val="Other10"/>
              <w:spacing w:after="0" w:line="240" w:lineRule="auto"/>
              <w:ind w:firstLine="0"/>
              <w:jc w:val="right"/>
              <w:rPr>
                <w:rFonts w:asciiTheme="minorHAnsi" w:hAnsiTheme="minorHAnsi" w:cstheme="minorHAnsi"/>
                <w:sz w:val="24"/>
                <w:szCs w:val="24"/>
              </w:rPr>
            </w:pPr>
            <w:r w:rsidRPr="00422A95">
              <w:rPr>
                <w:rFonts w:asciiTheme="minorHAnsi" w:hAnsiTheme="minorHAnsi" w:cstheme="minorHAnsi"/>
                <w:color w:val="000000"/>
                <w:sz w:val="24"/>
                <w:szCs w:val="24"/>
              </w:rPr>
              <w:t>4,8 MD</w:t>
            </w:r>
          </w:p>
        </w:tc>
        <w:tc>
          <w:tcPr>
            <w:tcW w:w="283" w:type="dxa"/>
            <w:shd w:val="clear" w:color="auto" w:fill="FFFFFF"/>
          </w:tcPr>
          <w:p w14:paraId="3269646E" w14:textId="77777777" w:rsidR="006B4CE3" w:rsidRPr="004A46BD" w:rsidRDefault="006B4CE3" w:rsidP="003A4DE9">
            <w:pPr>
              <w:pStyle w:val="Other10"/>
              <w:spacing w:after="0" w:line="240" w:lineRule="auto"/>
              <w:ind w:firstLine="0"/>
              <w:jc w:val="right"/>
              <w:rPr>
                <w:rFonts w:asciiTheme="minorHAnsi" w:hAnsiTheme="minorHAnsi" w:cstheme="minorHAnsi"/>
                <w:sz w:val="22"/>
                <w:szCs w:val="22"/>
              </w:rPr>
            </w:pPr>
          </w:p>
        </w:tc>
      </w:tr>
      <w:tr w:rsidR="006B4CE3" w:rsidRPr="004A46BD" w14:paraId="68CBE24A" w14:textId="77777777" w:rsidTr="003A4DE9">
        <w:trPr>
          <w:trHeight w:hRule="exact" w:val="413"/>
        </w:trPr>
        <w:tc>
          <w:tcPr>
            <w:tcW w:w="7513" w:type="dxa"/>
            <w:tcBorders>
              <w:bottom w:val="single" w:sz="4" w:space="0" w:color="auto"/>
            </w:tcBorders>
            <w:shd w:val="clear" w:color="auto" w:fill="FFFFFF"/>
          </w:tcPr>
          <w:p w14:paraId="4F32ED13" w14:textId="77777777" w:rsidR="006B4CE3" w:rsidRPr="004A46BD" w:rsidRDefault="006B4CE3" w:rsidP="003A4DE9">
            <w:pPr>
              <w:pStyle w:val="Other10"/>
              <w:spacing w:after="0" w:line="240" w:lineRule="auto"/>
              <w:ind w:firstLine="0"/>
              <w:rPr>
                <w:rFonts w:asciiTheme="minorHAnsi" w:hAnsiTheme="minorHAnsi" w:cstheme="minorHAnsi"/>
                <w:sz w:val="22"/>
                <w:szCs w:val="22"/>
              </w:rPr>
            </w:pPr>
            <w:r w:rsidRPr="004A46BD">
              <w:rPr>
                <w:rFonts w:asciiTheme="minorHAnsi" w:hAnsiTheme="minorHAnsi" w:cstheme="minorHAnsi"/>
                <w:b/>
                <w:bCs/>
                <w:color w:val="000000"/>
                <w:sz w:val="22"/>
                <w:szCs w:val="22"/>
              </w:rPr>
              <w:t>doprava</w:t>
            </w:r>
          </w:p>
        </w:tc>
        <w:tc>
          <w:tcPr>
            <w:tcW w:w="1418" w:type="dxa"/>
            <w:tcBorders>
              <w:bottom w:val="single" w:sz="4" w:space="0" w:color="auto"/>
            </w:tcBorders>
            <w:shd w:val="clear" w:color="auto" w:fill="FFFFFF"/>
          </w:tcPr>
          <w:p w14:paraId="6FBDD614" w14:textId="77777777" w:rsidR="006B4CE3" w:rsidRPr="00422A95" w:rsidRDefault="006B4CE3" w:rsidP="003A4DE9">
            <w:pPr>
              <w:pStyle w:val="Other10"/>
              <w:spacing w:after="0" w:line="240" w:lineRule="auto"/>
              <w:ind w:firstLine="0"/>
              <w:jc w:val="right"/>
              <w:rPr>
                <w:rFonts w:asciiTheme="minorHAnsi" w:hAnsiTheme="minorHAnsi" w:cstheme="minorHAnsi"/>
                <w:sz w:val="24"/>
                <w:szCs w:val="24"/>
              </w:rPr>
            </w:pPr>
            <w:r w:rsidRPr="00422A95">
              <w:rPr>
                <w:rFonts w:asciiTheme="minorHAnsi" w:hAnsiTheme="minorHAnsi" w:cstheme="minorHAnsi"/>
                <w:sz w:val="24"/>
                <w:szCs w:val="24"/>
              </w:rPr>
              <w:t>3 ks</w:t>
            </w:r>
          </w:p>
          <w:p w14:paraId="60CAB7D9" w14:textId="77777777" w:rsidR="006B4CE3" w:rsidRPr="00422A95" w:rsidRDefault="006B4CE3" w:rsidP="003A4DE9">
            <w:pPr>
              <w:pStyle w:val="Other10"/>
              <w:spacing w:after="0" w:line="240" w:lineRule="auto"/>
              <w:ind w:firstLine="0"/>
              <w:jc w:val="right"/>
              <w:rPr>
                <w:rFonts w:asciiTheme="minorHAnsi" w:hAnsiTheme="minorHAnsi" w:cstheme="minorHAnsi"/>
                <w:sz w:val="24"/>
                <w:szCs w:val="24"/>
              </w:rPr>
            </w:pPr>
          </w:p>
        </w:tc>
        <w:tc>
          <w:tcPr>
            <w:tcW w:w="283" w:type="dxa"/>
            <w:tcBorders>
              <w:bottom w:val="single" w:sz="4" w:space="0" w:color="auto"/>
            </w:tcBorders>
            <w:shd w:val="clear" w:color="auto" w:fill="FFFFFF"/>
          </w:tcPr>
          <w:p w14:paraId="5BFBDFF7" w14:textId="77777777" w:rsidR="006B4CE3" w:rsidRPr="004A46BD" w:rsidRDefault="006B4CE3" w:rsidP="003A4DE9">
            <w:pPr>
              <w:pStyle w:val="Other10"/>
              <w:spacing w:after="0" w:line="240" w:lineRule="auto"/>
              <w:ind w:firstLine="320"/>
              <w:rPr>
                <w:rFonts w:asciiTheme="minorHAnsi" w:hAnsiTheme="minorHAnsi" w:cstheme="minorHAnsi"/>
                <w:sz w:val="22"/>
                <w:szCs w:val="22"/>
              </w:rPr>
            </w:pPr>
          </w:p>
        </w:tc>
      </w:tr>
    </w:tbl>
    <w:p w14:paraId="70B52FBC" w14:textId="77777777" w:rsidR="006B4CE3" w:rsidRPr="004A46BD" w:rsidRDefault="006B4CE3" w:rsidP="006B4CE3">
      <w:pPr>
        <w:spacing w:line="276" w:lineRule="auto"/>
        <w:jc w:val="both"/>
        <w:rPr>
          <w:rFonts w:asciiTheme="minorHAnsi" w:hAnsiTheme="minorHAnsi" w:cstheme="minorHAnsi"/>
          <w:sz w:val="22"/>
          <w:szCs w:val="22"/>
        </w:rPr>
      </w:pPr>
    </w:p>
    <w:p w14:paraId="7B96B3BE" w14:textId="77777777" w:rsidR="006B4CE3" w:rsidRPr="0050557F" w:rsidRDefault="006B4CE3"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sectPr w:rsidR="006B4CE3" w:rsidRPr="00505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2"/>
    <w:lvl w:ilvl="0">
      <w:start w:val="1"/>
      <w:numFmt w:val="decimal"/>
      <w:lvlText w:val="%1."/>
      <w:lvlJc w:val="left"/>
      <w:pPr>
        <w:tabs>
          <w:tab w:val="num" w:pos="720"/>
        </w:tabs>
        <w:ind w:left="720" w:hanging="360"/>
      </w:pPr>
      <w:rPr>
        <w:u w:val="none"/>
      </w:r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AB103B"/>
    <w:multiLevelType w:val="hybridMultilevel"/>
    <w:tmpl w:val="71A659F8"/>
    <w:lvl w:ilvl="0" w:tplc="4970BFA4">
      <w:start w:val="1"/>
      <w:numFmt w:val="decimal"/>
      <w:lvlText w:val="%1."/>
      <w:lvlJc w:val="left"/>
      <w:pPr>
        <w:tabs>
          <w:tab w:val="num" w:pos="360"/>
        </w:tabs>
        <w:ind w:left="36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428766AC"/>
    <w:multiLevelType w:val="multilevel"/>
    <w:tmpl w:val="ECD2CB28"/>
    <w:lvl w:ilvl="0">
      <w:start w:val="1"/>
      <w:numFmt w:val="decimal"/>
      <w:lvlText w:val="%1."/>
      <w:lvlJc w:val="left"/>
      <w:pPr>
        <w:tabs>
          <w:tab w:val="num" w:pos="360"/>
        </w:tabs>
        <w:ind w:left="360" w:hanging="360"/>
      </w:p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9" w15:restartNumberingAfterBreak="0">
    <w:nsid w:val="6BFA3073"/>
    <w:multiLevelType w:val="hybridMultilevel"/>
    <w:tmpl w:val="E8964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100CAF"/>
    <w:multiLevelType w:val="multilevel"/>
    <w:tmpl w:val="A14A1DF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69779049">
    <w:abstractNumId w:val="0"/>
  </w:num>
  <w:num w:numId="2" w16cid:durableId="1908802183">
    <w:abstractNumId w:val="3"/>
  </w:num>
  <w:num w:numId="3" w16cid:durableId="1292907034">
    <w:abstractNumId w:val="2"/>
  </w:num>
  <w:num w:numId="4" w16cid:durableId="1634553573">
    <w:abstractNumId w:val="4"/>
  </w:num>
  <w:num w:numId="5" w16cid:durableId="446314399">
    <w:abstractNumId w:val="8"/>
  </w:num>
  <w:num w:numId="6" w16cid:durableId="1431194657">
    <w:abstractNumId w:val="1"/>
  </w:num>
  <w:num w:numId="7" w16cid:durableId="1304044356">
    <w:abstractNumId w:val="9"/>
  </w:num>
  <w:num w:numId="8" w16cid:durableId="2003585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2201844">
    <w:abstractNumId w:val="5"/>
  </w:num>
  <w:num w:numId="10" w16cid:durableId="267277858">
    <w:abstractNumId w:val="7"/>
  </w:num>
  <w:num w:numId="11" w16cid:durableId="1769765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4D4"/>
    <w:rsid w:val="00004897"/>
    <w:rsid w:val="000159A7"/>
    <w:rsid w:val="0001609D"/>
    <w:rsid w:val="00024D75"/>
    <w:rsid w:val="0005434E"/>
    <w:rsid w:val="00062A05"/>
    <w:rsid w:val="0006730B"/>
    <w:rsid w:val="000D71DB"/>
    <w:rsid w:val="00114999"/>
    <w:rsid w:val="00145A65"/>
    <w:rsid w:val="00151E52"/>
    <w:rsid w:val="001C0C2C"/>
    <w:rsid w:val="001F04C3"/>
    <w:rsid w:val="00260C6C"/>
    <w:rsid w:val="002B121B"/>
    <w:rsid w:val="002C168D"/>
    <w:rsid w:val="00373433"/>
    <w:rsid w:val="00384799"/>
    <w:rsid w:val="00397D55"/>
    <w:rsid w:val="003A3DC1"/>
    <w:rsid w:val="003B159A"/>
    <w:rsid w:val="00410338"/>
    <w:rsid w:val="00414F90"/>
    <w:rsid w:val="00462930"/>
    <w:rsid w:val="004A4032"/>
    <w:rsid w:val="004F4F6E"/>
    <w:rsid w:val="0050557F"/>
    <w:rsid w:val="00565447"/>
    <w:rsid w:val="0056739B"/>
    <w:rsid w:val="005701B0"/>
    <w:rsid w:val="00611A28"/>
    <w:rsid w:val="00615ECF"/>
    <w:rsid w:val="006954A6"/>
    <w:rsid w:val="006B4CE3"/>
    <w:rsid w:val="007015DD"/>
    <w:rsid w:val="00704F17"/>
    <w:rsid w:val="0070697A"/>
    <w:rsid w:val="00734A65"/>
    <w:rsid w:val="007438D6"/>
    <w:rsid w:val="007571BB"/>
    <w:rsid w:val="007B45A3"/>
    <w:rsid w:val="007B5C4C"/>
    <w:rsid w:val="007D1FF4"/>
    <w:rsid w:val="007F0215"/>
    <w:rsid w:val="00800325"/>
    <w:rsid w:val="00836809"/>
    <w:rsid w:val="008555A2"/>
    <w:rsid w:val="0085738E"/>
    <w:rsid w:val="00861008"/>
    <w:rsid w:val="008B005B"/>
    <w:rsid w:val="008B64D4"/>
    <w:rsid w:val="00941951"/>
    <w:rsid w:val="009C37BA"/>
    <w:rsid w:val="009D6B57"/>
    <w:rsid w:val="009E2BB1"/>
    <w:rsid w:val="00A05860"/>
    <w:rsid w:val="00A231EA"/>
    <w:rsid w:val="00A326D2"/>
    <w:rsid w:val="00A709F4"/>
    <w:rsid w:val="00A919C9"/>
    <w:rsid w:val="00AC257E"/>
    <w:rsid w:val="00AF7E77"/>
    <w:rsid w:val="00B2337E"/>
    <w:rsid w:val="00BA71CB"/>
    <w:rsid w:val="00C17124"/>
    <w:rsid w:val="00C208A3"/>
    <w:rsid w:val="00C30F45"/>
    <w:rsid w:val="00C329CA"/>
    <w:rsid w:val="00C706E4"/>
    <w:rsid w:val="00CA6B96"/>
    <w:rsid w:val="00CB46F4"/>
    <w:rsid w:val="00CC4594"/>
    <w:rsid w:val="00CD1029"/>
    <w:rsid w:val="00CE41C7"/>
    <w:rsid w:val="00CF4CD0"/>
    <w:rsid w:val="00CF72B0"/>
    <w:rsid w:val="00CF73C4"/>
    <w:rsid w:val="00D04305"/>
    <w:rsid w:val="00D54A72"/>
    <w:rsid w:val="00D70676"/>
    <w:rsid w:val="00D84DD7"/>
    <w:rsid w:val="00D92D1D"/>
    <w:rsid w:val="00DA18AC"/>
    <w:rsid w:val="00DC0FE6"/>
    <w:rsid w:val="00DF0286"/>
    <w:rsid w:val="00E07239"/>
    <w:rsid w:val="00E10E80"/>
    <w:rsid w:val="00F20331"/>
    <w:rsid w:val="00FF47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221C"/>
  <w15:chartTrackingRefBased/>
  <w15:docId w15:val="{40559B27-840D-49BE-9A82-776682D9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64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B64D4"/>
    <w:pPr>
      <w:keepNext/>
      <w:jc w:val="both"/>
      <w:outlineLvl w:val="0"/>
    </w:pPr>
    <w:rPr>
      <w:rFonts w:ascii="Calibri" w:hAnsi="Calibri"/>
      <w:b/>
      <w:bCs/>
      <w:sz w:val="22"/>
    </w:rPr>
  </w:style>
  <w:style w:type="paragraph" w:styleId="Nadpis6">
    <w:name w:val="heading 6"/>
    <w:basedOn w:val="Normln"/>
    <w:next w:val="Normln"/>
    <w:link w:val="Nadpis6Char"/>
    <w:uiPriority w:val="9"/>
    <w:semiHidden/>
    <w:unhideWhenUsed/>
    <w:qFormat/>
    <w:rsid w:val="008B64D4"/>
    <w:pPr>
      <w:keepNext/>
      <w:keepLines/>
      <w:spacing w:before="40"/>
      <w:outlineLvl w:val="5"/>
    </w:pPr>
    <w:rPr>
      <w:rFonts w:ascii="Calibri Light" w:hAnsi="Calibri Light"/>
      <w:color w:val="1F4D7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B64D4"/>
    <w:rPr>
      <w:rFonts w:ascii="Calibri" w:eastAsia="Times New Roman" w:hAnsi="Calibri" w:cs="Times New Roman"/>
      <w:b/>
      <w:bCs/>
      <w:szCs w:val="24"/>
      <w:lang w:eastAsia="cs-CZ"/>
    </w:rPr>
  </w:style>
  <w:style w:type="character" w:customStyle="1" w:styleId="Nadpis6Char">
    <w:name w:val="Nadpis 6 Char"/>
    <w:basedOn w:val="Standardnpsmoodstavce"/>
    <w:link w:val="Nadpis6"/>
    <w:uiPriority w:val="9"/>
    <w:semiHidden/>
    <w:rsid w:val="008B64D4"/>
    <w:rPr>
      <w:rFonts w:ascii="Calibri Light" w:eastAsia="Times New Roman" w:hAnsi="Calibri Light" w:cs="Times New Roman"/>
      <w:color w:val="1F4D78"/>
      <w:szCs w:val="24"/>
      <w:lang w:eastAsia="cs-CZ"/>
    </w:rPr>
  </w:style>
  <w:style w:type="paragraph" w:styleId="Zkladntext">
    <w:name w:val="Body Text"/>
    <w:basedOn w:val="Normln"/>
    <w:link w:val="ZkladntextChar"/>
    <w:semiHidden/>
    <w:rsid w:val="008B64D4"/>
    <w:pPr>
      <w:suppressAutoHyphens/>
    </w:pPr>
    <w:rPr>
      <w:b/>
      <w:bCs/>
      <w:szCs w:val="26"/>
      <w:lang w:eastAsia="ar-SA"/>
    </w:rPr>
  </w:style>
  <w:style w:type="character" w:customStyle="1" w:styleId="ZkladntextChar">
    <w:name w:val="Základní text Char"/>
    <w:basedOn w:val="Standardnpsmoodstavce"/>
    <w:link w:val="Zkladntext"/>
    <w:semiHidden/>
    <w:rsid w:val="008B64D4"/>
    <w:rPr>
      <w:rFonts w:ascii="Times New Roman" w:eastAsia="Times New Roman" w:hAnsi="Times New Roman" w:cs="Times New Roman"/>
      <w:b/>
      <w:bCs/>
      <w:sz w:val="24"/>
      <w:szCs w:val="26"/>
      <w:lang w:eastAsia="ar-SA"/>
    </w:rPr>
  </w:style>
  <w:style w:type="paragraph" w:styleId="Odstavecseseznamem">
    <w:name w:val="List Paragraph"/>
    <w:basedOn w:val="Normln"/>
    <w:uiPriority w:val="34"/>
    <w:qFormat/>
    <w:rsid w:val="008B64D4"/>
    <w:pPr>
      <w:ind w:left="708"/>
    </w:pPr>
  </w:style>
  <w:style w:type="paragraph" w:styleId="Zhlav">
    <w:name w:val="header"/>
    <w:basedOn w:val="Normln"/>
    <w:link w:val="ZhlavChar"/>
    <w:uiPriority w:val="99"/>
    <w:semiHidden/>
    <w:unhideWhenUsed/>
    <w:rsid w:val="008B64D4"/>
    <w:pPr>
      <w:tabs>
        <w:tab w:val="center" w:pos="4536"/>
        <w:tab w:val="right" w:pos="9072"/>
      </w:tabs>
    </w:pPr>
  </w:style>
  <w:style w:type="character" w:customStyle="1" w:styleId="ZhlavChar">
    <w:name w:val="Záhlaví Char"/>
    <w:basedOn w:val="Standardnpsmoodstavce"/>
    <w:link w:val="Zhlav"/>
    <w:uiPriority w:val="99"/>
    <w:semiHidden/>
    <w:rsid w:val="008B64D4"/>
    <w:rPr>
      <w:rFonts w:ascii="Times New Roman" w:eastAsia="Times New Roman" w:hAnsi="Times New Roman" w:cs="Times New Roman"/>
      <w:sz w:val="24"/>
      <w:szCs w:val="24"/>
      <w:lang w:eastAsia="cs-CZ"/>
    </w:rPr>
  </w:style>
  <w:style w:type="paragraph" w:styleId="Bezmezer">
    <w:name w:val="No Spacing"/>
    <w:uiPriority w:val="1"/>
    <w:qFormat/>
    <w:rsid w:val="008B64D4"/>
    <w:pPr>
      <w:spacing w:after="0" w:line="240" w:lineRule="auto"/>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8B64D4"/>
    <w:pPr>
      <w:ind w:left="720"/>
      <w:contextualSpacing/>
    </w:pPr>
    <w:rPr>
      <w:rFonts w:ascii="Calibri" w:hAnsi="Calibri"/>
      <w:sz w:val="22"/>
    </w:rPr>
  </w:style>
  <w:style w:type="paragraph" w:styleId="Normlnweb">
    <w:name w:val="Normal (Web)"/>
    <w:basedOn w:val="Normln"/>
    <w:uiPriority w:val="99"/>
    <w:unhideWhenUsed/>
    <w:rsid w:val="008B64D4"/>
    <w:pPr>
      <w:spacing w:before="100" w:beforeAutospacing="1" w:after="100" w:afterAutospacing="1"/>
    </w:pPr>
    <w:rPr>
      <w:rFonts w:ascii="Calibri" w:hAnsi="Calibri"/>
      <w:sz w:val="22"/>
    </w:rPr>
  </w:style>
  <w:style w:type="paragraph" w:customStyle="1" w:styleId="Odrky">
    <w:name w:val="Odrážky"/>
    <w:basedOn w:val="Normln"/>
    <w:rsid w:val="008B64D4"/>
    <w:pPr>
      <w:suppressAutoHyphens/>
      <w:ind w:left="1134" w:hanging="425"/>
      <w:jc w:val="both"/>
    </w:pPr>
    <w:rPr>
      <w:lang w:eastAsia="ar-SA"/>
    </w:rPr>
  </w:style>
  <w:style w:type="paragraph" w:styleId="Revize">
    <w:name w:val="Revision"/>
    <w:hidden/>
    <w:uiPriority w:val="99"/>
    <w:semiHidden/>
    <w:rsid w:val="00D70676"/>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F73C4"/>
    <w:rPr>
      <w:sz w:val="16"/>
      <w:szCs w:val="16"/>
    </w:rPr>
  </w:style>
  <w:style w:type="paragraph" w:styleId="Textkomente">
    <w:name w:val="annotation text"/>
    <w:basedOn w:val="Normln"/>
    <w:link w:val="TextkomenteChar"/>
    <w:uiPriority w:val="99"/>
    <w:unhideWhenUsed/>
    <w:rsid w:val="00CF73C4"/>
    <w:rPr>
      <w:sz w:val="20"/>
      <w:szCs w:val="20"/>
    </w:rPr>
  </w:style>
  <w:style w:type="character" w:customStyle="1" w:styleId="TextkomenteChar">
    <w:name w:val="Text komentáře Char"/>
    <w:basedOn w:val="Standardnpsmoodstavce"/>
    <w:link w:val="Textkomente"/>
    <w:uiPriority w:val="99"/>
    <w:rsid w:val="00CF73C4"/>
    <w:rPr>
      <w:rFonts w:ascii="Times New Roman" w:eastAsia="Times New Roman" w:hAnsi="Times New Roman" w:cs="Times New Roman"/>
      <w:sz w:val="20"/>
      <w:szCs w:val="20"/>
      <w:lang w:eastAsia="cs-CZ"/>
    </w:rPr>
  </w:style>
  <w:style w:type="character" w:customStyle="1" w:styleId="Tableofcontents1">
    <w:name w:val="Table of contents|1_"/>
    <w:basedOn w:val="Standardnpsmoodstavce"/>
    <w:link w:val="Tableofcontents10"/>
    <w:rsid w:val="006B4CE3"/>
    <w:rPr>
      <w:rFonts w:ascii="Arial" w:eastAsia="Arial" w:hAnsi="Arial" w:cs="Arial"/>
      <w:sz w:val="11"/>
      <w:szCs w:val="11"/>
    </w:rPr>
  </w:style>
  <w:style w:type="character" w:customStyle="1" w:styleId="Bodytext1">
    <w:name w:val="Body text|1_"/>
    <w:basedOn w:val="Standardnpsmoodstavce"/>
    <w:link w:val="Bodytext10"/>
    <w:rsid w:val="006B4CE3"/>
    <w:rPr>
      <w:rFonts w:ascii="Arial" w:eastAsia="Arial" w:hAnsi="Arial" w:cs="Arial"/>
      <w:sz w:val="10"/>
      <w:szCs w:val="10"/>
    </w:rPr>
  </w:style>
  <w:style w:type="paragraph" w:customStyle="1" w:styleId="Tableofcontents10">
    <w:name w:val="Table of contents|1"/>
    <w:basedOn w:val="Normln"/>
    <w:link w:val="Tableofcontents1"/>
    <w:rsid w:val="006B4CE3"/>
    <w:pPr>
      <w:widowControl w:val="0"/>
      <w:ind w:firstLine="460"/>
    </w:pPr>
    <w:rPr>
      <w:rFonts w:ascii="Arial" w:eastAsia="Arial" w:hAnsi="Arial" w:cs="Arial"/>
      <w:sz w:val="11"/>
      <w:szCs w:val="11"/>
      <w:lang w:eastAsia="en-US"/>
    </w:rPr>
  </w:style>
  <w:style w:type="paragraph" w:customStyle="1" w:styleId="Bodytext10">
    <w:name w:val="Body text|1"/>
    <w:basedOn w:val="Normln"/>
    <w:link w:val="Bodytext1"/>
    <w:rsid w:val="006B4CE3"/>
    <w:pPr>
      <w:widowControl w:val="0"/>
      <w:spacing w:after="40" w:line="310" w:lineRule="auto"/>
      <w:ind w:firstLine="20"/>
    </w:pPr>
    <w:rPr>
      <w:rFonts w:ascii="Arial" w:eastAsia="Arial" w:hAnsi="Arial" w:cs="Arial"/>
      <w:sz w:val="10"/>
      <w:szCs w:val="10"/>
      <w:lang w:eastAsia="en-US"/>
    </w:rPr>
  </w:style>
  <w:style w:type="character" w:customStyle="1" w:styleId="Bodytext3">
    <w:name w:val="Body text|3_"/>
    <w:basedOn w:val="Standardnpsmoodstavce"/>
    <w:link w:val="Bodytext30"/>
    <w:rsid w:val="006B4CE3"/>
    <w:rPr>
      <w:rFonts w:ascii="Arial" w:eastAsia="Arial" w:hAnsi="Arial" w:cs="Arial"/>
      <w:sz w:val="15"/>
      <w:szCs w:val="15"/>
    </w:rPr>
  </w:style>
  <w:style w:type="paragraph" w:customStyle="1" w:styleId="Bodytext30">
    <w:name w:val="Body text|3"/>
    <w:basedOn w:val="Normln"/>
    <w:link w:val="Bodytext3"/>
    <w:rsid w:val="006B4CE3"/>
    <w:pPr>
      <w:widowControl w:val="0"/>
      <w:spacing w:line="288" w:lineRule="auto"/>
    </w:pPr>
    <w:rPr>
      <w:rFonts w:ascii="Arial" w:eastAsia="Arial" w:hAnsi="Arial" w:cs="Arial"/>
      <w:sz w:val="15"/>
      <w:szCs w:val="15"/>
      <w:lang w:eastAsia="en-US"/>
    </w:rPr>
  </w:style>
  <w:style w:type="character" w:customStyle="1" w:styleId="Other1">
    <w:name w:val="Other|1_"/>
    <w:basedOn w:val="Standardnpsmoodstavce"/>
    <w:link w:val="Other10"/>
    <w:rsid w:val="006B4CE3"/>
    <w:rPr>
      <w:rFonts w:ascii="Arial" w:eastAsia="Arial" w:hAnsi="Arial" w:cs="Arial"/>
      <w:sz w:val="10"/>
      <w:szCs w:val="10"/>
    </w:rPr>
  </w:style>
  <w:style w:type="paragraph" w:customStyle="1" w:styleId="Other10">
    <w:name w:val="Other|1"/>
    <w:basedOn w:val="Normln"/>
    <w:link w:val="Other1"/>
    <w:rsid w:val="006B4CE3"/>
    <w:pPr>
      <w:widowControl w:val="0"/>
      <w:spacing w:after="40" w:line="310" w:lineRule="auto"/>
      <w:ind w:firstLine="20"/>
    </w:pPr>
    <w:rPr>
      <w:rFonts w:ascii="Arial" w:eastAsia="Arial" w:hAnsi="Arial" w:cs="Arial"/>
      <w:sz w:val="10"/>
      <w:szCs w:val="1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af8b71-de24-42c7-b387-73ed9a508043" xsi:nil="true"/>
    <lcf76f155ced4ddcb4097134ff3c332f xmlns="8e21313e-b948-4ff7-93a2-5ad4759a4f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6" ma:contentTypeDescription="Vytvoří nový dokument" ma:contentTypeScope="" ma:versionID="638e47ae9541a18f292fed50e45e721c">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9c509b6f5d3ee24d0ec3dfef1cec3958"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02a42f9-5e0d-4aff-92c9-0967820cd6a3}" ma:internalName="TaxCatchAll" ma:showField="CatchAllData" ma:web="4faf8b71-de24-42c7-b387-73ed9a508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9FFB2-A323-4CBE-AEAD-A45043F8535E}">
  <ds:schemaRefs>
    <ds:schemaRef ds:uri="http://schemas.microsoft.com/office/2006/metadata/properties"/>
    <ds:schemaRef ds:uri="http://schemas.microsoft.com/office/infopath/2007/PartnerControls"/>
    <ds:schemaRef ds:uri="4faf8b71-de24-42c7-b387-73ed9a508043"/>
    <ds:schemaRef ds:uri="8e21313e-b948-4ff7-93a2-5ad4759a4f80"/>
  </ds:schemaRefs>
</ds:datastoreItem>
</file>

<file path=customXml/itemProps2.xml><?xml version="1.0" encoding="utf-8"?>
<ds:datastoreItem xmlns:ds="http://schemas.openxmlformats.org/officeDocument/2006/customXml" ds:itemID="{BA7A48A2-1B15-407C-919D-DFCBB2F97D9A}">
  <ds:schemaRefs>
    <ds:schemaRef ds:uri="http://schemas.microsoft.com/sharepoint/v3/contenttype/forms"/>
  </ds:schemaRefs>
</ds:datastoreItem>
</file>

<file path=customXml/itemProps3.xml><?xml version="1.0" encoding="utf-8"?>
<ds:datastoreItem xmlns:ds="http://schemas.openxmlformats.org/officeDocument/2006/customXml" ds:itemID="{9CCAE3B3-8C07-4CEA-945C-ECE8593A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1389</Words>
  <Characters>8199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Mlíková</dc:creator>
  <cp:keywords/>
  <dc:description/>
  <cp:lastModifiedBy>Tousson Jolana</cp:lastModifiedBy>
  <cp:revision>3</cp:revision>
  <cp:lastPrinted>2025-09-10T08:37:00Z</cp:lastPrinted>
  <dcterms:created xsi:type="dcterms:W3CDTF">2025-09-23T11:29:00Z</dcterms:created>
  <dcterms:modified xsi:type="dcterms:W3CDTF">2025-09-23T11:30:00Z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y fmtid="{D5CDD505-2E9C-101B-9397-08002B2CF9AE}" pid="3" name="MediaServiceImageTags">
    <vt:lpwstr/>
  </property>
</Properties>
</file>