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5500" w14:textId="77777777" w:rsidR="00C615B6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02A52143" w:rsidR="00C615B6" w:rsidRDefault="00A22AA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č. 251186</w:t>
      </w:r>
    </w:p>
    <w:p w14:paraId="0CE1745A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Default="00C615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77777777" w:rsidR="00C615B6" w:rsidRDefault="00C615B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 Praha 1, Václavské náměstí 1700/68, PSČ: 115 79</w:t>
      </w:r>
    </w:p>
    <w:p w14:paraId="7A312DEF" w14:textId="752C17AE" w:rsidR="00C615B6" w:rsidRDefault="009B2F05" w:rsidP="20BD511F">
      <w:pPr>
        <w:spacing w:after="120" w:line="276" w:lineRule="auto"/>
        <w:ind w:right="-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jehož jménem </w:t>
      </w:r>
      <w:r w:rsidR="002F76D9">
        <w:rPr>
          <w:rFonts w:ascii="Calibri" w:hAnsi="Calibri" w:cs="Calibri"/>
          <w:sz w:val="24"/>
          <w:szCs w:val="24"/>
        </w:rPr>
        <w:t>jedná:</w:t>
      </w:r>
      <w:r>
        <w:rPr>
          <w:rFonts w:ascii="Calibri" w:hAnsi="Calibri" w:cs="Calibri"/>
          <w:sz w:val="24"/>
          <w:szCs w:val="24"/>
        </w:rPr>
        <w:t xml:space="preserve"> </w:t>
      </w:r>
      <w:r w:rsidR="310F45CC" w:rsidRPr="20BD511F">
        <w:rPr>
          <w:rFonts w:ascii="Calibri" w:hAnsi="Calibri" w:cs="Calibri"/>
          <w:sz w:val="24"/>
          <w:szCs w:val="24"/>
        </w:rPr>
        <w:t xml:space="preserve">PhDr. </w:t>
      </w:r>
      <w:r w:rsidR="002A6874">
        <w:rPr>
          <w:rFonts w:ascii="Calibri" w:hAnsi="Calibri" w:cs="Calibri"/>
          <w:sz w:val="24"/>
          <w:szCs w:val="24"/>
        </w:rPr>
        <w:t>Michal Lukeš, PhD.</w:t>
      </w:r>
      <w:r w:rsidR="310F45CC" w:rsidRPr="20BD511F">
        <w:rPr>
          <w:rFonts w:ascii="Calibri" w:hAnsi="Calibri" w:cs="Calibri"/>
          <w:sz w:val="24"/>
          <w:szCs w:val="24"/>
        </w:rPr>
        <w:t xml:space="preserve">, </w:t>
      </w:r>
      <w:r w:rsidR="002A6874">
        <w:rPr>
          <w:rFonts w:ascii="Calibri" w:hAnsi="Calibri" w:cs="Calibri"/>
          <w:sz w:val="24"/>
          <w:szCs w:val="24"/>
        </w:rPr>
        <w:t>generální ředitel Národního</w:t>
      </w:r>
      <w:r w:rsidR="310F45CC" w:rsidRPr="20BD511F">
        <w:rPr>
          <w:rFonts w:ascii="Calibri" w:hAnsi="Calibri" w:cs="Calibri"/>
          <w:sz w:val="24"/>
          <w:szCs w:val="24"/>
        </w:rPr>
        <w:t xml:space="preserve"> muzea </w:t>
      </w:r>
    </w:p>
    <w:p w14:paraId="22C18E96" w14:textId="77777777" w:rsidR="002F76D9" w:rsidRDefault="002F76D9" w:rsidP="002F76D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0002 3272, DIČ: CZ 0002 3272</w:t>
      </w:r>
    </w:p>
    <w:p w14:paraId="7ADCF57F" w14:textId="03D89FAA" w:rsidR="00C615B6" w:rsidRDefault="00C615B6">
      <w:pPr>
        <w:spacing w:after="120"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 w:rsidRPr="20BD511F">
        <w:rPr>
          <w:rFonts w:ascii="Calibri" w:hAnsi="Calibri" w:cs="Calibri"/>
          <w:sz w:val="24"/>
          <w:szCs w:val="24"/>
        </w:rPr>
        <w:t>(dále jen „</w:t>
      </w:r>
      <w:r w:rsidRPr="20BD511F">
        <w:rPr>
          <w:rFonts w:ascii="Calibri" w:hAnsi="Calibri" w:cs="Calibri"/>
          <w:b/>
          <w:bCs/>
          <w:sz w:val="24"/>
          <w:szCs w:val="24"/>
        </w:rPr>
        <w:t>kupující</w:t>
      </w:r>
      <w:r w:rsidRPr="20BD511F"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086AE005" w14:textId="7EFE1C0B" w:rsidR="0086340E" w:rsidRDefault="0086340E" w:rsidP="0086340E">
      <w:pPr>
        <w:pStyle w:val="smluvnistrana-ostatniidentifikacniudaje"/>
        <w:spacing w:before="0" w:after="0" w:line="259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Měřicí technika Morava s.r.o.</w:t>
      </w:r>
    </w:p>
    <w:p w14:paraId="70AA9DE5" w14:textId="39201111" w:rsidR="00C615B6" w:rsidRPr="00564383" w:rsidRDefault="00C615B6" w:rsidP="0086340E">
      <w:pPr>
        <w:pStyle w:val="smluvnistrana-ostatniidentifikacniudaje"/>
        <w:spacing w:before="0" w:after="0" w:line="259" w:lineRule="auto"/>
        <w:ind w:left="0"/>
        <w:rPr>
          <w:rFonts w:ascii="Calibri" w:hAnsi="Calibri" w:cs="Calibri"/>
        </w:rPr>
      </w:pPr>
      <w:r w:rsidRPr="5E2AAD80">
        <w:rPr>
          <w:rFonts w:ascii="Calibri" w:hAnsi="Calibri" w:cs="Calibri"/>
        </w:rPr>
        <w:t xml:space="preserve">se sídlem </w:t>
      </w:r>
      <w:r w:rsidR="0086340E">
        <w:rPr>
          <w:rFonts w:ascii="Calibri" w:hAnsi="Calibri" w:cs="Calibri"/>
        </w:rPr>
        <w:t>Babická 619, 664 84 Zastávka, Česká republika</w:t>
      </w:r>
    </w:p>
    <w:p w14:paraId="451FDEB2" w14:textId="2C06ABCC" w:rsidR="00A05E7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5E2AAD80">
        <w:rPr>
          <w:rFonts w:ascii="Calibri" w:hAnsi="Calibri" w:cs="Calibri"/>
        </w:rPr>
        <w:t xml:space="preserve">IČ: </w:t>
      </w:r>
      <w:r w:rsidR="0086340E">
        <w:rPr>
          <w:rFonts w:ascii="Calibri" w:hAnsi="Calibri" w:cs="Calibri"/>
        </w:rPr>
        <w:t xml:space="preserve">293 </w:t>
      </w:r>
      <w:r w:rsidR="00A22AA6">
        <w:rPr>
          <w:rFonts w:ascii="Calibri" w:hAnsi="Calibri" w:cs="Calibri"/>
        </w:rPr>
        <w:t>16</w:t>
      </w:r>
      <w:r w:rsidR="0086340E">
        <w:rPr>
          <w:rFonts w:ascii="Calibri" w:hAnsi="Calibri" w:cs="Calibri"/>
        </w:rPr>
        <w:t xml:space="preserve"> 715</w:t>
      </w:r>
      <w:r w:rsidR="0051531D">
        <w:rPr>
          <w:rFonts w:ascii="Calibri" w:hAnsi="Calibri" w:cs="Calibri"/>
        </w:rPr>
        <w:t xml:space="preserve">, </w:t>
      </w:r>
      <w:r w:rsidR="00A05E76">
        <w:rPr>
          <w:rFonts w:ascii="Calibri" w:hAnsi="Calibri" w:cs="Calibri"/>
        </w:rPr>
        <w:t>DIČ:</w:t>
      </w:r>
      <w:r w:rsidR="0086340E">
        <w:rPr>
          <w:rFonts w:ascii="Calibri" w:hAnsi="Calibri" w:cs="Calibri"/>
        </w:rPr>
        <w:t xml:space="preserve"> CZ 293 16 715</w:t>
      </w:r>
    </w:p>
    <w:p w14:paraId="0E9878CE" w14:textId="2E4027E8" w:rsidR="00C615B6" w:rsidRPr="00B304DC" w:rsidRDefault="00C615B6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theme="minorHAnsi"/>
        </w:rPr>
      </w:pPr>
      <w:r w:rsidRPr="00B304DC">
        <w:rPr>
          <w:rFonts w:ascii="Calibri" w:hAnsi="Calibri" w:cs="Calibri"/>
        </w:rPr>
        <w:t xml:space="preserve">zapsaná </w:t>
      </w:r>
      <w:r w:rsidRPr="00B304DC">
        <w:rPr>
          <w:rFonts w:asciiTheme="minorHAnsi" w:hAnsiTheme="minorHAnsi" w:cstheme="minorHAnsi"/>
        </w:rPr>
        <w:t xml:space="preserve">v </w:t>
      </w:r>
      <w:r w:rsidR="00E566F2" w:rsidRPr="00B304DC">
        <w:rPr>
          <w:rFonts w:asciiTheme="minorHAnsi" w:hAnsiTheme="minorHAnsi" w:cstheme="minorHAnsi"/>
        </w:rPr>
        <w:t xml:space="preserve">obchodním rejstříku vedeném krajským soudem v Brně, </w:t>
      </w:r>
      <w:proofErr w:type="spellStart"/>
      <w:r w:rsidR="00E566F2" w:rsidRPr="00B304DC">
        <w:rPr>
          <w:rFonts w:asciiTheme="minorHAnsi" w:hAnsiTheme="minorHAnsi" w:cstheme="minorHAnsi"/>
        </w:rPr>
        <w:t>sp</w:t>
      </w:r>
      <w:proofErr w:type="spellEnd"/>
      <w:r w:rsidR="00E566F2" w:rsidRPr="00B304DC">
        <w:rPr>
          <w:rFonts w:asciiTheme="minorHAnsi" w:hAnsiTheme="minorHAnsi" w:cstheme="minorHAnsi"/>
        </w:rPr>
        <w:t>. zn. C 772 78</w:t>
      </w:r>
    </w:p>
    <w:p w14:paraId="5B026972" w14:textId="6EA698AA" w:rsidR="00DC1078" w:rsidRPr="00B304DC" w:rsidRDefault="00C615B6">
      <w:pPr>
        <w:pStyle w:val="smluvnistrana-ostatniidentifikacniudaje"/>
        <w:suppressAutoHyphens/>
        <w:spacing w:before="0" w:after="0"/>
        <w:ind w:left="0"/>
        <w:rPr>
          <w:rFonts w:asciiTheme="minorHAnsi" w:hAnsiTheme="minorHAnsi" w:cstheme="minorHAnsi"/>
        </w:rPr>
      </w:pPr>
      <w:r w:rsidRPr="00B304DC">
        <w:rPr>
          <w:rFonts w:asciiTheme="minorHAnsi" w:hAnsiTheme="minorHAnsi" w:cstheme="minorHAnsi"/>
        </w:rPr>
        <w:t xml:space="preserve">číslo účtu: </w:t>
      </w:r>
      <w:r w:rsidR="00C60D3D">
        <w:rPr>
          <w:rFonts w:asciiTheme="minorHAnsi" w:hAnsiTheme="minorHAnsi" w:cstheme="minorHAnsi"/>
        </w:rPr>
        <w:t>XXXXXXXXXXXXXX</w:t>
      </w:r>
    </w:p>
    <w:p w14:paraId="582997F6" w14:textId="26ECAED0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29E990C8">
        <w:rPr>
          <w:rFonts w:ascii="Calibri" w:hAnsi="Calibri" w:cs="Calibri"/>
        </w:rPr>
        <w:t>kontaktní osoba:</w:t>
      </w:r>
      <w:r w:rsidR="195934C9" w:rsidRPr="29E990C8">
        <w:rPr>
          <w:rFonts w:ascii="Calibri" w:hAnsi="Calibri" w:cs="Calibri"/>
        </w:rPr>
        <w:t xml:space="preserve"> </w:t>
      </w:r>
      <w:r w:rsidR="00006231">
        <w:rPr>
          <w:rFonts w:ascii="Calibri" w:hAnsi="Calibri" w:cs="Calibri"/>
        </w:rPr>
        <w:t>Mgr. Felix Holáň</w:t>
      </w:r>
      <w:r w:rsidR="0066378D">
        <w:rPr>
          <w:rFonts w:ascii="Calibri" w:hAnsi="Calibri" w:cs="Calibri"/>
        </w:rPr>
        <w:t>, jednatel</w:t>
      </w:r>
    </w:p>
    <w:p w14:paraId="4EB78B2A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(dále jen „</w:t>
      </w:r>
      <w:r>
        <w:rPr>
          <w:rFonts w:ascii="Calibri" w:hAnsi="Calibri" w:cs="Calibri"/>
          <w:b/>
          <w:bCs/>
          <w:sz w:val="24"/>
          <w:szCs w:val="24"/>
        </w:rPr>
        <w:t>prodávající</w:t>
      </w:r>
      <w:r>
        <w:rPr>
          <w:rFonts w:ascii="Calibri" w:hAnsi="Calibri" w:cs="Calibri"/>
          <w:sz w:val="24"/>
          <w:szCs w:val="24"/>
        </w:rPr>
        <w:t>“)</w:t>
      </w:r>
    </w:p>
    <w:p w14:paraId="7262B015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F0A1010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Preambule</w:t>
      </w:r>
    </w:p>
    <w:p w14:paraId="1EA0D846" w14:textId="0F8FAFED" w:rsidR="00C615B6" w:rsidRDefault="00C615B6" w:rsidP="5E2AAD80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29E990C8"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 w:rsidRPr="29E990C8">
        <w:rPr>
          <w:rFonts w:ascii="Calibri" w:hAnsi="Calibri" w:cs="Calibri"/>
          <w:sz w:val="24"/>
          <w:szCs w:val="24"/>
        </w:rPr>
        <w:t xml:space="preserve">nadlimitní </w:t>
      </w:r>
      <w:r w:rsidRPr="29E990C8">
        <w:rPr>
          <w:rFonts w:ascii="Calibri" w:hAnsi="Calibri" w:cs="Calibri"/>
          <w:sz w:val="24"/>
          <w:szCs w:val="24"/>
        </w:rPr>
        <w:t>veřejné zakázky</w:t>
      </w:r>
      <w:r w:rsidR="0F6E427B" w:rsidRPr="29E990C8">
        <w:rPr>
          <w:rFonts w:ascii="Calibri" w:hAnsi="Calibri" w:cs="Calibri"/>
          <w:sz w:val="24"/>
          <w:szCs w:val="24"/>
        </w:rPr>
        <w:t xml:space="preserve"> </w:t>
      </w:r>
      <w:r w:rsidR="00C40DEB">
        <w:rPr>
          <w:rFonts w:ascii="Calibri" w:hAnsi="Calibri" w:cs="Calibri"/>
          <w:sz w:val="24"/>
          <w:szCs w:val="24"/>
        </w:rPr>
        <w:t xml:space="preserve">s názvem </w:t>
      </w:r>
      <w:r w:rsidR="00AB635A" w:rsidRPr="00AB635A">
        <w:rPr>
          <w:rFonts w:ascii="Calibri" w:hAnsi="Calibri" w:cs="Calibri"/>
          <w:sz w:val="24"/>
          <w:szCs w:val="24"/>
        </w:rPr>
        <w:t>Velkoplošný mikro rentgen-fluorescenční skener</w:t>
      </w:r>
      <w:r w:rsidRPr="00AB635A">
        <w:rPr>
          <w:rFonts w:ascii="Calibri" w:hAnsi="Calibri" w:cs="Calibri"/>
          <w:sz w:val="24"/>
          <w:szCs w:val="24"/>
        </w:rPr>
        <w:t xml:space="preserve"> tuto kupní smlouvu.</w:t>
      </w:r>
      <w:r w:rsidR="00DB46FD" w:rsidRPr="00AB635A">
        <w:rPr>
          <w:rFonts w:ascii="Calibri" w:hAnsi="Calibri" w:cs="Calibri"/>
          <w:sz w:val="24"/>
          <w:szCs w:val="24"/>
        </w:rPr>
        <w:t xml:space="preserve"> </w:t>
      </w:r>
      <w:r w:rsidR="00AB635A" w:rsidRPr="00AB635A">
        <w:rPr>
          <w:rFonts w:ascii="Calibri" w:hAnsi="Calibri" w:cs="Calibri"/>
          <w:sz w:val="24"/>
          <w:szCs w:val="24"/>
        </w:rPr>
        <w:t>Velkoplošný mikro rentgen-fluorescenční skener</w:t>
      </w:r>
      <w:r w:rsidR="009B4531">
        <w:rPr>
          <w:rFonts w:ascii="Calibri" w:hAnsi="Calibri" w:cs="Calibri"/>
          <w:sz w:val="24"/>
          <w:szCs w:val="24"/>
        </w:rPr>
        <w:t xml:space="preserve"> umožní </w:t>
      </w:r>
      <w:r w:rsidR="00302BB9">
        <w:rPr>
          <w:rFonts w:ascii="Calibri" w:hAnsi="Calibri" w:cs="Calibri"/>
          <w:sz w:val="24"/>
          <w:szCs w:val="24"/>
        </w:rPr>
        <w:t xml:space="preserve">výrazně efektivnější digitalizaci, dokumentaci a </w:t>
      </w:r>
      <w:r w:rsidR="00DB46FD">
        <w:rPr>
          <w:rFonts w:ascii="Calibri" w:hAnsi="Calibri" w:cs="Calibri"/>
          <w:sz w:val="24"/>
          <w:szCs w:val="24"/>
        </w:rPr>
        <w:t>neinvazivní prvkové mapování umělecko-historických sbírkových předmětů.</w:t>
      </w:r>
      <w:r w:rsidRPr="29E990C8">
        <w:rPr>
          <w:rFonts w:ascii="Calibri" w:hAnsi="Calibri" w:cs="Calibri"/>
          <w:sz w:val="24"/>
          <w:szCs w:val="24"/>
        </w:rPr>
        <w:t xml:space="preserve"> </w:t>
      </w:r>
    </w:p>
    <w:p w14:paraId="1B95C4EE" w14:textId="77777777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24002624" w14:textId="149C5B23" w:rsidR="00C615B6" w:rsidRDefault="00C40DEB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C40DEB">
        <w:rPr>
          <w:rFonts w:asciiTheme="minorHAnsi" w:hAnsiTheme="minorHAnsi"/>
          <w:sz w:val="24"/>
          <w:szCs w:val="24"/>
        </w:rPr>
        <w:t>Předmět smlouvy je spolufinancován v rámci Národního plánu obnovy, projektu registrační č. 442000049 s názvem „Rozšíření specializovaného dokumentačního pracoviště Oddělení péče o sbírky Historického muzea Národního muzea pro digitalizaci s využitím materiálového průzkumu“.</w:t>
      </w:r>
    </w:p>
    <w:p w14:paraId="34C3F3F8" w14:textId="77777777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4A0972CB" w14:textId="165ACFB9" w:rsidR="00C615B6" w:rsidRDefault="00C615B6" w:rsidP="20BD511F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20BD511F">
        <w:rPr>
          <w:rFonts w:ascii="Calibri" w:hAnsi="Calibri" w:cs="Calibri"/>
          <w:b/>
          <w:bCs/>
          <w:sz w:val="24"/>
          <w:szCs w:val="24"/>
        </w:rPr>
        <w:t>I.</w:t>
      </w:r>
    </w:p>
    <w:p w14:paraId="6785C0AB" w14:textId="77777777" w:rsidR="00C615B6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Touto kupní smlouvou se prodávající zavazuje, že kupujícímu odevzdá zboží specifikované v odst. 2 tohoto článku smlouvy, které je předmětem koupě, a umožní mu nabýt vlastnické právo k němu, a kupující se zavazuje, že zboží převezme a zaplatí prodávajícímu sjednanou kupní cenu.</w:t>
      </w:r>
    </w:p>
    <w:p w14:paraId="760D76B7" w14:textId="5108A7B6" w:rsidR="00C615B6" w:rsidRDefault="00C615B6" w:rsidP="5E2AAD80">
      <w:pPr>
        <w:numPr>
          <w:ilvl w:val="1"/>
          <w:numId w:val="2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5E2AAD80">
        <w:rPr>
          <w:rFonts w:ascii="Calibri" w:hAnsi="Calibri" w:cs="Calibri"/>
          <w:sz w:val="24"/>
          <w:szCs w:val="24"/>
        </w:rPr>
        <w:t xml:space="preserve">Předmětem této smlouvy je </w:t>
      </w:r>
      <w:r w:rsidR="00AB635A">
        <w:rPr>
          <w:rFonts w:ascii="Calibri" w:hAnsi="Calibri" w:cs="Calibri"/>
          <w:sz w:val="24"/>
          <w:szCs w:val="24"/>
        </w:rPr>
        <w:t>v</w:t>
      </w:r>
      <w:r w:rsidR="00AB635A" w:rsidRPr="00AB635A">
        <w:rPr>
          <w:rFonts w:ascii="Calibri" w:hAnsi="Calibri" w:cs="Calibri"/>
          <w:sz w:val="24"/>
          <w:szCs w:val="24"/>
        </w:rPr>
        <w:t>elkoplošný mikro rentgen-fluorescenční skener</w:t>
      </w:r>
      <w:r w:rsidR="6C5A67AB" w:rsidRPr="5E2AAD80">
        <w:rPr>
          <w:rFonts w:ascii="Calibri" w:hAnsi="Calibri" w:cs="Calibri"/>
          <w:sz w:val="24"/>
          <w:szCs w:val="24"/>
        </w:rPr>
        <w:t>.</w:t>
      </w:r>
      <w:r w:rsidRPr="5E2AAD80">
        <w:rPr>
          <w:rFonts w:ascii="Calibri" w:hAnsi="Calibri" w:cs="Calibri"/>
          <w:sz w:val="24"/>
          <w:szCs w:val="24"/>
        </w:rPr>
        <w:t xml:space="preserve"> Technická specifikace je obsažena v příloze č. 1 této smlouvy (dále jako „předmět koupě“). Zboží musí </w:t>
      </w:r>
      <w:r w:rsidRPr="5E2AAD80">
        <w:rPr>
          <w:rFonts w:ascii="Calibri" w:hAnsi="Calibri" w:cs="Calibri"/>
          <w:sz w:val="24"/>
          <w:szCs w:val="24"/>
        </w:rPr>
        <w:lastRenderedPageBreak/>
        <w:t>být nové, nepoužité, v originálním balení výrobce. Předmětem smlouvy je také doprava a montáž.</w:t>
      </w:r>
    </w:p>
    <w:p w14:paraId="7D9047C2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 xml:space="preserve">Prodávající se zavazuje dodat předmět koupě včetně dokladů nutných k užívání předmětu koupě kupujícímu v dohodnutém termínu, jakosti a provedení. </w:t>
      </w:r>
    </w:p>
    <w:p w14:paraId="231DD24B" w14:textId="66AE0C66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 xml:space="preserve">Součástí plnění podle této smlouvy </w:t>
      </w:r>
      <w:r w:rsidRPr="00C40DEB">
        <w:rPr>
          <w:rFonts w:ascii="Calibri" w:hAnsi="Calibri" w:cs="Calibri"/>
          <w:sz w:val="24"/>
          <w:szCs w:val="24"/>
        </w:rPr>
        <w:t xml:space="preserve">je </w:t>
      </w:r>
      <w:r w:rsidR="0033374F" w:rsidRPr="00C40DEB">
        <w:rPr>
          <w:rFonts w:ascii="Calibri" w:hAnsi="Calibri" w:cs="Calibri"/>
          <w:sz w:val="24"/>
          <w:szCs w:val="24"/>
        </w:rPr>
        <w:t>instalace</w:t>
      </w:r>
      <w:r w:rsidR="0033374F">
        <w:rPr>
          <w:rFonts w:ascii="Calibri" w:hAnsi="Calibri" w:cs="Calibri"/>
          <w:sz w:val="24"/>
          <w:szCs w:val="24"/>
        </w:rPr>
        <w:t xml:space="preserve"> a </w:t>
      </w:r>
      <w:r w:rsidRPr="51ABEEE5">
        <w:rPr>
          <w:rFonts w:ascii="Calibri" w:hAnsi="Calibri" w:cs="Calibri"/>
          <w:sz w:val="24"/>
          <w:szCs w:val="24"/>
        </w:rPr>
        <w:t xml:space="preserve">zaškolení obsluhy předmětu koupě. </w:t>
      </w:r>
    </w:p>
    <w:p w14:paraId="32534B12" w14:textId="47806CB1" w:rsidR="00C615B6" w:rsidRPr="0033374F" w:rsidRDefault="00C615B6" w:rsidP="0033374F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>Kupující se zavazuje za předmět koupě zaplatit kupní cenu ve výši a lhůtě sjednané touto smlouvou.</w:t>
      </w:r>
    </w:p>
    <w:p w14:paraId="620600DD" w14:textId="77777777" w:rsidR="003746B6" w:rsidRDefault="003746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073BBDE" w14:textId="0D28670C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II.</w:t>
      </w:r>
    </w:p>
    <w:p w14:paraId="32FB14AF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výlučným vlastníkem předmětu koupě a je oprávněn s předmětem koupě disponovat ve smyslu této smlouvy; na předmětu koupě neváznou žádná práva třetích osob </w:t>
      </w:r>
    </w:p>
    <w:p w14:paraId="2E433A82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>
        <w:rPr>
          <w:rFonts w:ascii="Calibri" w:hAnsi="Calibri" w:cs="Calibri"/>
        </w:rPr>
        <w:t xml:space="preserve"> </w:t>
      </w:r>
    </w:p>
    <w:p w14:paraId="6428602C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6705F847" w14:textId="0A5E2395" w:rsidR="00C615B6" w:rsidRPr="0033374F" w:rsidRDefault="00C615B6" w:rsidP="0033374F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6B12B45A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9DC48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741B60CF" w:rsidR="00C615B6" w:rsidRDefault="00C615B6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E2AAD80"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výši </w:t>
      </w:r>
      <w:r w:rsidR="0002075F">
        <w:rPr>
          <w:rFonts w:ascii="Calibri" w:hAnsi="Calibri" w:cs="Calibri"/>
          <w:sz w:val="24"/>
          <w:szCs w:val="24"/>
        </w:rPr>
        <w:t>4 822 740</w:t>
      </w:r>
      <w:r w:rsidR="00D02F62">
        <w:rPr>
          <w:rFonts w:ascii="Calibri" w:hAnsi="Calibri" w:cs="Calibri"/>
          <w:sz w:val="24"/>
          <w:szCs w:val="24"/>
        </w:rPr>
        <w:t xml:space="preserve"> </w:t>
      </w:r>
      <w:r w:rsidR="00C40DEB">
        <w:rPr>
          <w:rFonts w:ascii="Calibri" w:hAnsi="Calibri" w:cs="Calibri"/>
          <w:sz w:val="24"/>
          <w:szCs w:val="24"/>
        </w:rPr>
        <w:t xml:space="preserve">Kč </w:t>
      </w:r>
      <w:r w:rsidRPr="5E2AAD80">
        <w:rPr>
          <w:rFonts w:ascii="Calibri" w:hAnsi="Calibri" w:cs="Calibri"/>
          <w:sz w:val="24"/>
          <w:szCs w:val="24"/>
        </w:rPr>
        <w:t xml:space="preserve">(slovy: </w:t>
      </w:r>
      <w:r w:rsidR="000D3F04" w:rsidRPr="000D3F04">
        <w:rPr>
          <w:rFonts w:ascii="Calibri" w:hAnsi="Calibri" w:cs="Calibri"/>
          <w:sz w:val="24"/>
          <w:szCs w:val="24"/>
        </w:rPr>
        <w:t>čtyři miliony osm set dvacet dva tisíc sedm set čtyřicet korun českých</w:t>
      </w:r>
      <w:r w:rsidRPr="5E2AAD80">
        <w:rPr>
          <w:rFonts w:ascii="Calibri" w:hAnsi="Calibri" w:cs="Calibri"/>
          <w:sz w:val="24"/>
          <w:szCs w:val="24"/>
        </w:rPr>
        <w:t xml:space="preserve">) bez DPH s tím, že DPH bude účtována podle předpisů platných v době fakturace. </w:t>
      </w:r>
    </w:p>
    <w:p w14:paraId="578D933E" w14:textId="7777777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Faktura vystavená prodávajícím bude vystavena se splatností min. 20 dnů ode dne vystavení faktury a musí být doručena do pěti (5) dnů od vystavení kupujícímu. V případě pozdějšího doručení se splatnost faktury o tuto dobu pozdějšího doručení prodlužuje. Kupující není v prodlení se zaplacením faktury, pokud nejpozději v poslední den její splatnosti byla částka odepsána z účtu kupujícího ve prospěch účtu prodávajícího.</w:t>
      </w:r>
    </w:p>
    <w:p w14:paraId="6D569B9F" w14:textId="7777777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Faktura bude obsahovat náležitosti daňového dokladu podle zákona o DPH a náležitosti dle § 435 občanského zákoníku. Přílohou faktury bude předávací protokol o předání a převzetí předmětu koupě bez vad a nedodělků.</w:t>
      </w:r>
    </w:p>
    <w:p w14:paraId="2E9D0465" w14:textId="7777777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případě, že faktura nebude obsahovat náležitosti uvedené v této smlouvě nebo bude uvedeno bankovní spojení a číslo účtu prodávajícího v rozporu s touto smlouvou nebo v rozporu s písemným sdělením o jeho změně nebo tyto náležitosti budou uvedeny chybně, kupující fakturu vrátí prodávajícímu se žádostí o provedení opravy či o doplnění. Ode dne doručení nové, doplněné nebo opravené faktury běží nová lhůta splatnosti.</w:t>
      </w:r>
    </w:p>
    <w:p w14:paraId="1B18784A" w14:textId="77777777" w:rsidR="00C615B6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5636F983" w14:textId="77777777" w:rsidR="0033374F" w:rsidRDefault="0033374F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75AE161C" w14:textId="77777777" w:rsidR="00C60D3D" w:rsidRDefault="00C60D3D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4FB172DE" w14:textId="77777777" w:rsidR="00C60D3D" w:rsidRDefault="00C60D3D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731928DE" w14:textId="77777777" w:rsidR="00C60D3D" w:rsidRDefault="00C60D3D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IV.</w:t>
      </w:r>
    </w:p>
    <w:p w14:paraId="5D044D0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74B2C959" w:rsidR="00C615B6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E2AAD80">
        <w:rPr>
          <w:rFonts w:ascii="Calibri" w:hAnsi="Calibri" w:cs="Calibri"/>
          <w:sz w:val="24"/>
          <w:szCs w:val="24"/>
        </w:rPr>
        <w:t>Smluvní strany se dohodly, že místem dodání zboží dle této smlouvy je pracoviště</w:t>
      </w:r>
      <w:r w:rsidR="0092410A">
        <w:rPr>
          <w:rFonts w:ascii="Calibri" w:hAnsi="Calibri" w:cs="Calibri"/>
          <w:sz w:val="24"/>
          <w:szCs w:val="24"/>
        </w:rPr>
        <w:t xml:space="preserve"> XXXXXXX</w:t>
      </w:r>
      <w:r w:rsidRPr="5E2AAD80">
        <w:rPr>
          <w:rFonts w:ascii="Calibri" w:hAnsi="Calibri" w:cs="Calibri"/>
          <w:sz w:val="24"/>
          <w:szCs w:val="24"/>
        </w:rPr>
        <w:t xml:space="preserve"> </w:t>
      </w:r>
      <w:r w:rsidR="0007199D">
        <w:rPr>
          <w:rFonts w:ascii="Calibri" w:hAnsi="Calibri" w:cs="Calibri"/>
          <w:sz w:val="24"/>
          <w:szCs w:val="24"/>
        </w:rPr>
        <w:t>XXXXXXXXXXXXXXXXXXXX</w:t>
      </w:r>
      <w:r w:rsidR="74E64D13" w:rsidRPr="5E2AAD80">
        <w:rPr>
          <w:rFonts w:ascii="Calibri" w:hAnsi="Calibri" w:cs="Calibri"/>
          <w:sz w:val="24"/>
          <w:szCs w:val="24"/>
        </w:rPr>
        <w:t xml:space="preserve"> </w:t>
      </w:r>
      <w:r w:rsidRPr="5E2AAD80">
        <w:rPr>
          <w:rFonts w:ascii="Calibri" w:hAnsi="Calibri" w:cs="Calibri"/>
          <w:sz w:val="24"/>
          <w:szCs w:val="24"/>
        </w:rPr>
        <w:t>(dále jen „místo dodání“).</w:t>
      </w:r>
    </w:p>
    <w:p w14:paraId="74F15989" w14:textId="77777777" w:rsidR="00BB0891" w:rsidRDefault="00C615B6" w:rsidP="003746B6">
      <w:pPr>
        <w:pStyle w:val="Odstavecseseznamem"/>
        <w:numPr>
          <w:ilvl w:val="0"/>
          <w:numId w:val="8"/>
        </w:numPr>
        <w:suppressAutoHyphens/>
        <w:spacing w:after="160" w:line="259" w:lineRule="auto"/>
        <w:ind w:left="357" w:hanging="357"/>
        <w:contextualSpacing/>
        <w:jc w:val="both"/>
        <w:rPr>
          <w:rFonts w:ascii="Calibri" w:hAnsi="Calibri" w:cs="Calibri"/>
          <w:sz w:val="24"/>
          <w:szCs w:val="24"/>
        </w:rPr>
      </w:pPr>
      <w:r w:rsidRPr="00BB0891">
        <w:rPr>
          <w:rFonts w:ascii="Calibri" w:hAnsi="Calibri" w:cs="Calibri"/>
          <w:sz w:val="24"/>
          <w:szCs w:val="24"/>
        </w:rPr>
        <w:t>V ceně předmětu koupě je zahrnuto jeho zprovoznění a zaškolení obsluhy.</w:t>
      </w:r>
    </w:p>
    <w:p w14:paraId="0F376C33" w14:textId="122372A2" w:rsidR="00C615B6" w:rsidRPr="00BB0891" w:rsidRDefault="00C615B6" w:rsidP="003746B6">
      <w:pPr>
        <w:pStyle w:val="Odstavecseseznamem"/>
        <w:numPr>
          <w:ilvl w:val="0"/>
          <w:numId w:val="8"/>
        </w:numPr>
        <w:suppressAutoHyphens/>
        <w:spacing w:after="160" w:line="259" w:lineRule="auto"/>
        <w:ind w:left="357" w:hanging="357"/>
        <w:contextualSpacing/>
        <w:jc w:val="both"/>
        <w:rPr>
          <w:rFonts w:ascii="Calibri" w:hAnsi="Calibri" w:cs="Calibri"/>
          <w:sz w:val="24"/>
          <w:szCs w:val="24"/>
        </w:rPr>
      </w:pPr>
      <w:r w:rsidRPr="00BB0891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</w:t>
      </w:r>
      <w:proofErr w:type="gramStart"/>
      <w:r w:rsidRPr="00BB0891">
        <w:rPr>
          <w:rFonts w:ascii="Calibri" w:hAnsi="Calibri" w:cs="Calibri"/>
          <w:sz w:val="24"/>
          <w:szCs w:val="24"/>
        </w:rPr>
        <w:t>sepíší</w:t>
      </w:r>
      <w:proofErr w:type="gramEnd"/>
      <w:r w:rsidRPr="00BB0891">
        <w:rPr>
          <w:rFonts w:ascii="Calibri" w:hAnsi="Calibri" w:cs="Calibri"/>
          <w:sz w:val="24"/>
          <w:szCs w:val="24"/>
        </w:rPr>
        <w:t xml:space="preserve"> smluvní strany předávací protokol, případně dodací list, který </w:t>
      </w:r>
      <w:proofErr w:type="gramStart"/>
      <w:r w:rsidRPr="00BB0891">
        <w:rPr>
          <w:rFonts w:ascii="Calibri" w:hAnsi="Calibri" w:cs="Calibri"/>
          <w:sz w:val="24"/>
          <w:szCs w:val="24"/>
        </w:rPr>
        <w:t>podepíší</w:t>
      </w:r>
      <w:proofErr w:type="gramEnd"/>
      <w:r w:rsidRPr="00BB0891">
        <w:rPr>
          <w:rFonts w:ascii="Calibri" w:hAnsi="Calibri" w:cs="Calibri"/>
          <w:sz w:val="24"/>
          <w:szCs w:val="24"/>
        </w:rPr>
        <w:t xml:space="preserve"> odpovědní zástupci prodávajícího i kupujícího, případně prodávajícím k tomu pověřený dopravce. </w:t>
      </w:r>
    </w:p>
    <w:p w14:paraId="5C3E992D" w14:textId="77777777" w:rsidR="00C615B6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Kupující je povinen předmět koupě prohlédnout nebo zajistit jeho prohlídku při předání předmětu koupě a zaznamenat veškeré případné zjistitelné vady v předávacím protokolu, případně na dodacím listu. Prodávající je povinen případné vady (jde-li o vady předmětu koupě) uvedené v předávacím protokolu odstranit bez zbytečného odkladu. </w:t>
      </w:r>
    </w:p>
    <w:p w14:paraId="68872A1D" w14:textId="77777777" w:rsidR="00C615B6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Okamžikem předání a převzetí předmětu koupě kupujícím bez vad a nedodělků přechází na kupujícího nebezpečí škody na předmětu koupě.</w:t>
      </w:r>
    </w:p>
    <w:p w14:paraId="2467816A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1DC820C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V.</w:t>
      </w:r>
    </w:p>
    <w:p w14:paraId="081C04C3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Termín plnění</w:t>
      </w:r>
    </w:p>
    <w:p w14:paraId="35EF536E" w14:textId="571CCCDE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</w:t>
      </w:r>
      <w:r w:rsidR="00F2662F">
        <w:rPr>
          <w:rFonts w:ascii="Calibri" w:hAnsi="Calibri" w:cs="Calibri"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>.1</w:t>
      </w:r>
      <w:r w:rsidR="00AC3AA2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.202</w:t>
      </w:r>
      <w:r w:rsidR="00071150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9606B58" w14:textId="77777777" w:rsidR="00C615B6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302D447" w14:textId="77777777" w:rsidR="00C615B6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věci.</w:t>
      </w:r>
    </w:p>
    <w:p w14:paraId="52992597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63DBC1E7" w14:textId="238E52A3" w:rsidR="17E592A3" w:rsidRDefault="17E592A3" w:rsidP="17E592A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9C2A03" w14:textId="36634018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3CF86B4"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77777777" w:rsidR="00C615B6" w:rsidRDefault="00C615B6">
      <w:pPr>
        <w:pStyle w:val="Odstavecseseznamem"/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 protokolu o předání a převzetí věci.</w:t>
      </w:r>
    </w:p>
    <w:p w14:paraId="7949E6DA" w14:textId="46EF7B6F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1ABEEE5">
        <w:rPr>
          <w:rFonts w:ascii="Calibri" w:hAnsi="Calibri" w:cs="Calibri"/>
          <w:sz w:val="24"/>
          <w:szCs w:val="24"/>
        </w:rPr>
        <w:t xml:space="preserve">Prodávající poskytuje záruku za jakost předmětu koupě v délce min. 36 měsíců od okamžiku dodání předmětu koupě. </w:t>
      </w:r>
    </w:p>
    <w:p w14:paraId="232A440A" w14:textId="7777777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4315D23A" w:rsidR="00C615B6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3CF86B4"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</w:t>
      </w:r>
      <w:r w:rsidR="6FD89C5D" w:rsidRPr="03CF86B4">
        <w:rPr>
          <w:rFonts w:ascii="Calibri" w:hAnsi="Calibri" w:cs="Calibri"/>
        </w:rPr>
        <w:t>.</w:t>
      </w:r>
    </w:p>
    <w:p w14:paraId="5C84F146" w14:textId="7777777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7777777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Kupující je povinen oznámit prodávajícímu výskyt vady předmětu koupě vždy bez zbytečného dokladu poté, co se o ní dozvěděl.</w:t>
      </w:r>
    </w:p>
    <w:p w14:paraId="0647F486" w14:textId="6EDBABE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117C5C20" w14:textId="77777777" w:rsidR="00C615B6" w:rsidRDefault="00C615B6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se zavazuje uzavřít s kupujícím před uplynutím záruční doby pozáruční servisní smlouvu na dobu minimálně dalších tří let po uplynutí záruky.</w:t>
      </w:r>
    </w:p>
    <w:p w14:paraId="6AE6E7E0" w14:textId="77777777" w:rsidR="00C615B6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286E585D" w14:textId="707139D3" w:rsidR="17E592A3" w:rsidRDefault="17E592A3" w:rsidP="17E592A3">
      <w:pPr>
        <w:pStyle w:val="uroven1-nadpisclankuI"/>
        <w:numPr>
          <w:ilvl w:val="0"/>
          <w:numId w:val="0"/>
        </w:numPr>
        <w:spacing w:before="0" w:after="0"/>
        <w:rPr>
          <w:rFonts w:ascii="Calibri" w:hAnsi="Calibri" w:cs="Calibri"/>
        </w:rPr>
      </w:pPr>
    </w:p>
    <w:p w14:paraId="375A7BA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VIII.</w:t>
      </w:r>
    </w:p>
    <w:p w14:paraId="25478D11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Smluvní pokuty</w:t>
      </w:r>
    </w:p>
    <w:p w14:paraId="44FB8A42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z kupní ceny bez DPH za každý, byť jen započatý, den prodlení.</w:t>
      </w:r>
    </w:p>
    <w:p w14:paraId="00F3F1F4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0815A51C" w14:textId="150AE23D" w:rsidR="00C615B6" w:rsidRDefault="00C615B6" w:rsidP="2E06B282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</w:t>
      </w:r>
    </w:p>
    <w:p w14:paraId="2DC269FD" w14:textId="77777777" w:rsidR="00A81E36" w:rsidRDefault="00A81E36" w:rsidP="00A81E36">
      <w:pPr>
        <w:pStyle w:val="Odstavecseseznamem"/>
        <w:suppressAutoHyphens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522B7D54" w14:textId="77777777" w:rsidR="00D46108" w:rsidRDefault="00D46108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2E5A9EC4" w14:textId="42304DF5" w:rsidR="00C615B6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77777777" w:rsidR="00C615B6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porušení povinnosti prodávajícím dodat předmět koupě ve lhůtě sjednané v této smlouvě.</w:t>
      </w:r>
    </w:p>
    <w:p w14:paraId="6A9906D3" w14:textId="77777777" w:rsidR="00C615B6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má právo odstoupit od této smlouvy v případě, že kupující nezaplatí ve sjednané lhůtě kupní cenu a toto porušení své povinnosti nenapraví ani do deseti (10) dnů ode dne doručení písemné výzvy prodávajícího kupujícímu k nápravě.</w:t>
      </w:r>
    </w:p>
    <w:p w14:paraId="3D7DB4FC" w14:textId="671D8F84" w:rsidR="00C615B6" w:rsidRDefault="00C615B6" w:rsidP="2E06B282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02EA8390" w14:textId="671D8F84" w:rsidR="2E06B282" w:rsidRDefault="2E06B282" w:rsidP="2E06B282">
      <w:pPr>
        <w:jc w:val="both"/>
        <w:rPr>
          <w:rFonts w:ascii="Calibri" w:hAnsi="Calibri" w:cs="Calibri"/>
        </w:rPr>
      </w:pPr>
    </w:p>
    <w:p w14:paraId="1A94F1C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X.</w:t>
      </w:r>
    </w:p>
    <w:p w14:paraId="5F0D1F89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0AD81DAC" w14:textId="3724DE88" w:rsidR="00C615B6" w:rsidRDefault="00C615B6" w:rsidP="0033374F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22E8D411" w14:textId="6A9837A3" w:rsidR="00726DFE" w:rsidRDefault="00726DFE" w:rsidP="0033374F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č. 2 </w:t>
      </w:r>
      <w:r w:rsidR="0076430B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Produktový list</w:t>
      </w:r>
    </w:p>
    <w:p w14:paraId="1C51BB94" w14:textId="25180D69" w:rsidR="03CF86B4" w:rsidRDefault="03CF86B4" w:rsidP="03CF86B4">
      <w:pPr>
        <w:rPr>
          <w:rFonts w:ascii="Calibri" w:hAnsi="Calibri" w:cs="Calibri"/>
          <w:sz w:val="24"/>
          <w:szCs w:val="24"/>
        </w:rPr>
      </w:pPr>
    </w:p>
    <w:p w14:paraId="10A9AEAB" w14:textId="13E0D905" w:rsidR="03CF86B4" w:rsidRDefault="03CF86B4" w:rsidP="03CF86B4">
      <w:pPr>
        <w:rPr>
          <w:rFonts w:ascii="Calibri" w:hAnsi="Calibri" w:cs="Calibri"/>
          <w:sz w:val="24"/>
          <w:szCs w:val="24"/>
        </w:rPr>
      </w:pPr>
    </w:p>
    <w:p w14:paraId="5DA527C4" w14:textId="6BEEB7D7" w:rsidR="00C615B6" w:rsidRPr="00BB0891" w:rsidRDefault="00C615B6">
      <w:pPr>
        <w:autoSpaceDE w:val="0"/>
        <w:autoSpaceDN w:val="0"/>
        <w:adjustRightInd w:val="0"/>
      </w:pPr>
      <w:r w:rsidRPr="2E06B282">
        <w:rPr>
          <w:rFonts w:ascii="Calibri" w:hAnsi="Calibri" w:cs="Calibri"/>
          <w:sz w:val="24"/>
          <w:szCs w:val="24"/>
        </w:rPr>
        <w:t>Kupující: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E06B282">
        <w:rPr>
          <w:rFonts w:ascii="Calibri" w:hAnsi="Calibri" w:cs="Calibri"/>
          <w:sz w:val="24"/>
          <w:szCs w:val="24"/>
        </w:rPr>
        <w:t>Prodávající</w:t>
      </w: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56A2EEE" w14:textId="77777777" w:rsidR="00BB0891" w:rsidRDefault="00BB0891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AF7955" w14:textId="77777777" w:rsidR="00646B9E" w:rsidRDefault="00646B9E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56E9F11" w14:textId="77777777" w:rsidR="00646B9E" w:rsidRDefault="00646B9E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4261ED8" w14:textId="77777777" w:rsidR="00BB0891" w:rsidRDefault="00BB0891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2F5F52" w14:textId="45973056" w:rsidR="00C615B6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2E06B282">
        <w:rPr>
          <w:rFonts w:ascii="Calibri" w:hAnsi="Calibri" w:cs="Calibri"/>
          <w:sz w:val="24"/>
          <w:szCs w:val="24"/>
        </w:rPr>
        <w:t>.................................................</w:t>
      </w:r>
      <w:r>
        <w:tab/>
      </w:r>
      <w:r>
        <w:tab/>
      </w:r>
      <w:r>
        <w:tab/>
      </w:r>
      <w:r w:rsidRPr="2E06B282">
        <w:rPr>
          <w:rFonts w:ascii="Calibri" w:hAnsi="Calibri" w:cs="Calibri"/>
          <w:sz w:val="24"/>
          <w:szCs w:val="24"/>
        </w:rPr>
        <w:t>............................................</w:t>
      </w:r>
    </w:p>
    <w:p w14:paraId="46405F93" w14:textId="5ECE0575" w:rsidR="004236F4" w:rsidRDefault="005E494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PhDr. Michal Lukeš, Ph.D.                                                Mgr. Felix Holáň, jednatel</w:t>
      </w:r>
    </w:p>
    <w:p w14:paraId="43556DD0" w14:textId="164162AB" w:rsidR="005E4946" w:rsidRDefault="005E494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generální ředitel Národního muzea                               Měřící technika Morava s.r.o. </w:t>
      </w:r>
    </w:p>
    <w:p w14:paraId="32AD5D84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9005BEC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3885F0A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6A3F56A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331D1FB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4A792C9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388CB0A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8649C0F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7985415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974981C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0290002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2045C4D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7847D05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0B0DAF5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AF99784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C5AE718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79F0364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54EED6B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4C97CC2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98A280E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B639518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CC68557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487E30E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0F5D2C4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BC9CD6F" w14:textId="77777777" w:rsidR="004236F4" w:rsidRDefault="004236F4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26CE6EE" w14:textId="1DB37EF9" w:rsidR="004236F4" w:rsidRPr="004236F4" w:rsidRDefault="004236F4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236F4">
        <w:rPr>
          <w:rFonts w:asciiTheme="minorHAnsi" w:hAnsiTheme="minorHAnsi" w:cstheme="minorHAnsi"/>
          <w:sz w:val="24"/>
          <w:szCs w:val="24"/>
        </w:rPr>
        <w:t xml:space="preserve">Příloha č. 1 – Technická specifikace předmětu plnění </w:t>
      </w:r>
    </w:p>
    <w:p w14:paraId="211B8525" w14:textId="77777777" w:rsidR="004236F4" w:rsidRPr="004236F4" w:rsidRDefault="004236F4" w:rsidP="2E06B28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3CD9246" w14:textId="77777777" w:rsidR="004236F4" w:rsidRPr="004236F4" w:rsidRDefault="004236F4" w:rsidP="004236F4">
      <w:pPr>
        <w:spacing w:before="120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4236F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Technická specifikace Velkoplošného </w:t>
      </w:r>
      <w:r w:rsidRPr="004236F4">
        <w:rPr>
          <w:rFonts w:asciiTheme="minorHAnsi" w:eastAsia="Symbol" w:hAnsiTheme="minorHAnsi" w:cstheme="minorHAnsi"/>
          <w:b/>
          <w:bCs/>
          <w:iCs/>
          <w:sz w:val="24"/>
          <w:szCs w:val="24"/>
        </w:rPr>
        <w:t>m</w:t>
      </w:r>
      <w:r w:rsidRPr="004236F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-XRF skeneru </w:t>
      </w:r>
    </w:p>
    <w:p w14:paraId="10716F6F" w14:textId="77777777" w:rsidR="004236F4" w:rsidRPr="004236F4" w:rsidRDefault="004236F4" w:rsidP="004236F4">
      <w:pPr>
        <w:spacing w:before="12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ACCAD4B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Excitace: rentgenová trubice, </w:t>
      </w:r>
      <w:proofErr w:type="gramStart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10 – 50</w:t>
      </w:r>
      <w:proofErr w:type="gramEnd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 </w:t>
      </w:r>
      <w:proofErr w:type="spellStart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kV</w:t>
      </w:r>
      <w:proofErr w:type="spellEnd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, </w:t>
      </w:r>
      <w:proofErr w:type="gramStart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5 – 200</w:t>
      </w:r>
      <w:proofErr w:type="gramEnd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 </w:t>
      </w:r>
      <w:proofErr w:type="spellStart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μA</w:t>
      </w:r>
      <w:proofErr w:type="spellEnd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, 10 W</w:t>
      </w:r>
    </w:p>
    <w:p w14:paraId="49210A62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Čtyři softwarově volitelné rentgenové filtry</w:t>
      </w:r>
    </w:p>
    <w:p w14:paraId="1398406C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Detekce: Velkoplošný 50 mm² SDD s technologií CUBE, energetické rozlišení &lt;140 eV s počtem vstupů rychlostí až 500 000 </w:t>
      </w:r>
      <w:proofErr w:type="spellStart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cps</w:t>
      </w:r>
      <w:proofErr w:type="spellEnd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 </w:t>
      </w:r>
    </w:p>
    <w:p w14:paraId="52EC3B83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Bezkontaktní měření (měřící vzdálenost 1 cm od povrchu objektu)</w:t>
      </w:r>
    </w:p>
    <w:p w14:paraId="4BB3E6FB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Elektronika: digitální pulzní procesor s vysokým rozlišením a výkonem četnosti, integrovaný PC pro místní a dálkové ovládání přístroje </w:t>
      </w:r>
    </w:p>
    <w:p w14:paraId="4FB11595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Tři softwarově volitelné kolimátory o průměru 0,5 mm, 1 mm a 2 mm</w:t>
      </w:r>
    </w:p>
    <w:p w14:paraId="5795CC45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Rozsah analýzy: Mg (Z 12) - U (Z 92</w:t>
      </w:r>
      <w:proofErr w:type="gramStart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) ,</w:t>
      </w:r>
      <w:proofErr w:type="gramEnd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 He proplachování</w:t>
      </w:r>
    </w:p>
    <w:p w14:paraId="28CA566C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Integrovaná mikroskopická videokamera pro zvětšený obraz analyzované oblasti, zorné pole 10 x 10 mm</w:t>
      </w: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  <w:vertAlign w:val="superscript"/>
        </w:rPr>
        <w:t>2</w:t>
      </w:r>
    </w:p>
    <w:p w14:paraId="75624187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Externí USB HD videokamera pro snímky s velkým zorným polem</w:t>
      </w:r>
    </w:p>
    <w:p w14:paraId="5578BF25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Axiální a fokální laser pro přesné nastavení bodu analýzy</w:t>
      </w:r>
    </w:p>
    <w:p w14:paraId="1449C5E3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Motorizovaný XYZ rám s min. rozsahem skenování 600 x 450 x 75 mm s rychlostí min. 42 mm/s</w:t>
      </w:r>
    </w:p>
    <w:p w14:paraId="6D3947F7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Naklápěcí vozík mezi -20° a +90°, do výšky min. 220 cm </w:t>
      </w:r>
    </w:p>
    <w:p w14:paraId="498AB8E7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Sofistikovaný software zahrnující ovládání přístroje, sběr dat, vyhodnocení a prezentaci dat a generování zpráv v jednom intuitivním uživatelském rozhraní </w:t>
      </w:r>
    </w:p>
    <w:p w14:paraId="69E45E97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Analýza: Spektrální </w:t>
      </w:r>
      <w:proofErr w:type="spellStart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dekonvoluce</w:t>
      </w:r>
      <w:proofErr w:type="spellEnd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 pro kvalitativní analýzu a </w:t>
      </w:r>
      <w:proofErr w:type="spellStart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bezstandardní</w:t>
      </w:r>
      <w:proofErr w:type="spellEnd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 FP pro </w:t>
      </w:r>
      <w:proofErr w:type="spellStart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semikvantitativní</w:t>
      </w:r>
      <w:proofErr w:type="spellEnd"/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 analýzu </w:t>
      </w:r>
    </w:p>
    <w:p w14:paraId="790DBD8A" w14:textId="77777777" w:rsidR="004236F4" w:rsidRPr="004236F4" w:rsidRDefault="004236F4" w:rsidP="004236F4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4236F4">
        <w:rPr>
          <w:rStyle w:val="rynqvb"/>
          <w:rFonts w:asciiTheme="minorHAnsi" w:eastAsiaTheme="majorEastAsia" w:hAnsiTheme="minorHAnsi" w:cstheme="minorHAnsi"/>
          <w:sz w:val="24"/>
          <w:szCs w:val="24"/>
        </w:rPr>
        <w:t>Rozměry (š. x h. x v.) a hmotnost: měřicí hlava – max. 280 x 150 x 150 mm - 3 kg, rám XYZ – min. 950 x 250 x 750 mm - 15 kg, vozík – min. 1200 x 610 x 900 mm - 50 kg</w:t>
      </w:r>
    </w:p>
    <w:p w14:paraId="1CC519E8" w14:textId="458C9E7B" w:rsidR="00C44CCA" w:rsidRPr="00B375CA" w:rsidRDefault="004236F4" w:rsidP="00C44CCA">
      <w:pPr>
        <w:pStyle w:val="Odstavecseseznamem"/>
        <w:numPr>
          <w:ilvl w:val="0"/>
          <w:numId w:val="18"/>
        </w:num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 w:rsidRPr="00B375CA">
        <w:rPr>
          <w:rStyle w:val="rynqvb"/>
          <w:rFonts w:asciiTheme="minorHAnsi" w:eastAsiaTheme="majorEastAsia" w:hAnsiTheme="minorHAnsi" w:cstheme="minorHAnsi"/>
          <w:sz w:val="24"/>
          <w:szCs w:val="24"/>
        </w:rPr>
        <w:t xml:space="preserve">Napájení: 110/230 V ± </w:t>
      </w:r>
      <w:proofErr w:type="gramStart"/>
      <w:r w:rsidRPr="00B375CA">
        <w:rPr>
          <w:rStyle w:val="rynqvb"/>
          <w:rFonts w:asciiTheme="minorHAnsi" w:eastAsiaTheme="majorEastAsia" w:hAnsiTheme="minorHAnsi" w:cstheme="minorHAnsi"/>
          <w:sz w:val="24"/>
          <w:szCs w:val="24"/>
        </w:rPr>
        <w:t>10%</w:t>
      </w:r>
      <w:proofErr w:type="gramEnd"/>
      <w:r w:rsidRPr="00B375CA">
        <w:rPr>
          <w:rStyle w:val="rynqvb"/>
          <w:rFonts w:asciiTheme="minorHAnsi" w:eastAsiaTheme="majorEastAsia" w:hAnsiTheme="minorHAnsi" w:cstheme="minorHAnsi"/>
          <w:sz w:val="24"/>
          <w:szCs w:val="24"/>
        </w:rPr>
        <w:t>, 50/60 Hz, max.</w:t>
      </w:r>
      <w:r w:rsidRPr="00B375CA">
        <w:rPr>
          <w:rStyle w:val="hwtze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B375CA">
        <w:rPr>
          <w:rStyle w:val="rynqvb"/>
          <w:rFonts w:asciiTheme="minorHAnsi" w:eastAsiaTheme="majorEastAsia" w:hAnsiTheme="minorHAnsi" w:cstheme="minorHAnsi"/>
          <w:sz w:val="24"/>
          <w:szCs w:val="24"/>
        </w:rPr>
        <w:t>příkon 250 W</w:t>
      </w:r>
    </w:p>
    <w:p w14:paraId="4C135470" w14:textId="77777777" w:rsidR="00C44CCA" w:rsidRDefault="00C44CCA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692EC3FF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2BF04B84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28F5C8EE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025A5586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4739C223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70BDED66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3656FACB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49FBE96F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409DDBCC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173CB0AB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065F7D18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20673B5F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20F7D73D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7795CEC3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697999D1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4D3219A4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  <w:sectPr w:rsidR="00B87972" w:rsidSect="00950637">
          <w:headerReference w:type="default" r:id="rId11"/>
          <w:footerReference w:type="default" r:id="rId12"/>
          <w:pgSz w:w="11907" w:h="16840" w:code="9"/>
          <w:pgMar w:top="1417" w:right="1417" w:bottom="1417" w:left="1417" w:header="142" w:footer="454" w:gutter="0"/>
          <w:paperSrc w:first="258" w:other="258"/>
          <w:cols w:space="708"/>
          <w:docGrid w:linePitch="272"/>
        </w:sectPr>
      </w:pPr>
    </w:p>
    <w:p w14:paraId="160E8B7D" w14:textId="77777777" w:rsidR="00B87972" w:rsidRDefault="00B87972" w:rsidP="00B87972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  <w:r>
        <w:rPr>
          <w:rStyle w:val="rynqvb"/>
          <w:rFonts w:asciiTheme="minorHAnsi" w:eastAsiaTheme="majorEastAsia" w:hAnsiTheme="minorHAnsi" w:cstheme="minorHAnsi"/>
          <w:sz w:val="24"/>
          <w:szCs w:val="24"/>
        </w:rPr>
        <w:lastRenderedPageBreak/>
        <w:t xml:space="preserve">Příloha č. 2 – Položkový rozpočet </w:t>
      </w:r>
    </w:p>
    <w:p w14:paraId="4709E4E5" w14:textId="77777777" w:rsidR="00B87972" w:rsidRPr="00D73095" w:rsidRDefault="00B87972" w:rsidP="00B87972">
      <w:pPr>
        <w:autoSpaceDN w:val="0"/>
        <w:contextualSpacing/>
        <w:jc w:val="both"/>
        <w:rPr>
          <w:rFonts w:asciiTheme="minorHAnsi" w:eastAsiaTheme="majorEastAsia" w:hAnsiTheme="minorHAnsi" w:cstheme="minorHAnsi"/>
          <w:sz w:val="24"/>
          <w:szCs w:val="24"/>
        </w:rPr>
      </w:pPr>
    </w:p>
    <w:p w14:paraId="619EFEA7" w14:textId="77777777" w:rsidR="00B87972" w:rsidRPr="00D73095" w:rsidRDefault="00B87972" w:rsidP="00B87972">
      <w:pPr>
        <w:autoSpaceDN w:val="0"/>
        <w:contextualSpacing/>
        <w:jc w:val="both"/>
        <w:rPr>
          <w:rFonts w:asciiTheme="minorHAnsi" w:eastAsiaTheme="majorEastAsia" w:hAnsiTheme="minorHAnsi" w:cstheme="minorHAnsi"/>
          <w:sz w:val="24"/>
          <w:szCs w:val="24"/>
        </w:rPr>
      </w:pPr>
    </w:p>
    <w:tbl>
      <w:tblPr>
        <w:tblW w:w="1275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2693"/>
        <w:gridCol w:w="992"/>
        <w:gridCol w:w="1701"/>
        <w:gridCol w:w="1985"/>
      </w:tblGrid>
      <w:tr w:rsidR="00B87972" w:rsidRPr="00D73095" w14:paraId="1DED0461" w14:textId="77777777" w:rsidTr="00844308">
        <w:trPr>
          <w:trHeight w:val="94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483A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Popis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jednotlivých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položek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dodávky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A0B4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Produktové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označení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E5BD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Počet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8762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Cena za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kus</w:t>
            </w:r>
            <w:proofErr w:type="spellEnd"/>
          </w:p>
          <w:p w14:paraId="7648A107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bez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6EFF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celkem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bez DPH</w:t>
            </w:r>
          </w:p>
        </w:tc>
      </w:tr>
      <w:tr w:rsidR="00B87972" w:rsidRPr="00D73095" w14:paraId="4C58C5D6" w14:textId="77777777" w:rsidTr="00844308">
        <w:trPr>
          <w:trHeight w:val="36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CB9D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Velkoplošný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mikro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rentgen-fluorescenční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skener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1FB9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CRONO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E64E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1FF8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4 677 740,00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3A93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4 677 740,00</w:t>
            </w:r>
          </w:p>
        </w:tc>
      </w:tr>
      <w:tr w:rsidR="00B87972" w:rsidRPr="00D73095" w14:paraId="523C4BB3" w14:textId="77777777" w:rsidTr="00844308">
        <w:trPr>
          <w:trHeight w:val="36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7192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Motorizovaný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XYZ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rám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A4D0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XYZ motorized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90EF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04B4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     </w:t>
            </w: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55 000,00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4C1A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      </w:t>
            </w: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55 000,00</w:t>
            </w:r>
          </w:p>
        </w:tc>
      </w:tr>
      <w:tr w:rsidR="00B87972" w:rsidRPr="00D73095" w14:paraId="59407273" w14:textId="77777777" w:rsidTr="00844308">
        <w:trPr>
          <w:trHeight w:val="36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EC17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Naklápěcí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vozík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14EE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Adjustable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troley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E1EE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176B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     </w:t>
            </w: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55 000,00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20F1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      </w:t>
            </w: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55 000,00</w:t>
            </w:r>
          </w:p>
        </w:tc>
      </w:tr>
      <w:tr w:rsidR="00B87972" w:rsidRPr="00D73095" w14:paraId="21034B26" w14:textId="77777777" w:rsidTr="00844308">
        <w:trPr>
          <w:trHeight w:val="36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88C3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Software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694C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ESPRIT Reveal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54E3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5EDB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     </w:t>
            </w: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35 000,00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E1F5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      </w:t>
            </w: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35 000,00</w:t>
            </w:r>
          </w:p>
        </w:tc>
      </w:tr>
      <w:tr w:rsidR="00B87972" w:rsidRPr="00D73095" w14:paraId="625B3984" w14:textId="77777777" w:rsidTr="00844308">
        <w:trPr>
          <w:trHeight w:val="3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ADCD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Celková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nabídková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cena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>Kč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en-US"/>
              </w:rPr>
              <w:t xml:space="preserve"> bez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3F66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4 822 740,00</w:t>
            </w:r>
          </w:p>
        </w:tc>
      </w:tr>
      <w:tr w:rsidR="00B87972" w:rsidRPr="00D73095" w14:paraId="56B21CC7" w14:textId="77777777" w:rsidTr="00844308">
        <w:trPr>
          <w:trHeight w:val="3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7AC2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Celková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nabídková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cena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Kč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včetně</w:t>
            </w:r>
            <w:proofErr w:type="spellEnd"/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 xml:space="preserve">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3D57" w14:textId="77777777" w:rsidR="00B87972" w:rsidRPr="00D73095" w:rsidRDefault="00B87972" w:rsidP="00844308">
            <w:pPr>
              <w:autoSpaceDN w:val="0"/>
              <w:contextualSpacing/>
              <w:jc w:val="both"/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</w:pPr>
            <w:r w:rsidRPr="00D73095">
              <w:rPr>
                <w:rFonts w:asciiTheme="minorHAnsi" w:eastAsiaTheme="majorEastAsia" w:hAnsiTheme="minorHAnsi" w:cstheme="minorHAnsi"/>
                <w:sz w:val="24"/>
                <w:szCs w:val="24"/>
                <w:lang w:val="en-US"/>
              </w:rPr>
              <w:t>5 835 515,40</w:t>
            </w:r>
          </w:p>
        </w:tc>
      </w:tr>
    </w:tbl>
    <w:p w14:paraId="0A06E6F9" w14:textId="77777777" w:rsidR="00B87972" w:rsidRPr="00D73095" w:rsidRDefault="00B87972" w:rsidP="00B87972">
      <w:pPr>
        <w:autoSpaceDN w:val="0"/>
        <w:contextualSpacing/>
        <w:jc w:val="both"/>
        <w:rPr>
          <w:rFonts w:asciiTheme="minorHAnsi" w:eastAsiaTheme="majorEastAsia" w:hAnsiTheme="minorHAnsi" w:cstheme="minorHAnsi"/>
          <w:sz w:val="24"/>
          <w:szCs w:val="24"/>
        </w:rPr>
      </w:pPr>
    </w:p>
    <w:p w14:paraId="45D7886B" w14:textId="77777777" w:rsidR="00B87972" w:rsidRDefault="00B87972" w:rsidP="00B87972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78993FEB" w14:textId="77777777" w:rsidR="00B87972" w:rsidRPr="002A2696" w:rsidRDefault="00B87972" w:rsidP="00B87972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47957EE6" w14:textId="77777777" w:rsidR="00B87972" w:rsidRDefault="00B87972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054A6FEE" w14:textId="77777777" w:rsidR="00C44CCA" w:rsidRDefault="00C44CCA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13B012FC" w14:textId="77777777" w:rsidR="00C44CCA" w:rsidRDefault="00C44CCA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5E88E754" w14:textId="77777777" w:rsidR="00C44CCA" w:rsidRDefault="00C44CCA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60033817" w14:textId="77777777" w:rsidR="00C44CCA" w:rsidRDefault="00C44CCA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67FE4EA0" w14:textId="77777777" w:rsidR="00C44CCA" w:rsidRDefault="00C44CCA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094DA193" w14:textId="77777777" w:rsidR="00C44CCA" w:rsidRDefault="00C44CCA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5D4F2C5B" w14:textId="77777777" w:rsidR="00C44CCA" w:rsidRDefault="00C44CCA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6CE777B6" w14:textId="77777777" w:rsidR="00C44CCA" w:rsidRDefault="00C44CCA" w:rsidP="00C44C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77299983" w14:textId="77777777" w:rsidR="00B90A0C" w:rsidRDefault="00B90A0C" w:rsidP="00B90A0C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11F32A95" w14:textId="77777777" w:rsidR="00B90A0C" w:rsidRPr="002A2696" w:rsidRDefault="00B90A0C" w:rsidP="00B90A0C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3B5D2A73" w14:textId="77777777" w:rsidR="00B375CA" w:rsidRDefault="00B375CA" w:rsidP="00B375CA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16AF9A22" w14:textId="77777777" w:rsidR="002A2696" w:rsidRDefault="002A2696" w:rsidP="002A2696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719EC56E" w14:textId="77777777" w:rsidR="002A2696" w:rsidRDefault="002A2696" w:rsidP="002A2696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p w14:paraId="3E5629E7" w14:textId="77777777" w:rsidR="002A2696" w:rsidRDefault="002A2696" w:rsidP="002A2696">
      <w:pPr>
        <w:autoSpaceDN w:val="0"/>
        <w:contextualSpacing/>
        <w:jc w:val="both"/>
        <w:rPr>
          <w:rStyle w:val="rynqvb"/>
          <w:rFonts w:asciiTheme="minorHAnsi" w:eastAsiaTheme="majorEastAsia" w:hAnsiTheme="minorHAnsi" w:cstheme="minorHAnsi"/>
          <w:sz w:val="24"/>
          <w:szCs w:val="24"/>
        </w:rPr>
      </w:pPr>
    </w:p>
    <w:sectPr w:rsidR="002A2696" w:rsidSect="00B87972">
      <w:pgSz w:w="16840" w:h="11907" w:orient="landscape" w:code="9"/>
      <w:pgMar w:top="1418" w:right="1418" w:bottom="1418" w:left="1418" w:header="142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10FB" w14:textId="77777777" w:rsidR="00255F0B" w:rsidRDefault="00255F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84028A" w14:textId="77777777" w:rsidR="00255F0B" w:rsidRDefault="00255F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 w:rsidR="00437B9C">
      <w:rPr>
        <w:noProof/>
      </w:rPr>
      <w:t>2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D9FC" w14:textId="77777777" w:rsidR="00255F0B" w:rsidRDefault="00255F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73AE47" w14:textId="77777777" w:rsidR="00255F0B" w:rsidRDefault="00255F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B226" w14:textId="77777777" w:rsidR="00C615B6" w:rsidRDefault="00C615B6">
    <w:pPr>
      <w:rPr>
        <w:rFonts w:ascii="Calibri" w:hAnsi="Calibri" w:cs="Calibri"/>
        <w:sz w:val="32"/>
        <w:szCs w:val="32"/>
      </w:rPr>
    </w:pPr>
  </w:p>
  <w:p w14:paraId="7D7A3641" w14:textId="4EF3A392" w:rsidR="00C615B6" w:rsidRDefault="00A22AA6">
    <w:pPr>
      <w:pStyle w:val="Zhlav"/>
    </w:pPr>
    <w:r>
      <w:tab/>
    </w:r>
    <w:r>
      <w:tab/>
    </w:r>
    <w:r w:rsidR="00993F39">
      <w:tab/>
    </w:r>
    <w:r w:rsidR="00993F39">
      <w:tab/>
    </w:r>
    <w:r w:rsidR="00993F39">
      <w:tab/>
    </w:r>
    <w:r w:rsidR="00993F39">
      <w:tab/>
    </w:r>
    <w:r w:rsidR="00C615B6">
      <w:t xml:space="preserve"> </w:t>
    </w:r>
  </w:p>
  <w:p w14:paraId="54804BA1" w14:textId="0AEB48E3" w:rsidR="00C615B6" w:rsidRDefault="00A22AA6" w:rsidP="00A22AA6">
    <w:pPr>
      <w:pStyle w:val="Zhlav"/>
      <w:tabs>
        <w:tab w:val="clear" w:pos="4536"/>
        <w:tab w:val="clear" w:pos="9072"/>
        <w:tab w:val="left" w:pos="72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36B2EB6"/>
    <w:multiLevelType w:val="hybridMultilevel"/>
    <w:tmpl w:val="4DD8C00E"/>
    <w:lvl w:ilvl="0" w:tplc="9DA8A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CD12E27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2129809385">
    <w:abstractNumId w:val="15"/>
  </w:num>
  <w:num w:numId="2" w16cid:durableId="1097629400">
    <w:abstractNumId w:val="8"/>
  </w:num>
  <w:num w:numId="3" w16cid:durableId="1500542279">
    <w:abstractNumId w:val="6"/>
  </w:num>
  <w:num w:numId="4" w16cid:durableId="1994603254">
    <w:abstractNumId w:val="2"/>
  </w:num>
  <w:num w:numId="5" w16cid:durableId="798575241">
    <w:abstractNumId w:val="5"/>
  </w:num>
  <w:num w:numId="6" w16cid:durableId="2108424683">
    <w:abstractNumId w:val="4"/>
  </w:num>
  <w:num w:numId="7" w16cid:durableId="1280525409">
    <w:abstractNumId w:val="12"/>
  </w:num>
  <w:num w:numId="8" w16cid:durableId="869418456">
    <w:abstractNumId w:val="7"/>
  </w:num>
  <w:num w:numId="9" w16cid:durableId="480270616">
    <w:abstractNumId w:val="3"/>
  </w:num>
  <w:num w:numId="10" w16cid:durableId="1837040204">
    <w:abstractNumId w:val="11"/>
  </w:num>
  <w:num w:numId="11" w16cid:durableId="46032556">
    <w:abstractNumId w:val="14"/>
  </w:num>
  <w:num w:numId="12" w16cid:durableId="1598714908">
    <w:abstractNumId w:val="9"/>
  </w:num>
  <w:num w:numId="13" w16cid:durableId="845442594">
    <w:abstractNumId w:val="10"/>
  </w:num>
  <w:num w:numId="14" w16cid:durableId="879628088">
    <w:abstractNumId w:val="0"/>
  </w:num>
  <w:num w:numId="15" w16cid:durableId="1961842018">
    <w:abstractNumId w:val="16"/>
  </w:num>
  <w:num w:numId="16" w16cid:durableId="1816407411">
    <w:abstractNumId w:val="1"/>
  </w:num>
  <w:num w:numId="17" w16cid:durableId="1867597503">
    <w:abstractNumId w:val="17"/>
  </w:num>
  <w:num w:numId="18" w16cid:durableId="909580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B6"/>
    <w:rsid w:val="00006231"/>
    <w:rsid w:val="000071B7"/>
    <w:rsid w:val="0002075F"/>
    <w:rsid w:val="00034D1D"/>
    <w:rsid w:val="0006185D"/>
    <w:rsid w:val="00071150"/>
    <w:rsid w:val="0007199D"/>
    <w:rsid w:val="00077D74"/>
    <w:rsid w:val="00077F62"/>
    <w:rsid w:val="0008550D"/>
    <w:rsid w:val="0009538F"/>
    <w:rsid w:val="00096279"/>
    <w:rsid w:val="000964A4"/>
    <w:rsid w:val="000A1E17"/>
    <w:rsid w:val="000D3F04"/>
    <w:rsid w:val="00111EE0"/>
    <w:rsid w:val="001259F6"/>
    <w:rsid w:val="00166901"/>
    <w:rsid w:val="001740D6"/>
    <w:rsid w:val="001765F6"/>
    <w:rsid w:val="001E27C5"/>
    <w:rsid w:val="002277EE"/>
    <w:rsid w:val="00234B96"/>
    <w:rsid w:val="00255F0B"/>
    <w:rsid w:val="0026026B"/>
    <w:rsid w:val="002A2696"/>
    <w:rsid w:val="002A6874"/>
    <w:rsid w:val="002F1AA9"/>
    <w:rsid w:val="002F76D9"/>
    <w:rsid w:val="00302BB9"/>
    <w:rsid w:val="00305A29"/>
    <w:rsid w:val="00306726"/>
    <w:rsid w:val="0033374F"/>
    <w:rsid w:val="003746B6"/>
    <w:rsid w:val="003B2A5C"/>
    <w:rsid w:val="003E6832"/>
    <w:rsid w:val="004040C8"/>
    <w:rsid w:val="004236F4"/>
    <w:rsid w:val="00437B9C"/>
    <w:rsid w:val="00441CC9"/>
    <w:rsid w:val="004603CF"/>
    <w:rsid w:val="004B5882"/>
    <w:rsid w:val="004C67DD"/>
    <w:rsid w:val="0051531D"/>
    <w:rsid w:val="00545CC5"/>
    <w:rsid w:val="00564383"/>
    <w:rsid w:val="005A13DB"/>
    <w:rsid w:val="005E4946"/>
    <w:rsid w:val="0061449A"/>
    <w:rsid w:val="006315AD"/>
    <w:rsid w:val="00646B9E"/>
    <w:rsid w:val="0066378D"/>
    <w:rsid w:val="00680242"/>
    <w:rsid w:val="00685C21"/>
    <w:rsid w:val="006B0BD9"/>
    <w:rsid w:val="006B21E4"/>
    <w:rsid w:val="006C608F"/>
    <w:rsid w:val="006D5A95"/>
    <w:rsid w:val="006E2841"/>
    <w:rsid w:val="007006C9"/>
    <w:rsid w:val="007138C8"/>
    <w:rsid w:val="00717F8C"/>
    <w:rsid w:val="00726DFE"/>
    <w:rsid w:val="0076430B"/>
    <w:rsid w:val="007B7BFF"/>
    <w:rsid w:val="007F0C0E"/>
    <w:rsid w:val="007F5FCE"/>
    <w:rsid w:val="0086340E"/>
    <w:rsid w:val="008A4F23"/>
    <w:rsid w:val="008C258E"/>
    <w:rsid w:val="008C4FF2"/>
    <w:rsid w:val="008E5053"/>
    <w:rsid w:val="00903FAA"/>
    <w:rsid w:val="00907F1B"/>
    <w:rsid w:val="0092410A"/>
    <w:rsid w:val="00934E53"/>
    <w:rsid w:val="00942AEA"/>
    <w:rsid w:val="00950637"/>
    <w:rsid w:val="00993F39"/>
    <w:rsid w:val="009B15EC"/>
    <w:rsid w:val="009B2F05"/>
    <w:rsid w:val="009B4531"/>
    <w:rsid w:val="009B6915"/>
    <w:rsid w:val="009B77BC"/>
    <w:rsid w:val="009E6CFB"/>
    <w:rsid w:val="00A05E76"/>
    <w:rsid w:val="00A22AA6"/>
    <w:rsid w:val="00A332CC"/>
    <w:rsid w:val="00A43724"/>
    <w:rsid w:val="00A81E36"/>
    <w:rsid w:val="00AB635A"/>
    <w:rsid w:val="00AC3AA2"/>
    <w:rsid w:val="00AC4A4A"/>
    <w:rsid w:val="00AD438D"/>
    <w:rsid w:val="00AD452D"/>
    <w:rsid w:val="00B304DC"/>
    <w:rsid w:val="00B375CA"/>
    <w:rsid w:val="00B87972"/>
    <w:rsid w:val="00B90A0C"/>
    <w:rsid w:val="00BB0891"/>
    <w:rsid w:val="00BE3AC6"/>
    <w:rsid w:val="00BF7F2C"/>
    <w:rsid w:val="00C00103"/>
    <w:rsid w:val="00C063CC"/>
    <w:rsid w:val="00C40DEB"/>
    <w:rsid w:val="00C44CCA"/>
    <w:rsid w:val="00C60D3D"/>
    <w:rsid w:val="00C615B6"/>
    <w:rsid w:val="00CD72A9"/>
    <w:rsid w:val="00D02F62"/>
    <w:rsid w:val="00D069AE"/>
    <w:rsid w:val="00D31C47"/>
    <w:rsid w:val="00D332C3"/>
    <w:rsid w:val="00D42451"/>
    <w:rsid w:val="00D46108"/>
    <w:rsid w:val="00D61509"/>
    <w:rsid w:val="00D73095"/>
    <w:rsid w:val="00D830D8"/>
    <w:rsid w:val="00D8475D"/>
    <w:rsid w:val="00DB46FD"/>
    <w:rsid w:val="00DC1078"/>
    <w:rsid w:val="00DD016E"/>
    <w:rsid w:val="00E11BBE"/>
    <w:rsid w:val="00E25AD1"/>
    <w:rsid w:val="00E566F2"/>
    <w:rsid w:val="00EC6586"/>
    <w:rsid w:val="00F2662F"/>
    <w:rsid w:val="00F8304A"/>
    <w:rsid w:val="00F8EC7E"/>
    <w:rsid w:val="00FA6942"/>
    <w:rsid w:val="00FB0105"/>
    <w:rsid w:val="00FB3AFC"/>
    <w:rsid w:val="0324F6EB"/>
    <w:rsid w:val="03A5A2EF"/>
    <w:rsid w:val="03CF86B4"/>
    <w:rsid w:val="06C13E51"/>
    <w:rsid w:val="09B1EAF6"/>
    <w:rsid w:val="0F6E427B"/>
    <w:rsid w:val="10E15958"/>
    <w:rsid w:val="110CF2C9"/>
    <w:rsid w:val="155D0393"/>
    <w:rsid w:val="16925DD1"/>
    <w:rsid w:val="16F202E3"/>
    <w:rsid w:val="170CD41C"/>
    <w:rsid w:val="17E592A3"/>
    <w:rsid w:val="17E9FE89"/>
    <w:rsid w:val="18526058"/>
    <w:rsid w:val="18981012"/>
    <w:rsid w:val="195934C9"/>
    <w:rsid w:val="1E25A7C4"/>
    <w:rsid w:val="1E9B489B"/>
    <w:rsid w:val="20BD511F"/>
    <w:rsid w:val="2381AF87"/>
    <w:rsid w:val="25DAB700"/>
    <w:rsid w:val="261C945A"/>
    <w:rsid w:val="2709556A"/>
    <w:rsid w:val="283171C7"/>
    <w:rsid w:val="28522D6E"/>
    <w:rsid w:val="28944888"/>
    <w:rsid w:val="29C5372F"/>
    <w:rsid w:val="29E990C8"/>
    <w:rsid w:val="2A8B49C1"/>
    <w:rsid w:val="2E06B282"/>
    <w:rsid w:val="30BE3518"/>
    <w:rsid w:val="310F45CC"/>
    <w:rsid w:val="3150746C"/>
    <w:rsid w:val="3216A1E3"/>
    <w:rsid w:val="32934BA0"/>
    <w:rsid w:val="35DF8567"/>
    <w:rsid w:val="3711EC67"/>
    <w:rsid w:val="3CF61F35"/>
    <w:rsid w:val="3DF79AA9"/>
    <w:rsid w:val="436D01C9"/>
    <w:rsid w:val="43BFD423"/>
    <w:rsid w:val="43F83BC4"/>
    <w:rsid w:val="4A34B87A"/>
    <w:rsid w:val="4D2EF084"/>
    <w:rsid w:val="50A85D06"/>
    <w:rsid w:val="51ABEEE5"/>
    <w:rsid w:val="51BEA486"/>
    <w:rsid w:val="53CC7154"/>
    <w:rsid w:val="58761C5F"/>
    <w:rsid w:val="588E6C20"/>
    <w:rsid w:val="58C6F59F"/>
    <w:rsid w:val="594DF5FE"/>
    <w:rsid w:val="5A44D419"/>
    <w:rsid w:val="5AE9C65F"/>
    <w:rsid w:val="5C8596C0"/>
    <w:rsid w:val="5D501C2C"/>
    <w:rsid w:val="5E2AAD80"/>
    <w:rsid w:val="5E9D37EF"/>
    <w:rsid w:val="5FDFF442"/>
    <w:rsid w:val="624DC728"/>
    <w:rsid w:val="64AE20C4"/>
    <w:rsid w:val="64FC9A48"/>
    <w:rsid w:val="683941B9"/>
    <w:rsid w:val="69C6EEE5"/>
    <w:rsid w:val="6A588B80"/>
    <w:rsid w:val="6C5A67AB"/>
    <w:rsid w:val="6D70697F"/>
    <w:rsid w:val="6FD89C5D"/>
    <w:rsid w:val="6FFDFAEE"/>
    <w:rsid w:val="74E64D13"/>
    <w:rsid w:val="77B5C2E7"/>
    <w:rsid w:val="7884DBA5"/>
    <w:rsid w:val="7D39CADC"/>
    <w:rsid w:val="7F4AC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0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rynqvb">
    <w:name w:val="rynqvb"/>
    <w:rsid w:val="004236F4"/>
  </w:style>
  <w:style w:type="character" w:customStyle="1" w:styleId="hwtze">
    <w:name w:val="hwtze"/>
    <w:basedOn w:val="Standardnpsmoodstavce"/>
    <w:rsid w:val="004236F4"/>
  </w:style>
  <w:style w:type="character" w:customStyle="1" w:styleId="Other1">
    <w:name w:val="Other|1_"/>
    <w:basedOn w:val="Standardnpsmoodstavce"/>
    <w:link w:val="Other10"/>
    <w:rsid w:val="00F8304A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sid w:val="00F8304A"/>
    <w:pPr>
      <w:widowControl w:val="0"/>
      <w:spacing w:line="295" w:lineRule="auto"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ffde-efa4-4bd2-84da-e16f9eb2876c">
      <Terms xmlns="http://schemas.microsoft.com/office/infopath/2007/PartnerControls"/>
    </lcf76f155ced4ddcb4097134ff3c332f>
    <TaxCatchAll xmlns="c8181c99-58b0-4522-bfc4-5f89510f35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B6164902766D4D940F1924C6AD8872" ma:contentTypeVersion="16" ma:contentTypeDescription="Vytvoří nový dokument" ma:contentTypeScope="" ma:versionID="648007d3f66d39f98dc6fca4e8d3f474">
  <xsd:schema xmlns:xsd="http://www.w3.org/2001/XMLSchema" xmlns:xs="http://www.w3.org/2001/XMLSchema" xmlns:p="http://schemas.microsoft.com/office/2006/metadata/properties" xmlns:ns2="ca64ffde-efa4-4bd2-84da-e16f9eb2876c" xmlns:ns3="c8181c99-58b0-4522-bfc4-5f89510f35dd" targetNamespace="http://schemas.microsoft.com/office/2006/metadata/properties" ma:root="true" ma:fieldsID="b59255ad14a0cded735f3199ca1769af" ns2:_="" ns3:_="">
    <xsd:import namespace="ca64ffde-efa4-4bd2-84da-e16f9eb2876c"/>
    <xsd:import namespace="c8181c99-58b0-4522-bfc4-5f89510f3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ffde-efa4-4bd2-84da-e16f9eb2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9f4e76c-843a-4416-b9ae-0aba0882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1c99-58b0-4522-bfc4-5f89510f35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1ac280-0a1d-41f8-97da-c020569e8eda}" ma:internalName="TaxCatchAll" ma:showField="CatchAllData" ma:web="c8181c99-58b0-4522-bfc4-5f89510f3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4AE9B-492A-450A-8E9A-AB294249624E}">
  <ds:schemaRefs>
    <ds:schemaRef ds:uri="http://schemas.microsoft.com/office/2006/metadata/properties"/>
    <ds:schemaRef ds:uri="http://schemas.microsoft.com/office/infopath/2007/PartnerControls"/>
    <ds:schemaRef ds:uri="ca64ffde-efa4-4bd2-84da-e16f9eb2876c"/>
    <ds:schemaRef ds:uri="c8181c99-58b0-4522-bfc4-5f89510f35dd"/>
  </ds:schemaRefs>
</ds:datastoreItem>
</file>

<file path=customXml/itemProps2.xml><?xml version="1.0" encoding="utf-8"?>
<ds:datastoreItem xmlns:ds="http://schemas.openxmlformats.org/officeDocument/2006/customXml" ds:itemID="{4956C028-4344-4DB7-BE2B-A7D09F22C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8B07B-A873-4911-A2E3-78D913536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4ffde-efa4-4bd2-84da-e16f9eb2876c"/>
    <ds:schemaRef ds:uri="c8181c99-58b0-4522-bfc4-5f89510f3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E4476-30AE-496C-AE9C-1F84D0296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1916</Words>
  <Characters>11031</Characters>
  <Application>Microsoft Office Word</Application>
  <DocSecurity>0</DocSecurity>
  <Lines>91</Lines>
  <Paragraphs>25</Paragraphs>
  <ScaleCrop>false</ScaleCrop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Abazidová Jana</cp:lastModifiedBy>
  <cp:revision>28</cp:revision>
  <cp:lastPrinted>2025-08-28T14:26:00Z</cp:lastPrinted>
  <dcterms:created xsi:type="dcterms:W3CDTF">2025-09-15T13:00:00Z</dcterms:created>
  <dcterms:modified xsi:type="dcterms:W3CDTF">2025-09-16T10:55:00Z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0x01010055B6164902766D4D940F1924C6AD8872</vt:lpwstr>
  </property>
  <property fmtid="{D5CDD505-2E9C-101B-9397-08002B2CF9AE}" pid="3" name="MediaServiceImageTags">
    <vt:lpwstr/>
  </property>
</Properties>
</file>