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 smlouvy objednatele: 930/2025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Ohře - probírka BP, k. ú. Žatec a Libočany (pravý břeh)</w:t>
      </w:r>
    </w:p>
    <w:p>
      <w:pPr>
        <w:pStyle w:val="Style12"/>
        <w:keepNext/>
        <w:keepLines/>
        <w:widowControl w:val="0"/>
        <w:shd w:val="clear" w:color="auto" w:fill="auto"/>
        <w:bidi w:val="0"/>
        <w:spacing w:before="0" w:after="300" w:line="240" w:lineRule="auto"/>
        <w:ind w:left="0" w:right="0" w:firstLine="0"/>
        <w:jc w:val="both"/>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2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2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CZ 70889988</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2467"/>
        <w:gridCol w:w="6605"/>
      </w:tblGrid>
      <w:tr>
        <w:trPr>
          <w:trHeight w:val="27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top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360" w:right="0" w:firstLine="0"/>
              <w:jc w:val="left"/>
            </w:pPr>
            <w:r>
              <w:rPr>
                <w:b/>
                <w:bCs/>
                <w:color w:val="000000"/>
                <w:spacing w:val="0"/>
                <w:w w:val="100"/>
                <w:position w:val="0"/>
                <w:shd w:val="clear" w:color="auto" w:fill="auto"/>
                <w:lang w:val="cs-CZ" w:eastAsia="cs-CZ" w:bidi="cs-CZ"/>
              </w:rPr>
              <w:t>Jaroslav Hladík</w:t>
            </w:r>
          </w:p>
        </w:tc>
      </w:tr>
      <w:tr>
        <w:trPr>
          <w:trHeight w:val="25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w:t>
            </w:r>
          </w:p>
        </w:tc>
        <w:tc>
          <w:tcPr>
            <w:tcBorders>
              <w:top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Kukaňova 2506, 43003 Chomutov</w:t>
            </w:r>
          </w:p>
        </w:tc>
      </w:tr>
      <w:tr>
        <w:trPr>
          <w:trHeight w:val="288"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61548537</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widowControl w:val="0"/>
        <w:spacing w:after="299" w:line="1" w:lineRule="exact"/>
      </w:pPr>
    </w:p>
    <w:p>
      <w:pPr>
        <w:pStyle w:val="Style2"/>
        <w:keepNext w:val="0"/>
        <w:keepLines w:val="0"/>
        <w:widowControl w:val="0"/>
        <w:shd w:val="clear" w:color="auto" w:fill="auto"/>
        <w:bidi w:val="0"/>
        <w:spacing w:before="0" w:after="16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6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Ohře - probírka BP, k. ú. Žatec a Libočany (pravý břeh)</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probírka břehových porostů na pravém břehu vodního toku Ohře v k. ú. Žatec a Libočany (ř. km 94,150-95,200). Stromy určené ke kácení jsou silné proschlé a řada z nich je napadená dřevokaznou houbou a vyhnilá.</w:t>
      </w:r>
      <w:bookmarkEnd w:id="10"/>
      <w:bookmarkEnd w:id="11"/>
      <w:bookmarkEnd w:id="13"/>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4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volné kácení 70 ks stromů </w:t>
      </w:r>
      <w:r>
        <w:rPr>
          <w:color w:val="000000"/>
          <w:spacing w:val="0"/>
          <w:w w:val="100"/>
          <w:position w:val="0"/>
          <w:shd w:val="clear" w:color="auto" w:fill="auto"/>
          <w:lang w:val="cs-CZ" w:eastAsia="cs-CZ" w:bidi="cs-CZ"/>
        </w:rPr>
        <w:t xml:space="preserve">(56 ks vrba, 9 ks olše, 5 ks topol), pozn. </w:t>
      </w:r>
      <w:r>
        <w:rPr>
          <w:b/>
          <w:bCs/>
          <w:color w:val="000000"/>
          <w:spacing w:val="0"/>
          <w:w w:val="100"/>
          <w:position w:val="0"/>
          <w:shd w:val="clear" w:color="auto" w:fill="auto"/>
          <w:lang w:val="cs-CZ" w:eastAsia="cs-CZ" w:bidi="cs-CZ"/>
        </w:rPr>
        <w:t xml:space="preserve">Po dohodě s OOPK budou vrby s perspektivou zachování funkce břehového porostu seříznuty na hlavu ve výšce cca 1,50 m </w:t>
      </w:r>
      <w:r>
        <w:rPr>
          <w:color w:val="000000"/>
          <w:spacing w:val="0"/>
          <w:w w:val="100"/>
          <w:position w:val="0"/>
          <w:shd w:val="clear" w:color="auto" w:fill="auto"/>
          <w:lang w:val="cs-CZ" w:eastAsia="cs-CZ" w:bidi="cs-CZ"/>
        </w:rPr>
        <w:t xml:space="preserve">(jde cca o 30 % z celkového počtu vrb určených ke kácení, tj. </w:t>
      </w:r>
      <w:r>
        <w:rPr>
          <w:b/>
          <w:bCs/>
          <w:color w:val="000000"/>
          <w:spacing w:val="0"/>
          <w:w w:val="100"/>
          <w:position w:val="0"/>
          <w:shd w:val="clear" w:color="auto" w:fill="auto"/>
          <w:lang w:val="cs-CZ" w:eastAsia="cs-CZ" w:bidi="cs-CZ"/>
        </w:rPr>
        <w:t>17 ks vrb</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výřez křovin na ploše 1000 m2 </w:t>
      </w:r>
      <w:r>
        <w:rPr>
          <w:color w:val="000000"/>
          <w:spacing w:val="0"/>
          <w:w w:val="100"/>
          <w:position w:val="0"/>
          <w:shd w:val="clear" w:color="auto" w:fill="auto"/>
          <w:lang w:val="cs-CZ" w:eastAsia="cs-CZ" w:bidi="cs-CZ"/>
        </w:rPr>
        <w:t>(z důvodu přístupu ke stromům určeným k pokácení)</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likvidace veškeré nevyužitelné dřevní hmoty na místě štěpkováním</w:t>
      </w:r>
    </w:p>
    <w:p>
      <w:pPr>
        <w:pStyle w:val="Style12"/>
        <w:keepNext/>
        <w:keepLines/>
        <w:widowControl w:val="0"/>
        <w:shd w:val="clear" w:color="auto" w:fill="auto"/>
        <w:bidi w:val="0"/>
        <w:spacing w:before="0" w:after="180" w:line="240" w:lineRule="auto"/>
        <w:ind w:right="0" w:firstLine="2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145,59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 za jednotkovou cenu 400 Kč bez DPH za 1 plm.</w:t>
      </w:r>
      <w:bookmarkEnd w:id="14"/>
      <w:bookmarkEnd w:id="15"/>
      <w:bookmarkEnd w:id="16"/>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12"/>
        <w:keepNext/>
        <w:keepLines/>
        <w:widowControl w:val="0"/>
        <w:shd w:val="clear" w:color="auto" w:fill="auto"/>
        <w:bidi w:val="0"/>
        <w:spacing w:before="0" w:after="180" w:line="240" w:lineRule="auto"/>
        <w:ind w:right="0" w:firstLine="2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Pravý břeh vodního toku Ohře v k. ú. Žatec a Libočany. Jedná se o tyto pozemky ve správě Povodí Ohře, státní podnik: p. p. č. 1124/1 v k. ú. Žatec a p. p. č. 665/1 v k. ú. Libočany.</w:t>
      </w:r>
      <w:bookmarkEnd w:id="17"/>
      <w:bookmarkEnd w:id="18"/>
      <w:bookmarkEnd w:id="19"/>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20"/>
      <w:bookmarkEnd w:id="21"/>
      <w:bookmarkEnd w:id="23"/>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 předmět díla se dále považuje:</w:t>
      </w:r>
      <w:bookmarkEnd w:id="24"/>
      <w:bookmarkEnd w:id="25"/>
      <w:bookmarkEnd w:id="27"/>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8"/>
      <w:bookmarkEnd w:id="29"/>
      <w:bookmarkEnd w:id="31"/>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zdokumentování současného stavu, pro pozdější porovnání stavu po dokončení díla.</w:t>
      </w:r>
      <w:bookmarkEnd w:id="32"/>
      <w:bookmarkEnd w:id="33"/>
      <w:bookmarkEnd w:id="35"/>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pravidelné čištění a úklid příjezdových a manipulačních ploch,</w:t>
      </w:r>
      <w:bookmarkEnd w:id="36"/>
      <w:bookmarkEnd w:id="37"/>
      <w:bookmarkEnd w:id="39"/>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40"/>
      <w:bookmarkEnd w:id="41"/>
      <w:bookmarkEnd w:id="43"/>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4"/>
      <w:bookmarkEnd w:id="45"/>
      <w:bookmarkEnd w:id="47"/>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zajištění povolení zvláštního užívání silnic, bude-li potřeba,</w:t>
      </w:r>
      <w:bookmarkEnd w:id="48"/>
      <w:bookmarkEnd w:id="49"/>
      <w:bookmarkEnd w:id="51"/>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zajištění povolení pálení a nahlášení pálení dřevní hmoty příslušným orgánům,</w:t>
      </w:r>
      <w:bookmarkEnd w:id="52"/>
      <w:bookmarkEnd w:id="53"/>
      <w:bookmarkEnd w:id="55"/>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průběžná taxace vytěžené dřevní hmoty,</w:t>
      </w:r>
      <w:bookmarkEnd w:id="56"/>
      <w:bookmarkEnd w:id="57"/>
      <w:bookmarkEnd w:id="59"/>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60"/>
      <w:bookmarkEnd w:id="61"/>
      <w:bookmarkEnd w:id="63"/>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4"/>
      <w:bookmarkEnd w:id="65"/>
      <w:bookmarkEnd w:id="67"/>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8"/>
      <w:bookmarkEnd w:id="69"/>
      <w:bookmarkEnd w:id="71"/>
    </w:p>
    <w:p>
      <w:pPr>
        <w:pStyle w:val="Style12"/>
        <w:keepNext/>
        <w:keepLines/>
        <w:widowControl w:val="0"/>
        <w:numPr>
          <w:ilvl w:val="0"/>
          <w:numId w:val="3"/>
        </w:numPr>
        <w:shd w:val="clear" w:color="auto" w:fill="auto"/>
        <w:tabs>
          <w:tab w:pos="797" w:val="left"/>
        </w:tabs>
        <w:bidi w:val="0"/>
        <w:spacing w:before="0" w:after="180" w:line="240" w:lineRule="auto"/>
        <w:ind w:left="740" w:right="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2"/>
      <w:bookmarkEnd w:id="73"/>
      <w:bookmarkEnd w:id="75"/>
    </w:p>
    <w:p>
      <w:pPr>
        <w:pStyle w:val="Style12"/>
        <w:keepNext/>
        <w:keepLines/>
        <w:widowControl w:val="0"/>
        <w:numPr>
          <w:ilvl w:val="0"/>
          <w:numId w:val="3"/>
        </w:numPr>
        <w:shd w:val="clear" w:color="auto" w:fill="auto"/>
        <w:tabs>
          <w:tab w:pos="874" w:val="left"/>
        </w:tabs>
        <w:bidi w:val="0"/>
        <w:spacing w:before="0" w:after="0" w:line="240" w:lineRule="auto"/>
        <w:ind w:left="720" w:right="0" w:hanging="30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6"/>
      <w:bookmarkEnd w:id="77"/>
      <w:bookmarkEnd w:id="79"/>
    </w:p>
    <w:p>
      <w:pPr>
        <w:pStyle w:val="Style12"/>
        <w:keepNext/>
        <w:keepLines/>
        <w:widowControl w:val="0"/>
        <w:numPr>
          <w:ilvl w:val="0"/>
          <w:numId w:val="3"/>
        </w:numPr>
        <w:shd w:val="clear" w:color="auto" w:fill="auto"/>
        <w:tabs>
          <w:tab w:pos="874" w:val="left"/>
        </w:tabs>
        <w:bidi w:val="0"/>
        <w:spacing w:before="0" w:after="0" w:line="240" w:lineRule="auto"/>
        <w:ind w:left="720" w:right="0" w:hanging="3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80"/>
      <w:bookmarkEnd w:id="81"/>
      <w:bookmarkEnd w:id="83"/>
    </w:p>
    <w:p>
      <w:pPr>
        <w:pStyle w:val="Style12"/>
        <w:keepNext/>
        <w:keepLines/>
        <w:widowControl w:val="0"/>
        <w:numPr>
          <w:ilvl w:val="0"/>
          <w:numId w:val="3"/>
        </w:numPr>
        <w:shd w:val="clear" w:color="auto" w:fill="auto"/>
        <w:tabs>
          <w:tab w:pos="834" w:val="left"/>
        </w:tabs>
        <w:bidi w:val="0"/>
        <w:spacing w:before="0" w:after="0" w:line="240" w:lineRule="auto"/>
        <w:ind w:left="0" w:right="0" w:firstLine="380"/>
        <w:jc w:val="left"/>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zodpovídá za místo realizace zakázky i v době přerušení prací,</w:t>
      </w:r>
      <w:bookmarkEnd w:id="84"/>
      <w:bookmarkEnd w:id="85"/>
      <w:bookmarkEnd w:id="87"/>
    </w:p>
    <w:p>
      <w:pPr>
        <w:pStyle w:val="Style12"/>
        <w:keepNext/>
        <w:keepLines/>
        <w:widowControl w:val="0"/>
        <w:numPr>
          <w:ilvl w:val="0"/>
          <w:numId w:val="3"/>
        </w:numPr>
        <w:shd w:val="clear" w:color="auto" w:fill="auto"/>
        <w:tabs>
          <w:tab w:pos="874" w:val="left"/>
        </w:tabs>
        <w:bidi w:val="0"/>
        <w:spacing w:before="0" w:after="180" w:line="240" w:lineRule="auto"/>
        <w:ind w:left="720" w:right="0" w:hanging="30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8"/>
      <w:bookmarkEnd w:id="89"/>
      <w:bookmarkEnd w:id="91"/>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2"/>
      <w:bookmarkEnd w:id="93"/>
      <w:bookmarkEnd w:id="95"/>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96"/>
      <w:bookmarkEnd w:id="97"/>
      <w:bookmarkEnd w:id="99"/>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Objednatel předá zhotoviteli pracoviště (nebo jeho ucelenou část) prosté práv třetích osob.</w:t>
      </w:r>
      <w:bookmarkEnd w:id="100"/>
      <w:bookmarkEnd w:id="101"/>
      <w:bookmarkEnd w:id="103"/>
    </w:p>
    <w:p>
      <w:pPr>
        <w:pStyle w:val="Style12"/>
        <w:keepNext/>
        <w:keepLines/>
        <w:widowControl w:val="0"/>
        <w:shd w:val="clear" w:color="auto" w:fill="auto"/>
        <w:bidi w:val="0"/>
        <w:spacing w:before="0" w:after="180" w:line="240" w:lineRule="auto"/>
        <w:ind w:right="0" w:firstLine="40"/>
        <w:jc w:val="both"/>
      </w:pPr>
      <w:bookmarkStart w:id="104" w:name="bookmark104"/>
      <w:bookmarkStart w:id="105" w:name="bookmark105"/>
      <w:bookmarkStart w:id="106" w:name="bookmark106"/>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4"/>
      <w:bookmarkEnd w:id="105"/>
      <w:bookmarkEnd w:id="10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40" w:lineRule="auto"/>
        <w:ind w:left="0" w:right="0" w:firstLine="0"/>
        <w:jc w:val="left"/>
      </w:pPr>
      <w:bookmarkStart w:id="107" w:name="bookmark107"/>
      <w:bookmarkEnd w:id="107"/>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2" w:val="left"/>
        </w:tabs>
        <w:bidi w:val="0"/>
        <w:spacing w:before="0" w:after="0" w:line="288" w:lineRule="auto"/>
        <w:ind w:left="0" w:right="0" w:firstLine="380"/>
        <w:jc w:val="both"/>
      </w:pPr>
      <w:bookmarkStart w:id="108" w:name="bookmark108"/>
      <w:bookmarkEnd w:id="108"/>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720" w:right="0" w:firstLine="60"/>
        <w:jc w:val="both"/>
      </w:pPr>
      <w:r>
        <w:rPr>
          <w:color w:val="000000"/>
          <w:spacing w:val="0"/>
          <w:w w:val="100"/>
          <w:position w:val="0"/>
          <w:shd w:val="clear" w:color="auto" w:fill="auto"/>
          <w:lang w:val="cs-CZ" w:eastAsia="cs-CZ" w:bidi="cs-CZ"/>
        </w:rPr>
        <w:t xml:space="preserve">Zhotovitel je povinen si převzít pracoviště nejpozději do 10 kalendářních dnů od písemné výzvy TDI Výzva bude odeslána na e-mail zhotovitele: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09" w:name="bookmark109"/>
      <w:bookmarkEnd w:id="109"/>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left"/>
      </w:pPr>
      <w:bookmarkStart w:id="110" w:name="bookmark110"/>
      <w:bookmarkEnd w:id="110"/>
      <w:r>
        <w:rPr>
          <w:b/>
          <w:bCs/>
          <w:color w:val="000000"/>
          <w:spacing w:val="0"/>
          <w:w w:val="100"/>
          <w:position w:val="0"/>
          <w:shd w:val="clear" w:color="auto" w:fill="auto"/>
          <w:lang w:val="cs-CZ" w:eastAsia="cs-CZ" w:bidi="cs-CZ"/>
        </w:rPr>
        <w:t>dílčí termín pro dokončení prací v hodnotě min. 50 % ceny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31.12.2025</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left"/>
      </w:pPr>
      <w:bookmarkStart w:id="111" w:name="bookmark111"/>
      <w:bookmarkEnd w:id="111"/>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31.3.2026</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12" w:name="bookmark112"/>
      <w:bookmarkEnd w:id="112"/>
      <w:r>
        <w:rPr>
          <w:b/>
          <w:bCs/>
          <w:color w:val="000000"/>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72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4" w:val="left"/>
        </w:tabs>
        <w:bidi w:val="0"/>
        <w:spacing w:before="0" w:after="120" w:line="288" w:lineRule="auto"/>
        <w:ind w:left="380" w:right="0" w:hanging="380"/>
        <w:jc w:val="both"/>
      </w:pPr>
      <w:bookmarkStart w:id="113" w:name="bookmark113"/>
      <w:bookmarkEnd w:id="113"/>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4"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4"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4"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0" w:right="0" w:firstLine="380"/>
        <w:jc w:val="both"/>
      </w:pPr>
      <w:r>
        <w:rPr>
          <w:b/>
          <w:bCs/>
          <w:color w:val="000000"/>
          <w:spacing w:val="0"/>
          <w:w w:val="100"/>
          <w:position w:val="0"/>
          <w:shd w:val="clear" w:color="auto" w:fill="auto"/>
          <w:lang w:val="cs-CZ" w:eastAsia="cs-CZ" w:bidi="cs-CZ"/>
        </w:rPr>
        <w:t>Cena za dílo: 175.000,00 Kč</w:t>
      </w:r>
    </w:p>
    <w:p>
      <w:pPr>
        <w:pStyle w:val="Style2"/>
        <w:keepNext w:val="0"/>
        <w:keepLines w:val="0"/>
        <w:widowControl w:val="0"/>
        <w:numPr>
          <w:ilvl w:val="0"/>
          <w:numId w:val="9"/>
        </w:numPr>
        <w:shd w:val="clear" w:color="auto" w:fill="auto"/>
        <w:tabs>
          <w:tab w:pos="384" w:val="left"/>
        </w:tabs>
        <w:bidi w:val="0"/>
        <w:spacing w:before="0" w:after="200" w:line="240" w:lineRule="auto"/>
        <w:ind w:left="380" w:right="0" w:hanging="380"/>
        <w:jc w:val="both"/>
      </w:pPr>
      <w:bookmarkStart w:id="117" w:name="bookmark117"/>
      <w:bookmarkEnd w:id="117"/>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58.236,00 Kč bez DPH </w:t>
      </w:r>
      <w:r>
        <w:rPr>
          <w:color w:val="000000"/>
          <w:spacing w:val="0"/>
          <w:w w:val="100"/>
          <w:position w:val="0"/>
          <w:shd w:val="clear" w:color="auto" w:fill="auto"/>
          <w:lang w:val="cs-CZ" w:eastAsia="cs-CZ" w:bidi="cs-CZ"/>
        </w:rPr>
        <w:t>(výpočet: 400 Kč bez DPH x 145,59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4"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4" w:val="left"/>
        </w:tabs>
        <w:bidi w:val="0"/>
        <w:spacing w:before="0" w:after="200" w:line="240" w:lineRule="auto"/>
        <w:ind w:left="0" w:right="0" w:firstLine="0"/>
        <w:jc w:val="both"/>
      </w:pPr>
      <w:bookmarkStart w:id="119" w:name="bookmark119"/>
      <w:bookmarkEnd w:id="11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4" w:val="left"/>
        </w:tabs>
        <w:bidi w:val="0"/>
        <w:spacing w:before="0" w:after="200" w:line="240" w:lineRule="auto"/>
        <w:ind w:left="0" w:right="0" w:firstLine="0"/>
        <w:jc w:val="both"/>
      </w:pPr>
      <w:bookmarkStart w:id="120" w:name="bookmark120"/>
      <w:bookmarkEnd w:id="120"/>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4" w:val="left"/>
        </w:tabs>
        <w:bidi w:val="0"/>
        <w:spacing w:before="0" w:after="200" w:line="240" w:lineRule="auto"/>
        <w:ind w:left="380" w:right="0" w:hanging="380"/>
        <w:jc w:val="left"/>
      </w:pPr>
      <w:bookmarkStart w:id="121" w:name="bookmark121"/>
      <w:bookmarkEnd w:id="121"/>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w:t>
      </w:r>
      <w:r>
        <w:rPr>
          <w:b/>
          <w:bCs/>
          <w:color w:val="000000"/>
          <w:spacing w:val="0"/>
          <w:w w:val="100"/>
          <w:position w:val="0"/>
          <w:shd w:val="clear" w:color="auto" w:fill="auto"/>
          <w:lang w:val="cs-CZ" w:eastAsia="cs-CZ" w:bidi="cs-CZ"/>
        </w:rPr>
        <w:t>Veškeré účetní doklady (faktury) je zhotovitel povinen vystavovat nejpozději do 10 kalendářních dnů ode dne uskutečnění plnění.</w:t>
      </w:r>
    </w:p>
    <w:p>
      <w:pPr>
        <w:pStyle w:val="Style2"/>
        <w:keepNext w:val="0"/>
        <w:keepLines w:val="0"/>
        <w:widowControl w:val="0"/>
        <w:numPr>
          <w:ilvl w:val="0"/>
          <w:numId w:val="11"/>
        </w:numPr>
        <w:shd w:val="clear" w:color="auto" w:fill="auto"/>
        <w:tabs>
          <w:tab w:pos="384" w:val="left"/>
        </w:tabs>
        <w:bidi w:val="0"/>
        <w:spacing w:before="0" w:after="60" w:line="240" w:lineRule="auto"/>
        <w:ind w:left="0" w:right="0" w:firstLine="0"/>
        <w:jc w:val="both"/>
      </w:pPr>
      <w:bookmarkStart w:id="122" w:name="bookmark122"/>
      <w:bookmarkEnd w:id="122"/>
      <w:r>
        <w:rPr>
          <w:color w:val="000000"/>
          <w:spacing w:val="0"/>
          <w:w w:val="100"/>
          <w:position w:val="0"/>
          <w:shd w:val="clear" w:color="auto" w:fill="auto"/>
          <w:lang w:val="cs-CZ" w:eastAsia="cs-CZ" w:bidi="cs-CZ"/>
        </w:rPr>
        <w:t>Plnění se považuje za uskutečněné:</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123" w:name="bookmark123"/>
      <w:bookmarkEnd w:id="123"/>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do 31.12.2025</w:t>
      </w:r>
      <w:r>
        <w:rPr>
          <w:color w:val="000000"/>
          <w:spacing w:val="0"/>
          <w:w w:val="100"/>
          <w:position w:val="0"/>
          <w:shd w:val="clear" w:color="auto" w:fill="auto"/>
          <w:lang w:val="cs-CZ" w:eastAsia="cs-CZ" w:bidi="cs-CZ"/>
        </w:rPr>
        <w:t>, 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124" w:name="bookmark124"/>
      <w:bookmarkEnd w:id="124"/>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Konečný účetní doklad (faktura)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4" w:val="left"/>
        </w:tabs>
        <w:bidi w:val="0"/>
        <w:spacing w:before="0" w:after="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dále náležitosti </w:t>
      </w:r>
      <w:r>
        <w:rPr>
          <w:color w:val="000000"/>
          <w:spacing w:val="0"/>
          <w:w w:val="100"/>
          <w:position w:val="0"/>
          <w:shd w:val="clear" w:color="auto" w:fill="auto"/>
          <w:lang w:val="cs-CZ" w:eastAsia="cs-CZ" w:bidi="cs-CZ"/>
        </w:rPr>
        <w:t>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Úhrada za odkup dřevní hmoty bude provedena vzájemným zápočtem účetních dokladů (faktur) při fakturaci těžebních prací zhotovitelem.</w:t>
      </w:r>
    </w:p>
    <w:p>
      <w:pPr>
        <w:pStyle w:val="Style2"/>
        <w:keepNext w:val="0"/>
        <w:keepLines w:val="0"/>
        <w:widowControl w:val="0"/>
        <w:numPr>
          <w:ilvl w:val="0"/>
          <w:numId w:val="11"/>
        </w:numPr>
        <w:shd w:val="clear" w:color="auto" w:fill="auto"/>
        <w:tabs>
          <w:tab w:pos="360" w:val="left"/>
        </w:tabs>
        <w:bidi w:val="0"/>
        <w:spacing w:before="0" w:after="200" w:line="240" w:lineRule="auto"/>
        <w:ind w:left="0" w:right="0" w:firstLine="0"/>
        <w:jc w:val="left"/>
      </w:pPr>
      <w:bookmarkStart w:id="127" w:name="bookmark127"/>
      <w:bookmarkEnd w:id="127"/>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bude zhotovitel v prodlení proti dílčímu termínu předání a převzetí prací v hodnotě min. 50 % ceny díla sjednaného dle čl. II. odst. 1. písm. c) této smlouvy, je povinen zaplatit objednateli smluvní pokutu ve výši 0,2 % z ceny díla dle čl. III. této smlouvy za každý i započatý kalendářní den prodlení, až do dne podpisu zápisu o předání a převzetí dílčí části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78"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41" w:name="bookmark141"/>
      <w:bookmarkEnd w:id="14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73" w:val="left"/>
        </w:tabs>
        <w:bidi w:val="0"/>
        <w:spacing w:before="0" w:after="0" w:line="240" w:lineRule="auto"/>
        <w:ind w:left="0" w:right="0" w:firstLine="380"/>
        <w:jc w:val="both"/>
      </w:pPr>
      <w:bookmarkStart w:id="142" w:name="bookmark142"/>
      <w:bookmarkEnd w:id="14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43" w:name="bookmark143"/>
      <w:bookmarkEnd w:id="14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44" w:name="bookmark144"/>
      <w:bookmarkEnd w:id="14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21"/>
        </w:numPr>
        <w:shd w:val="clear" w:color="auto" w:fill="auto"/>
        <w:tabs>
          <w:tab w:pos="358" w:val="left"/>
        </w:tabs>
        <w:bidi w:val="0"/>
        <w:spacing w:before="0" w:after="3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5"/>
      <w:bookmarkEnd w:id="156"/>
      <w:bookmarkEnd w:id="158"/>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bezdůvodném přerušení prací zhotovitele, které trvá více než 14 dnů,</w:t>
      </w:r>
      <w:bookmarkEnd w:id="159"/>
      <w:bookmarkEnd w:id="160"/>
      <w:bookmarkEnd w:id="162"/>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63"/>
      <w:bookmarkEnd w:id="164"/>
      <w:bookmarkEnd w:id="166"/>
    </w:p>
    <w:p>
      <w:pPr>
        <w:pStyle w:val="Style12"/>
        <w:keepNext/>
        <w:keepLines/>
        <w:widowControl w:val="0"/>
        <w:numPr>
          <w:ilvl w:val="0"/>
          <w:numId w:val="25"/>
        </w:numPr>
        <w:shd w:val="clear" w:color="auto" w:fill="auto"/>
        <w:tabs>
          <w:tab w:pos="1179" w:val="left"/>
        </w:tabs>
        <w:bidi w:val="0"/>
        <w:spacing w:before="0" w:after="180" w:line="240" w:lineRule="auto"/>
        <w:ind w:left="0" w:right="0" w:firstLine="80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neplněním povinností zhotovitele vést řádně zápisy do stavebního deníku.</w:t>
      </w:r>
      <w:bookmarkEnd w:id="167"/>
      <w:bookmarkEnd w:id="168"/>
      <w:bookmarkEnd w:id="170"/>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3298" w:val="left"/>
          <w:tab w:pos="6106" w:val="left"/>
          <w:tab w:pos="8722" w:val="left"/>
        </w:tabs>
        <w:bidi w:val="0"/>
        <w:spacing w:before="0" w:after="0" w:line="240" w:lineRule="auto"/>
        <w:ind w:left="380" w:right="0" w:hanging="380"/>
        <w:jc w:val="left"/>
      </w:pPr>
      <w:bookmarkStart w:id="176" w:name="bookmark176"/>
      <w:bookmarkEnd w:id="176"/>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77" w:name="bookmark177"/>
      <w:bookmarkEnd w:id="17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78" w:name="bookmark178"/>
      <w:bookmarkEnd w:id="17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both"/>
      </w:pPr>
      <w:bookmarkStart w:id="179" w:name="bookmark179"/>
      <w:bookmarkEnd w:id="17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82" w:name="bookmark182"/>
      <w:bookmarkEnd w:id="18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footnotePr>
            <w:pos w:val="pageBottom"/>
            <w:numFmt w:val="decimal"/>
            <w:numRestart w:val="continuous"/>
          </w:footnotePr>
          <w:pgSz w:w="11909" w:h="16838"/>
          <w:pgMar w:top="1056" w:left="1376" w:right="1307" w:bottom="1232"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Jaroslav Hladík</w:t>
      </w:r>
    </w:p>
    <w:sectPr>
      <w:footnotePr>
        <w:pos w:val="pageBottom"/>
        <w:numFmt w:val="decimal"/>
        <w:numRestart w:val="continuous"/>
      </w:footnotePr>
      <w:type w:val="continuous"/>
      <w:pgSz w:w="11909" w:h="16838"/>
      <w:pgMar w:top="1161"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9961245</wp:posOffset>
              </wp:positionV>
              <wp:extent cx="673735" cy="161290"/>
              <wp:wrapNone/>
              <wp:docPr id="5" name="Shape 5"/>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71.69999999999999pt;margin-top:784.35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372110</wp:posOffset>
              </wp:positionV>
              <wp:extent cx="838200" cy="170815"/>
              <wp:wrapNone/>
              <wp:docPr id="3" name="Shape 3"/>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264.80000000000001pt;margin-top:29.30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4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