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19F" w:rsidRDefault="00000000">
      <w:pPr>
        <w:spacing w:after="33" w:line="259" w:lineRule="auto"/>
        <w:ind w:left="17" w:hanging="10"/>
        <w:jc w:val="center"/>
      </w:pPr>
      <w:r>
        <w:rPr>
          <w:b/>
        </w:rPr>
        <w:t xml:space="preserve">SMLOUVA O POSKYTNUTÍ DOTAČNÍHO PORADENSTVÍ  </w:t>
      </w:r>
    </w:p>
    <w:p w:rsidR="0026319F" w:rsidRDefault="00000000">
      <w:pPr>
        <w:spacing w:after="33" w:line="259" w:lineRule="auto"/>
        <w:ind w:left="17" w:right="1" w:hanging="10"/>
        <w:jc w:val="center"/>
      </w:pPr>
      <w:r>
        <w:rPr>
          <w:b/>
        </w:rPr>
        <w:t xml:space="preserve">_________________________________________________________  </w:t>
      </w:r>
    </w:p>
    <w:p w:rsidR="0026319F" w:rsidRDefault="00000000">
      <w:pPr>
        <w:spacing w:after="31" w:line="259" w:lineRule="auto"/>
        <w:ind w:left="57" w:firstLine="0"/>
        <w:jc w:val="center"/>
      </w:pPr>
      <w:r>
        <w:rPr>
          <w:b/>
        </w:rPr>
        <w:t xml:space="preserve"> </w:t>
      </w:r>
    </w:p>
    <w:p w:rsidR="0026319F" w:rsidRDefault="00000000">
      <w:pPr>
        <w:spacing w:after="31" w:line="259" w:lineRule="auto"/>
        <w:ind w:left="10" w:hanging="10"/>
        <w:jc w:val="center"/>
      </w:pPr>
      <w:r>
        <w:t>tato SMLOUVA O POSKYTNUTÍ DOTAČNÍHO PORADENSTVÍ (dále jen „</w:t>
      </w:r>
      <w:r>
        <w:rPr>
          <w:b/>
        </w:rPr>
        <w:t>Smlouva</w:t>
      </w:r>
      <w:r>
        <w:t>“ nebo „</w:t>
      </w:r>
      <w:r>
        <w:rPr>
          <w:b/>
        </w:rPr>
        <w:t>tato Smlouva</w:t>
      </w:r>
      <w:r>
        <w:t>“) se uzavírá ve smyslu § 1746 odst. 2 a násl. zákona č. 89/2012 Sb., občanský zákoník, v platném znění (dále jen jako „</w:t>
      </w:r>
      <w:r>
        <w:rPr>
          <w:b/>
        </w:rPr>
        <w:t>Občanský zákoník</w:t>
      </w:r>
      <w:r>
        <w:t xml:space="preserve">“) mezi: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pStyle w:val="Nadpis1"/>
        <w:numPr>
          <w:ilvl w:val="0"/>
          <w:numId w:val="0"/>
        </w:numPr>
        <w:ind w:left="6" w:right="6871"/>
      </w:pPr>
      <w:r>
        <w:t xml:space="preserve">Czech Cool </w:t>
      </w:r>
      <w:proofErr w:type="spellStart"/>
      <w:r>
        <w:t>Trade</w:t>
      </w:r>
      <w:proofErr w:type="spellEnd"/>
      <w:r>
        <w:t xml:space="preserve"> s.r.o. </w:t>
      </w:r>
      <w:r>
        <w:rPr>
          <w:b w:val="0"/>
        </w:rPr>
        <w:t xml:space="preserve">IČO: 01483846  </w:t>
      </w:r>
    </w:p>
    <w:p w:rsidR="0026319F" w:rsidRDefault="00000000">
      <w:pPr>
        <w:ind w:left="-4" w:firstLine="0"/>
      </w:pPr>
      <w:r>
        <w:t xml:space="preserve">se sídlem Husitská 705/54, Žižkov, 130 00 Praha 3 </w:t>
      </w:r>
    </w:p>
    <w:p w:rsidR="0026319F" w:rsidRDefault="00000000">
      <w:pPr>
        <w:ind w:left="-4" w:firstLine="0"/>
      </w:pPr>
      <w:r>
        <w:t xml:space="preserve">korespondenční adresa Bílovecká 483/44, 721 00 Ostrava – Svinov </w:t>
      </w:r>
    </w:p>
    <w:p w:rsidR="0026319F" w:rsidRDefault="00000000">
      <w:pPr>
        <w:ind w:left="-4" w:firstLine="0"/>
      </w:pPr>
      <w:r>
        <w:t xml:space="preserve">společnost v obchodním rejstříku u Městského soudu v Praze pod spisovou značkou C 207170, zastoupena Mgr. Martinem </w:t>
      </w:r>
      <w:proofErr w:type="spellStart"/>
      <w:r>
        <w:t>Kovalským</w:t>
      </w:r>
      <w:proofErr w:type="spellEnd"/>
      <w:r>
        <w:t xml:space="preserve">, MBA, jednatelem </w:t>
      </w:r>
    </w:p>
    <w:p w:rsidR="0026319F" w:rsidRDefault="00000000">
      <w:pPr>
        <w:ind w:left="-4" w:firstLine="0"/>
      </w:pPr>
      <w:r>
        <w:t xml:space="preserve">č. </w:t>
      </w:r>
      <w:proofErr w:type="spellStart"/>
      <w:r>
        <w:t>ú.</w:t>
      </w:r>
      <w:proofErr w:type="spellEnd"/>
      <w:r>
        <w:t xml:space="preserve"> 210334738/0600 vedený u MONETA Money Bank, a.s. </w:t>
      </w:r>
    </w:p>
    <w:p w:rsidR="0026319F" w:rsidRDefault="00000000">
      <w:pPr>
        <w:ind w:left="-4" w:firstLine="0"/>
      </w:pPr>
      <w:r>
        <w:t xml:space="preserve">e-mail: kovalsky@cct.cz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(dále jen jako „</w:t>
      </w:r>
      <w:r>
        <w:rPr>
          <w:b/>
        </w:rPr>
        <w:t>CCT“</w:t>
      </w:r>
      <w:r>
        <w:t xml:space="preserve">)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 xml:space="preserve">a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-4" w:right="6673" w:firstLine="0"/>
      </w:pPr>
      <w:r>
        <w:rPr>
          <w:b/>
        </w:rPr>
        <w:t xml:space="preserve">AKORD &amp; POKLAD, s.r.o. </w:t>
      </w:r>
      <w:r>
        <w:t xml:space="preserve">IČO/ dat. nar.: 47973145 </w:t>
      </w:r>
    </w:p>
    <w:p w:rsidR="0026319F" w:rsidRDefault="00000000">
      <w:pPr>
        <w:ind w:left="-4" w:firstLine="0"/>
      </w:pPr>
      <w:r>
        <w:t xml:space="preserve">se sídlem náměstí Slovenského národního povstání 2012/1, 70030 Ostrava  </w:t>
      </w:r>
    </w:p>
    <w:p w:rsidR="0026319F" w:rsidRDefault="00000000">
      <w:pPr>
        <w:ind w:left="-4" w:firstLine="0"/>
      </w:pPr>
      <w:r>
        <w:t>společnost zapsaná v obchodním rejstříku u Krajského soudu v Ostravě pod spisovou značkou C 5281, zastoupena Mgr. Darinou Daňkovou, MBA, jednatelkou email: d.dankova@akord-poklad.cz</w:t>
      </w:r>
      <w:r>
        <w:rPr>
          <w:b/>
        </w:rPr>
        <w:t xml:space="preserve">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(dále jen jako „</w:t>
      </w:r>
      <w:r>
        <w:rPr>
          <w:b/>
        </w:rPr>
        <w:t>Klient</w:t>
      </w:r>
      <w:r>
        <w:t xml:space="preserve">“)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(CCT a Klient dále jen jako „</w:t>
      </w:r>
      <w:r>
        <w:rPr>
          <w:b/>
        </w:rPr>
        <w:t>Strany</w:t>
      </w:r>
      <w:r>
        <w:t>“ nebo jednotlivě jako „</w:t>
      </w:r>
      <w:r>
        <w:rPr>
          <w:b/>
        </w:rPr>
        <w:t>Strana</w:t>
      </w:r>
      <w:r>
        <w:t xml:space="preserve">“)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spacing w:after="33" w:line="259" w:lineRule="auto"/>
        <w:ind w:left="17" w:hanging="10"/>
        <w:jc w:val="center"/>
      </w:pPr>
      <w:r>
        <w:rPr>
          <w:b/>
        </w:rPr>
        <w:t xml:space="preserve">PREAMBULE </w:t>
      </w:r>
    </w:p>
    <w:p w:rsidR="0026319F" w:rsidRDefault="00000000">
      <w:pPr>
        <w:spacing w:after="31" w:line="259" w:lineRule="auto"/>
        <w:ind w:left="11" w:firstLine="0"/>
        <w:jc w:val="left"/>
      </w:pPr>
      <w:r>
        <w:rPr>
          <w:b/>
        </w:rPr>
        <w:t xml:space="preserve"> </w:t>
      </w:r>
    </w:p>
    <w:p w:rsidR="0026319F" w:rsidRDefault="00000000">
      <w:pPr>
        <w:numPr>
          <w:ilvl w:val="0"/>
          <w:numId w:val="1"/>
        </w:numPr>
        <w:ind w:hanging="567"/>
      </w:pPr>
      <w:r>
        <w:t xml:space="preserve">CCT je poradenská, konzultační a vzdělávací společnost, která poskytuje své služby v oblastech zaměřující se na podnikový růst, oblast dotačního managementu, obchodní podpory, marketingové podpory a vzdělávání. </w:t>
      </w:r>
    </w:p>
    <w:p w:rsidR="0026319F" w:rsidRDefault="00000000">
      <w:pPr>
        <w:spacing w:after="0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numPr>
          <w:ilvl w:val="0"/>
          <w:numId w:val="1"/>
        </w:numPr>
        <w:ind w:hanging="567"/>
      </w:pPr>
      <w:r>
        <w:t xml:space="preserve">Strany prohlašují, že mezi nimi již úspěšné probíhá spolupráce na základě Smlouvy o poskytování poradenských a konzultačních služeb, přičemž touto Smlouvou mají Strany zájem svou stávající spolupráci dále prohloubit. </w:t>
      </w:r>
    </w:p>
    <w:p w:rsidR="0026319F" w:rsidRDefault="00000000">
      <w:pPr>
        <w:spacing w:after="35" w:line="259" w:lineRule="auto"/>
        <w:ind w:left="578" w:firstLine="0"/>
        <w:jc w:val="left"/>
      </w:pPr>
      <w:r>
        <w:lastRenderedPageBreak/>
        <w:t xml:space="preserve"> </w:t>
      </w:r>
    </w:p>
    <w:p w:rsidR="0026319F" w:rsidRDefault="00000000">
      <w:pPr>
        <w:pStyle w:val="Nadpis1"/>
        <w:ind w:left="563" w:hanging="567"/>
      </w:pPr>
      <w:r>
        <w:t xml:space="preserve">DOTAČNÍ PROGRAM a ROZHODNUTÍ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Klient má zájem o získání finančních prostředků z programu: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tabs>
          <w:tab w:val="center" w:pos="1822"/>
          <w:tab w:val="center" w:pos="4259"/>
          <w:tab w:val="center" w:pos="6948"/>
        </w:tabs>
        <w:ind w:left="0" w:firstLine="0"/>
        <w:jc w:val="left"/>
      </w:pPr>
      <w:r>
        <w:tab/>
        <w:t xml:space="preserve">Název dotačního programu: </w:t>
      </w:r>
      <w:r>
        <w:tab/>
        <w:t xml:space="preserve"> </w:t>
      </w:r>
      <w:r>
        <w:tab/>
        <w:t xml:space="preserve">Operační program Spravedlivá transformace </w:t>
      </w:r>
    </w:p>
    <w:p w:rsidR="0026319F" w:rsidRDefault="00000000">
      <w:pPr>
        <w:tabs>
          <w:tab w:val="center" w:pos="866"/>
          <w:tab w:val="center" w:pos="1427"/>
          <w:tab w:val="center" w:pos="2135"/>
          <w:tab w:val="center" w:pos="2843"/>
          <w:tab w:val="center" w:pos="3551"/>
          <w:tab w:val="center" w:pos="4259"/>
          <w:tab w:val="right" w:pos="9375"/>
        </w:tabs>
        <w:ind w:left="0" w:firstLine="0"/>
        <w:jc w:val="left"/>
      </w:pPr>
      <w:r>
        <w:tab/>
        <w:t xml:space="preserve">Výzva: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Kulturní a kreativní centra Moravskoslezský kraj </w:t>
      </w:r>
    </w:p>
    <w:p w:rsidR="0026319F" w:rsidRDefault="00000000">
      <w:pPr>
        <w:tabs>
          <w:tab w:val="center" w:pos="1511"/>
          <w:tab w:val="center" w:pos="2843"/>
          <w:tab w:val="center" w:pos="3551"/>
          <w:tab w:val="center" w:pos="4259"/>
          <w:tab w:val="center" w:pos="6403"/>
        </w:tabs>
        <w:ind w:left="0" w:firstLine="0"/>
        <w:jc w:val="left"/>
      </w:pPr>
      <w:r>
        <w:tab/>
        <w:t xml:space="preserve">Poskytovatel dotace: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Ministerstvo životního prostředí </w:t>
      </w:r>
    </w:p>
    <w:p w:rsidR="0026319F" w:rsidRDefault="00000000">
      <w:pPr>
        <w:spacing w:after="0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pStyle w:val="Nadpis1"/>
        <w:numPr>
          <w:ilvl w:val="0"/>
          <w:numId w:val="0"/>
        </w:numPr>
        <w:ind w:left="588"/>
      </w:pPr>
      <w:r>
        <w:rPr>
          <w:b w:val="0"/>
        </w:rPr>
        <w:t>(dále jen „</w:t>
      </w:r>
      <w:r>
        <w:t>Dotační program</w:t>
      </w:r>
      <w:r>
        <w:rPr>
          <w:b w:val="0"/>
        </w:rPr>
        <w:t xml:space="preserve">“) </w:t>
      </w:r>
    </w:p>
    <w:p w:rsidR="0026319F" w:rsidRDefault="00000000">
      <w:pPr>
        <w:spacing w:after="35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Pojem Rozhodnutí v této Smlouvě má význam jakéhokoli jednostranného či dvoustranného právního aktu, na </w:t>
      </w:r>
      <w:proofErr w:type="gramStart"/>
      <w:r>
        <w:t>základě</w:t>
      </w:r>
      <w:proofErr w:type="gramEnd"/>
      <w:r>
        <w:t xml:space="preserve"> kterého je Klientovi přiznána dotace či podpora Poskytovatelem dotace dle podmínek Dotačního programu. Za Rozhodnutím dle této Smlouvy je tedy považována zejména Smlouva o poskytnutí dotace, Dohoda o poskytnutí příspěvku, Rozhodnutí o poskytnutí dotace aj.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11" w:firstLine="0"/>
        <w:jc w:val="left"/>
      </w:pPr>
      <w:r>
        <w:rPr>
          <w:b/>
        </w:rPr>
        <w:t xml:space="preserve"> </w:t>
      </w:r>
    </w:p>
    <w:p w:rsidR="0026319F" w:rsidRDefault="00000000">
      <w:pPr>
        <w:pStyle w:val="Nadpis1"/>
        <w:ind w:left="563" w:hanging="567"/>
      </w:pPr>
      <w:r>
        <w:t xml:space="preserve">PŘEDMĚT SMLOUVY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2.1.</w:t>
      </w:r>
      <w:r>
        <w:rPr>
          <w:rFonts w:ascii="Arial" w:eastAsia="Arial" w:hAnsi="Arial" w:cs="Arial"/>
        </w:rPr>
        <w:t xml:space="preserve"> </w:t>
      </w:r>
      <w:r>
        <w:t>CCT se zavazuje poskytovat Klientovi své poradenské služby, a to v souvislosti s administrací žádosti o dotaci (finanční podporu) v rámci Dotačního programu (dále jen „</w:t>
      </w:r>
      <w:r>
        <w:rPr>
          <w:b/>
        </w:rPr>
        <w:t>Dotace</w:t>
      </w:r>
      <w:r>
        <w:t xml:space="preserve">“), spočívající zejména v: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numPr>
          <w:ilvl w:val="0"/>
          <w:numId w:val="2"/>
        </w:numPr>
        <w:ind w:hanging="567"/>
      </w:pPr>
      <w:r>
        <w:t xml:space="preserve">odborném poradenství v rámci přípravy žádosti o Dotaci; </w:t>
      </w:r>
    </w:p>
    <w:p w:rsidR="0026319F" w:rsidRDefault="00000000">
      <w:pPr>
        <w:numPr>
          <w:ilvl w:val="0"/>
          <w:numId w:val="2"/>
        </w:numPr>
        <w:ind w:hanging="567"/>
      </w:pPr>
      <w:r>
        <w:t xml:space="preserve">zpracování žádosti o Dotaci ke konkrétnímu projektu Klienta; </w:t>
      </w:r>
    </w:p>
    <w:p w:rsidR="0026319F" w:rsidRDefault="00000000">
      <w:pPr>
        <w:numPr>
          <w:ilvl w:val="0"/>
          <w:numId w:val="2"/>
        </w:numPr>
        <w:ind w:hanging="567"/>
      </w:pPr>
      <w:r>
        <w:t xml:space="preserve">podání žádosti o Dotaci, pokud je tak domluveno dle čl. 4 této Smlouvy; </w:t>
      </w:r>
    </w:p>
    <w:p w:rsidR="0026319F" w:rsidRDefault="00000000">
      <w:pPr>
        <w:numPr>
          <w:ilvl w:val="0"/>
          <w:numId w:val="2"/>
        </w:numPr>
        <w:ind w:hanging="567"/>
      </w:pPr>
      <w:r>
        <w:t xml:space="preserve">administraci žádosti o Dotaci v průběhu jejího hodnocení, vč. zpracování případných žádostí o změnu; </w:t>
      </w:r>
    </w:p>
    <w:p w:rsidR="0026319F" w:rsidRDefault="00000000">
      <w:pPr>
        <w:numPr>
          <w:ilvl w:val="0"/>
          <w:numId w:val="2"/>
        </w:numPr>
        <w:ind w:hanging="567"/>
      </w:pPr>
      <w:r>
        <w:t xml:space="preserve">zpracování žádosti o platbu či vyúčtování Dotace; </w:t>
      </w:r>
    </w:p>
    <w:p w:rsidR="0026319F" w:rsidRDefault="00000000">
      <w:pPr>
        <w:numPr>
          <w:ilvl w:val="0"/>
          <w:numId w:val="2"/>
        </w:numPr>
        <w:ind w:hanging="567"/>
      </w:pPr>
      <w:r>
        <w:t xml:space="preserve">administraci monitoringu v době udržitelnosti; </w:t>
      </w:r>
    </w:p>
    <w:p w:rsidR="0026319F" w:rsidRDefault="00000000">
      <w:pPr>
        <w:spacing w:after="31" w:line="259" w:lineRule="auto"/>
        <w:ind w:left="938" w:firstLine="0"/>
        <w:jc w:val="left"/>
      </w:pPr>
      <w:r>
        <w:t xml:space="preserve"> </w:t>
      </w:r>
    </w:p>
    <w:p w:rsidR="0026319F" w:rsidRDefault="00000000">
      <w:pPr>
        <w:ind w:left="578" w:firstLine="0"/>
      </w:pPr>
      <w:r>
        <w:t>(dále jen jako „</w:t>
      </w:r>
      <w:r>
        <w:rPr>
          <w:b/>
        </w:rPr>
        <w:t>Služby</w:t>
      </w:r>
      <w:r>
        <w:t xml:space="preserve">“). </w:t>
      </w:r>
    </w:p>
    <w:p w:rsidR="0026319F" w:rsidRDefault="00000000">
      <w:pPr>
        <w:spacing w:after="35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numPr>
          <w:ilvl w:val="1"/>
          <w:numId w:val="3"/>
        </w:numPr>
        <w:ind w:hanging="567"/>
      </w:pPr>
      <w:r>
        <w:t xml:space="preserve">Klient se zavazuje hradit CCT za poskytnuté Služby odměnu dle čl. 3 Smlouvy. </w:t>
      </w:r>
    </w:p>
    <w:p w:rsidR="0026319F" w:rsidRDefault="00000000">
      <w:pPr>
        <w:spacing w:after="0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numPr>
          <w:ilvl w:val="1"/>
          <w:numId w:val="3"/>
        </w:numPr>
        <w:ind w:hanging="567"/>
      </w:pPr>
      <w:r>
        <w:t xml:space="preserve">Předmětem této Smlouvy není vypracování konkrétního projektu, na nějž má Klient zájem získat Dotaci. </w:t>
      </w:r>
    </w:p>
    <w:p w:rsidR="0026319F" w:rsidRDefault="00000000">
      <w:pPr>
        <w:spacing w:after="31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numPr>
          <w:ilvl w:val="1"/>
          <w:numId w:val="3"/>
        </w:numPr>
        <w:ind w:hanging="567"/>
      </w:pPr>
      <w:r>
        <w:lastRenderedPageBreak/>
        <w:t xml:space="preserve">Předmětem této Smlouvy dále není poskytování účetních ani právních služeb v souvislosti s poskytováním Služeb, stejně tak ani realizace či administrace výběrového řízení pro výběr dodavatele (veřejné zakázky), pokud bude potřeba.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pStyle w:val="Nadpis1"/>
        <w:ind w:left="563" w:hanging="567"/>
      </w:pPr>
      <w:r>
        <w:t xml:space="preserve">ODMĚNA a ADMINISTRAČNÍ POPLATEK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Odměna CCT se skládá ze dvou částí: </w:t>
      </w:r>
    </w:p>
    <w:p w:rsidR="0026319F" w:rsidRDefault="00000000">
      <w:pPr>
        <w:spacing w:after="35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numPr>
          <w:ilvl w:val="0"/>
          <w:numId w:val="4"/>
        </w:numPr>
        <w:ind w:hanging="567"/>
      </w:pPr>
      <w:r>
        <w:t>„</w:t>
      </w:r>
      <w:proofErr w:type="spellStart"/>
      <w:r>
        <w:rPr>
          <w:i/>
        </w:rPr>
        <w:t>Flat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</w:t>
      </w:r>
      <w:proofErr w:type="spellEnd"/>
      <w:r>
        <w:t>" - odměna základní (dále jen „</w:t>
      </w:r>
      <w:r>
        <w:rPr>
          <w:b/>
        </w:rPr>
        <w:t>Odměna FF</w:t>
      </w:r>
      <w:r>
        <w:t xml:space="preserve">“); </w:t>
      </w:r>
    </w:p>
    <w:p w:rsidR="0026319F" w:rsidRDefault="00000000">
      <w:pPr>
        <w:numPr>
          <w:ilvl w:val="0"/>
          <w:numId w:val="4"/>
        </w:numPr>
        <w:ind w:hanging="567"/>
      </w:pPr>
      <w:r>
        <w:t>„</w:t>
      </w:r>
      <w:proofErr w:type="spellStart"/>
      <w:r>
        <w:rPr>
          <w:i/>
        </w:rPr>
        <w:t>Success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</w:t>
      </w:r>
      <w:proofErr w:type="spellEnd"/>
      <w:r>
        <w:t>" - odměna za úspěšný projekt (dále jen „</w:t>
      </w:r>
      <w:r>
        <w:rPr>
          <w:b/>
        </w:rPr>
        <w:t>Odměna SF</w:t>
      </w:r>
      <w:r>
        <w:t xml:space="preserve">“);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numPr>
          <w:ilvl w:val="1"/>
          <w:numId w:val="5"/>
        </w:numPr>
      </w:pPr>
      <w:r>
        <w:t xml:space="preserve">Odměna FF je stanovena pevnou částkou, přičemž nárok CCT na Odměnu FF vzniká uzavřením této Smlouvy. Výše Odměny FF je 20.900 Kč za druhou žádost (Kulturní dům </w:t>
      </w:r>
      <w:proofErr w:type="gramStart"/>
      <w:r>
        <w:t>AKORD - Modernizace</w:t>
      </w:r>
      <w:proofErr w:type="gramEnd"/>
      <w:r>
        <w:t xml:space="preserve"> vybraných prostor a AVT v Akordu) v rámci výše uvedeného dotačního programu.  </w:t>
      </w:r>
    </w:p>
    <w:p w:rsidR="0026319F" w:rsidRDefault="00000000">
      <w:pPr>
        <w:numPr>
          <w:ilvl w:val="1"/>
          <w:numId w:val="5"/>
        </w:numPr>
      </w:pPr>
      <w:r>
        <w:t xml:space="preserve">Odměna SF náleží CCT pouze v případě, kdy bude Dotace přiznána na základě Rozhodnutí Poskytovatele dotace. Výše Odměny SF se vypočte jako procentuální podíl po vyplacení částky přiznané dotace klientovi.  </w:t>
      </w:r>
    </w:p>
    <w:p w:rsidR="0026319F" w:rsidRDefault="00000000">
      <w:pPr>
        <w:numPr>
          <w:ilvl w:val="1"/>
          <w:numId w:val="5"/>
        </w:numPr>
      </w:pPr>
      <w:r>
        <w:t>Odměna SF náleží CCT pouze v případě, kdy bude Dotace přiznána na základě rozhodnutí Poskytovatele Dotace (dále jen „</w:t>
      </w:r>
      <w:r>
        <w:rPr>
          <w:b/>
        </w:rPr>
        <w:t>Rozhodnutí</w:t>
      </w:r>
      <w:r>
        <w:t xml:space="preserve">“). Výše Odměny SF se vypočte jako procentuální podíl z částky přiznané Dotace, přičemž Odměna SF je splatná: </w:t>
      </w:r>
    </w:p>
    <w:p w:rsidR="0026319F" w:rsidRDefault="00000000">
      <w:pPr>
        <w:spacing w:after="31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ind w:left="1155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až na základě řádně předloženého a schváleného vyúčtování jednotlivých etap realizace projektu. Počet etap bude upřesněn dle nastavení v projektu. </w:t>
      </w:r>
    </w:p>
    <w:p w:rsidR="0026319F" w:rsidRDefault="00000000">
      <w:pPr>
        <w:spacing w:after="31" w:line="259" w:lineRule="auto"/>
        <w:ind w:left="1145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Procentuální výše pro výpočet Odměny SF je 3,8 % z reálně vyplacené částky přiznané dotace.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V případě, kdy Klient stáhne žádost o Dotaci ještě před vydáním Rozhodnutí, náleží CCT Odměna FF.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Zpracovaná žádost o poskytnutí dotace, ani žádná její dílčí část, nesmí být žadatelem (klientem) použita k podání žádosti ve stávající ani jiné dotační výzvě. 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3.8.</w:t>
      </w:r>
      <w:r>
        <w:rPr>
          <w:rFonts w:ascii="Arial" w:eastAsia="Arial" w:hAnsi="Arial" w:cs="Arial"/>
        </w:rPr>
        <w:t xml:space="preserve"> </w:t>
      </w:r>
      <w:r>
        <w:t xml:space="preserve">Sjednaná Odměna bude navýšena o platnou sazbu DPH.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3.9.</w:t>
      </w:r>
      <w:r>
        <w:rPr>
          <w:rFonts w:ascii="Arial" w:eastAsia="Arial" w:hAnsi="Arial" w:cs="Arial"/>
        </w:rPr>
        <w:t xml:space="preserve"> </w:t>
      </w:r>
      <w:r>
        <w:t xml:space="preserve">Odměna je v souladu s výše uvedeným splatná na základě faktury vystavené CCT se splatností čtrnáct (14) dní od jejího doručení klientovi.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lastRenderedPageBreak/>
        <w:t>3.10.</w:t>
      </w:r>
      <w:r>
        <w:rPr>
          <w:rFonts w:ascii="Arial" w:eastAsia="Arial" w:hAnsi="Arial" w:cs="Arial"/>
        </w:rPr>
        <w:t xml:space="preserve"> </w:t>
      </w:r>
      <w:r>
        <w:t xml:space="preserve">Odměna FF a SF bude hrazena bankovním převodem na tuzemský bankovní účet CCT uvedený v záhlaví Smlouvy, případně na jiný bankovní účet, který bude za tímto účelem Klientovi písemně sdělen. </w:t>
      </w:r>
    </w:p>
    <w:p w:rsidR="0026319F" w:rsidRDefault="00000000">
      <w:pPr>
        <w:spacing w:after="0" w:line="259" w:lineRule="auto"/>
        <w:ind w:left="731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26319F" w:rsidRDefault="00000000">
      <w:pPr>
        <w:ind w:left="573"/>
      </w:pPr>
      <w:r>
        <w:t>3.11.</w:t>
      </w:r>
      <w:r>
        <w:rPr>
          <w:rFonts w:ascii="Arial" w:eastAsia="Arial" w:hAnsi="Arial" w:cs="Arial"/>
        </w:rPr>
        <w:t xml:space="preserve"> </w:t>
      </w:r>
      <w:r>
        <w:t xml:space="preserve">V případě, že Klient předá veškeré podklady nezbytné pro podání dotační žádosti ve lhůtě kratší než čtrnáct (14) kalendářních dnů před termínem ukončení příjmu žádostí v rámci dané Výzvy, zavazuje se uhradit CCT poplatek za expresní zpracování žádosti ve výši 20.000 Kč bez DPH. O termínu ukončení příjmu žádostí bude Klient informován písemnou formou ze strany CCT.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pStyle w:val="Nadpis1"/>
        <w:ind w:left="563" w:hanging="567"/>
      </w:pPr>
      <w:r>
        <w:t xml:space="preserve">PRÁVA A POVINNOSTI CCT </w:t>
      </w:r>
    </w:p>
    <w:p w:rsidR="0026319F" w:rsidRDefault="00000000">
      <w:pPr>
        <w:spacing w:after="31" w:line="259" w:lineRule="auto"/>
        <w:ind w:left="11" w:firstLine="0"/>
        <w:jc w:val="left"/>
      </w:pPr>
      <w:r>
        <w:rPr>
          <w:b/>
        </w:rPr>
        <w:t xml:space="preserve"> </w:t>
      </w:r>
    </w:p>
    <w:p w:rsidR="0026319F" w:rsidRDefault="00000000">
      <w:pPr>
        <w:ind w:left="573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CCT je povinen poskytovat Služby pro Klienta s odbornou péčí, dbát oprávněných zájmů Klienta a postupovat dle pokynů Klienta.   </w:t>
      </w:r>
    </w:p>
    <w:p w:rsidR="0026319F" w:rsidRDefault="00000000">
      <w:pPr>
        <w:spacing w:after="35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CCT podá za Klienta žádost o Dotaci jedině v případě, kdy se takto výslovně s Klientem domluví, a to na základě plné moci udělené Klientem s ověřeným podpisem dle vzoru plné moci k příslušnému programu poskytnutého CCT Klientovi.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CCT odpovídá Klientovi za řádné vyplnění žádosti o Dotaci včetně všech náležitostí této žádosti a řádné a včasné podání této žádosti, jakož i její doplňování ve stanovených lhůtách a řádné a včasné činění jiných jednání či úkonů, k nimž byl CCT zmocněn.  CCT odpovídá Klientovi za veškeré újmy, které by způsobil Klientovi porušením těchto povinností. </w:t>
      </w:r>
    </w:p>
    <w:p w:rsidR="0026319F" w:rsidRDefault="00000000">
      <w:pPr>
        <w:spacing w:after="35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pStyle w:val="Nadpis1"/>
        <w:ind w:left="563" w:hanging="567"/>
      </w:pPr>
      <w:r>
        <w:t>PRÁVA A POVINNOSTI KLIENTA</w:t>
      </w:r>
      <w:r>
        <w:rPr>
          <w:b w:val="0"/>
        </w:rP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Klient bezodkladně informuje CCT o vydání Rozhodnutí o poskytnutí Dotace a o přijetí částky přiznané Dotace od jejího poskytovatele.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Klient má nárok v rámci poskytování Služeb dle této Smlouvy na administraci pouze jedné (1) žádosti o Dotaci. </w:t>
      </w:r>
    </w:p>
    <w:p w:rsidR="0026319F" w:rsidRDefault="00000000">
      <w:pPr>
        <w:spacing w:after="31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Klient je povinen vždy řádně a včas dodat veškeré a úplné podklady a informace nezbytné k poskytnutí Služeb. Klient dodá nebo doplní tyto podklady a informace v termínu dle výzvy CCT, učiněné prostřednictvím kontaktního emailu. </w:t>
      </w:r>
    </w:p>
    <w:p w:rsidR="0026319F" w:rsidRDefault="00000000">
      <w:pPr>
        <w:spacing w:after="31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Klient odpovídá za úplnost a správnost podkladů a informací dle bodu 5.3 Smlouvy. 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lastRenderedPageBreak/>
        <w:t>5.5.</w:t>
      </w:r>
      <w:r>
        <w:rPr>
          <w:rFonts w:ascii="Arial" w:eastAsia="Arial" w:hAnsi="Arial" w:cs="Arial"/>
        </w:rPr>
        <w:t xml:space="preserve"> </w:t>
      </w:r>
      <w:r>
        <w:t xml:space="preserve">V případě, kdy Poskytovatel dotace vyzve Klienta k doplnění již podané žádosti o Dotaci, Klient bezodkladně informuje CCT o této skutečnosti prostřednictvím kontaktního emailu. </w:t>
      </w:r>
    </w:p>
    <w:p w:rsidR="0026319F" w:rsidRDefault="00000000">
      <w:pPr>
        <w:spacing w:after="0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5.6.</w:t>
      </w:r>
      <w:r>
        <w:rPr>
          <w:rFonts w:ascii="Arial" w:eastAsia="Arial" w:hAnsi="Arial" w:cs="Arial"/>
        </w:rPr>
        <w:t xml:space="preserve"> </w:t>
      </w:r>
      <w:r>
        <w:t xml:space="preserve">V případě, kdy Poskytovatel dotace vyzve Klienta k doplnění již podané žádosti o Dotaci, je Klient povinen poskytnout CCT součinnost s jejím doplněním, tj. je povinen poskytnout všechny doplňující podklady a nezbytné informace v termínu dle výzvy CCT, učiněné prostřednictvím kontaktního emailu.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5.7.</w:t>
      </w:r>
      <w:r>
        <w:rPr>
          <w:rFonts w:ascii="Arial" w:eastAsia="Arial" w:hAnsi="Arial" w:cs="Arial"/>
        </w:rPr>
        <w:t xml:space="preserve"> </w:t>
      </w:r>
      <w:r>
        <w:t xml:space="preserve">V případě, že Klient nedodá všechny podklady a informace nezbytné k poskytnutí Služeb řádně a v termínu dle předchozích bodů, nebo neinformuje CCT ohledně povinnosti doplnit žádost o Dotaci dle bodu 5.5 Smlouvy, je v prodlení a CCT neodpovídá za jakoukoli újmu či škodu v důsledku toho vzniklou, zejména neodpovídá za dodržení termínů stanovených Poskytovatelem dotace.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pStyle w:val="Nadpis1"/>
        <w:ind w:left="563" w:hanging="567"/>
      </w:pPr>
      <w:r>
        <w:t xml:space="preserve">PROHLÁŠENÍ KLIENTA </w:t>
      </w:r>
    </w:p>
    <w:p w:rsidR="0026319F" w:rsidRDefault="00000000">
      <w:pPr>
        <w:spacing w:after="31" w:line="259" w:lineRule="auto"/>
        <w:ind w:left="578" w:firstLine="0"/>
        <w:jc w:val="left"/>
      </w:pPr>
      <w:r>
        <w:rPr>
          <w:b/>
        </w:rPr>
        <w:t xml:space="preserve"> </w:t>
      </w:r>
    </w:p>
    <w:p w:rsidR="0026319F" w:rsidRDefault="00000000">
      <w:pPr>
        <w:ind w:left="573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Klient tímto prohlašuje, že byl podrobně seznámen s podmínkami Dotačního programu a podmínkami poskytnutí Dotace.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Klient dále prohlašuje, že jsou v souvislosti s jeho osobou splněny všechny zákonné požadavky poskytnutí Dotace, zejména Klient prohlašuje (pokud je to relevantní), že: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numPr>
          <w:ilvl w:val="0"/>
          <w:numId w:val="6"/>
        </w:numPr>
        <w:ind w:hanging="567"/>
      </w:pPr>
      <w:r>
        <w:t xml:space="preserve">má zveřejněné všechny účetní uzávěrky v příslušném rejstříku ve smyslu v platné právní úpravy; </w:t>
      </w:r>
    </w:p>
    <w:p w:rsidR="0026319F" w:rsidRDefault="00000000">
      <w:pPr>
        <w:numPr>
          <w:ilvl w:val="0"/>
          <w:numId w:val="6"/>
        </w:numPr>
        <w:ind w:hanging="567"/>
      </w:pPr>
      <w:r>
        <w:t xml:space="preserve">má řádně provedený zápis v registru skutečných majitelů; </w:t>
      </w:r>
    </w:p>
    <w:p w:rsidR="0026319F" w:rsidRDefault="00000000">
      <w:pPr>
        <w:numPr>
          <w:ilvl w:val="0"/>
          <w:numId w:val="6"/>
        </w:numPr>
        <w:ind w:hanging="567"/>
      </w:pPr>
      <w:r>
        <w:t xml:space="preserve">žádný z jeho společníků nevlastní ke svému podílu kmenové listy a nemá sídlo v „daňovém ráji“.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numPr>
          <w:ilvl w:val="1"/>
          <w:numId w:val="7"/>
        </w:numPr>
        <w:ind w:hanging="567"/>
      </w:pPr>
      <w:r>
        <w:t xml:space="preserve">Klient bere na vědomí, že uzavřením této Smlouvy nevzniká nárok na získání Dotace.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numPr>
          <w:ilvl w:val="1"/>
          <w:numId w:val="7"/>
        </w:numPr>
        <w:ind w:hanging="567"/>
      </w:pPr>
      <w:r>
        <w:t xml:space="preserve">Klient dále bere na vědomí, že na získání Dotace není rovněž automatický právní nárok. Poskytovatel Dotace rozhodne o poskytnutí Dotace, a to v souladu s Dotačním programem a dotačními podmínkami. 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numPr>
          <w:ilvl w:val="1"/>
          <w:numId w:val="7"/>
        </w:numPr>
        <w:ind w:hanging="567"/>
      </w:pPr>
      <w:r>
        <w:t xml:space="preserve">Klient prohlašuje, že je seznámen s případnou povinností a podmínkami administrace výběrového řízení pro výběr dodavatele. Výběr a zajištění administrátora veřejné zakázky je na Klientovi, CCT v této věci pouze podá doporučení na možné administrátory. 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numPr>
          <w:ilvl w:val="1"/>
          <w:numId w:val="7"/>
        </w:numPr>
        <w:ind w:hanging="567"/>
      </w:pPr>
      <w:r>
        <w:lastRenderedPageBreak/>
        <w:t xml:space="preserve">Pokud některé z výše uvedených prohlášení není pravdivé, nezodpovídá CCT za případnou újmu z toho vzniklou a má právo tuto smlouvu vypovědět bez výpovědní doby.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5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pStyle w:val="Nadpis1"/>
        <w:ind w:left="563" w:hanging="567"/>
      </w:pPr>
      <w:r>
        <w:t xml:space="preserve">TRVÁNÍ SMLOUVY a UKONČENÍ SMLOUVY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Tato Smlouva se uzavírá na dobu určitou, a to do konce doby udržitelnosti stanovené v Rozhodnutí o Dotaci.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V případě, kdy Klient vezme žádost o Dotaci zpět před vydáním Rozhodnutí, automaticky dojde k ukončení této Smlouvy. Tím není zasažen nárok CCT na Odměnu FF dle Smlouvy. 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V případě, kdy Klient rozhodne projekt nerealizovat po vydání Rozhodnutí, automaticky dojde k ukončení této Smlouvy. Tím není zasažen nárok CCT na Odměnu dle Smlouvy.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Pro případ podstatného porušení povinností či uvedení nepravdivých prohlášení v této Smlouvě si Strany sjednávají možnost tuto Smlouvu vypovědět bez výpovědní doby. Tím není zasažen nárok CCT na Odměnu dle Smlouvy.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pStyle w:val="Nadpis1"/>
        <w:ind w:left="563" w:hanging="567"/>
      </w:pPr>
      <w:r>
        <w:t xml:space="preserve">DŮVĚRNÉ INFORMACE a KOMUNIKACE STRAN </w:t>
      </w:r>
    </w:p>
    <w:p w:rsidR="0026319F" w:rsidRDefault="00000000">
      <w:pPr>
        <w:spacing w:after="35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Strany se dohodly, že jakékoliv a všechny informace, které si poskytly v rámci uzavírání a plnění této Smlouvy a dále informace tvořící její obsah a informace, které si poskytnou, či které jinak vyplynou z jejího plnění, zůstanou dle jejich vůle důvěrné, a že tyto informace nikomu neprozradí a zajistí takové opatření, které znemožní jejich přístupnost třetím osobám. 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Strany se dohodly, že si veškeré oznámení a jiná sdělení v souvislosti s touto Smlouvou budou zasílat výhradně prostřednictvím e-mailové komunikace, a to na e-mail uvedený v záhlaví této Smlouvy, popřípadě na e-mail, který za tímto účelem sdělí druhé Straně.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pStyle w:val="Nadpis1"/>
        <w:ind w:left="563" w:hanging="567"/>
      </w:pPr>
      <w:r>
        <w:t xml:space="preserve">SMLUVNÍ POKUTA </w:t>
      </w:r>
    </w:p>
    <w:p w:rsidR="0026319F" w:rsidRDefault="00000000">
      <w:pPr>
        <w:spacing w:after="15" w:line="259" w:lineRule="auto"/>
        <w:ind w:left="11" w:firstLine="0"/>
        <w:jc w:val="left"/>
      </w:pPr>
      <w:r>
        <w:rPr>
          <w:sz w:val="24"/>
        </w:rPr>
        <w:t xml:space="preserve"> </w:t>
      </w:r>
    </w:p>
    <w:p w:rsidR="0026319F" w:rsidRDefault="00000000">
      <w:pPr>
        <w:ind w:left="573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V případě, že se Klient dostane do prodlení se zaplacením Odměny této Smlouvy, zavazuje se Klient zaplatit CCT smluvní pokutu ve výši 0,05 % z dlužné částky za každý den prodlení, a to až do úplného zaplacení Odměny.  </w:t>
      </w:r>
    </w:p>
    <w:p w:rsidR="0026319F" w:rsidRDefault="00000000">
      <w:pPr>
        <w:spacing w:after="0" w:line="259" w:lineRule="auto"/>
        <w:ind w:left="11" w:firstLine="0"/>
        <w:jc w:val="left"/>
      </w:pPr>
      <w:r>
        <w:rPr>
          <w:color w:val="ED0000"/>
        </w:rPr>
        <w:lastRenderedPageBreak/>
        <w:t xml:space="preserve">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9.2.</w:t>
      </w:r>
      <w:r>
        <w:rPr>
          <w:rFonts w:ascii="Arial" w:eastAsia="Arial" w:hAnsi="Arial" w:cs="Arial"/>
        </w:rPr>
        <w:t xml:space="preserve"> </w:t>
      </w:r>
      <w:r>
        <w:t xml:space="preserve">Zaplacením smluvní pokuty není Klient zbaven ostatních závazků vyplývajících z této Smlouvy a zákona včetně povinnosti uhradit zákonný úrok z prodlení z dlužné částky či odpovědnosti za vzniklou škodu. Smluvní strany v této souvislosti vylučují </w:t>
      </w:r>
      <w:proofErr w:type="spellStart"/>
      <w:r>
        <w:t>ust</w:t>
      </w:r>
      <w:proofErr w:type="spellEnd"/>
      <w:r>
        <w:t xml:space="preserve">. § 2050 Občanského zákoníku.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11" w:firstLine="0"/>
        <w:jc w:val="left"/>
      </w:pPr>
      <w:r>
        <w:rPr>
          <w:b/>
        </w:rPr>
        <w:t xml:space="preserve"> </w:t>
      </w:r>
    </w:p>
    <w:p w:rsidR="0026319F" w:rsidRDefault="00000000">
      <w:pPr>
        <w:pStyle w:val="Nadpis1"/>
        <w:ind w:left="563" w:hanging="567"/>
      </w:pPr>
      <w:r>
        <w:t xml:space="preserve">SPOLEČNÁ A ZÁVĚREČNÁ USTANOVENÍ </w:t>
      </w:r>
    </w:p>
    <w:p w:rsidR="0026319F" w:rsidRDefault="00000000">
      <w:pPr>
        <w:spacing w:after="31" w:line="259" w:lineRule="auto"/>
        <w:ind w:left="11" w:firstLine="0"/>
        <w:jc w:val="left"/>
      </w:pPr>
      <w:r>
        <w:rPr>
          <w:b/>
        </w:rPr>
        <w:t xml:space="preserve"> </w:t>
      </w:r>
    </w:p>
    <w:p w:rsidR="0026319F" w:rsidRDefault="00000000">
      <w:pPr>
        <w:ind w:left="573"/>
      </w:pPr>
      <w:r>
        <w:t>10.1.</w:t>
      </w:r>
      <w:r>
        <w:rPr>
          <w:rFonts w:ascii="Arial" w:eastAsia="Arial" w:hAnsi="Arial" w:cs="Arial"/>
        </w:rPr>
        <w:t xml:space="preserve"> </w:t>
      </w:r>
      <w:r>
        <w:t xml:space="preserve">Tato Smlouva obsahuje úplnou dohodu Stran týkající se předmětu této Smlouvy a nahrazuje veškeré jiné dohody a smlouvy tohoto předmětu se týkající, uzavřené před jejím podepsáním, ať již písemné či ústní.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10.2.</w:t>
      </w:r>
      <w:r>
        <w:rPr>
          <w:rFonts w:ascii="Arial" w:eastAsia="Arial" w:hAnsi="Arial" w:cs="Arial"/>
        </w:rPr>
        <w:t xml:space="preserve"> </w:t>
      </w:r>
      <w:r>
        <w:t xml:space="preserve">Strany se dohodly, že tato Smlouva bude platně uzavřena podepsáním s vlastnoručními podpisy nebo pomocí elektronického podpisu, ve formě uznávaného elektronického podpisu. 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10.3.</w:t>
      </w:r>
      <w:r>
        <w:rPr>
          <w:rFonts w:ascii="Arial" w:eastAsia="Arial" w:hAnsi="Arial" w:cs="Arial"/>
        </w:rPr>
        <w:t xml:space="preserve"> </w:t>
      </w:r>
      <w:r>
        <w:t xml:space="preserve">Pokud se některé ustanovení této Smlouvy stane neplatným nebo nevymahatelným, platnost a vymahatelnost ostatních ustanovení tím zůstane nedotčena. Strany nahradí takové neplatné nebo neúčinné ustanovení novým ustanovením, obsah, kterého bude odpovídat úmyslu obsaženému v původním ustanovení a v této Smlouvě jako celku.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10.4.</w:t>
      </w:r>
      <w:r>
        <w:rPr>
          <w:rFonts w:ascii="Arial" w:eastAsia="Arial" w:hAnsi="Arial" w:cs="Arial"/>
        </w:rPr>
        <w:t xml:space="preserve"> </w:t>
      </w:r>
      <w:r>
        <w:t xml:space="preserve">Veškeré změny této Smlouvy musí být učiněny písemnou formou vzestupně číslovaných dodatků, odsouhlasených a podepsaných oběma Stranami.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10.5.</w:t>
      </w:r>
      <w:r>
        <w:rPr>
          <w:rFonts w:ascii="Arial" w:eastAsia="Arial" w:hAnsi="Arial" w:cs="Arial"/>
        </w:rPr>
        <w:t xml:space="preserve"> </w:t>
      </w:r>
      <w:r>
        <w:t xml:space="preserve">Tato Smlouva byla vyhotovena ve dvou (2) vyhotoveních, v českém jazyce, přičemž obě vyhotovení mají povahu originálu. Každá Strana obdrží jedno (1) vyhotovení této Smlouvy. </w:t>
      </w:r>
    </w:p>
    <w:p w:rsidR="0026319F" w:rsidRDefault="00000000">
      <w:pPr>
        <w:spacing w:after="35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-4" w:firstLine="0"/>
      </w:pPr>
      <w:r>
        <w:t>10.6.</w:t>
      </w:r>
      <w:r>
        <w:rPr>
          <w:rFonts w:ascii="Arial" w:eastAsia="Arial" w:hAnsi="Arial" w:cs="Arial"/>
        </w:rPr>
        <w:t xml:space="preserve"> </w:t>
      </w:r>
      <w:r>
        <w:t xml:space="preserve">Tato Smlouva nabývá platnosti a účinnosti dnem jejího podpisu oběma Stranami.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573"/>
      </w:pPr>
      <w:r>
        <w:t>10.7.</w:t>
      </w:r>
      <w:r>
        <w:rPr>
          <w:rFonts w:ascii="Arial" w:eastAsia="Arial" w:hAnsi="Arial" w:cs="Arial"/>
        </w:rPr>
        <w:t xml:space="preserve"> </w:t>
      </w:r>
      <w:r>
        <w:t xml:space="preserve">Strany tímto prohlašují, že nebyla žádným způsobem omezena jejich smluvní svoboda, že tuto Smlouvu neuzavřely v tísni, za nápadně nevýhodných podmínek ani v omylu. Strany tímto prohlašují, že jsou způsobilé k právním úkonům, obsah této Smlouvy představuje jejich svobodnou a úplnou vůli, že si Smlouvu před podpisem přečetly, a že plně porozuměly jejímu obsahu a na důkaz čehož, ji dnešního dne, měsíce a roku podepisují. </w:t>
      </w:r>
    </w:p>
    <w:p w:rsidR="0026319F" w:rsidRDefault="00000000">
      <w:pPr>
        <w:spacing w:after="0" w:line="259" w:lineRule="auto"/>
        <w:ind w:left="731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578" w:firstLine="0"/>
        <w:jc w:val="left"/>
      </w:pPr>
      <w:r>
        <w:t xml:space="preserve"> </w:t>
      </w:r>
    </w:p>
    <w:p w:rsidR="0026319F" w:rsidRDefault="00000000">
      <w:pPr>
        <w:spacing w:after="31" w:line="259" w:lineRule="auto"/>
        <w:ind w:left="11" w:firstLine="0"/>
        <w:jc w:val="left"/>
      </w:pPr>
      <w:r>
        <w:t xml:space="preserve"> </w:t>
      </w:r>
    </w:p>
    <w:p w:rsidR="0026319F" w:rsidRDefault="00000000">
      <w:pPr>
        <w:ind w:left="117" w:firstLine="0"/>
      </w:pPr>
      <w:r>
        <w:t xml:space="preserve">Ostrava dne 19.9.2025 </w:t>
      </w:r>
      <w:r>
        <w:tab/>
        <w:t xml:space="preserve">Ostrava dne 19.9.2025 ______________________________________ </w:t>
      </w:r>
      <w:r>
        <w:tab/>
        <w:t xml:space="preserve">__________________________________________ </w:t>
      </w:r>
    </w:p>
    <w:p w:rsidR="0026319F" w:rsidRDefault="00000000">
      <w:pPr>
        <w:tabs>
          <w:tab w:val="center" w:pos="2199"/>
          <w:tab w:val="center" w:pos="6803"/>
        </w:tabs>
        <w:spacing w:after="31" w:line="259" w:lineRule="auto"/>
        <w:ind w:left="0" w:firstLine="0"/>
        <w:jc w:val="left"/>
      </w:pPr>
      <w:r>
        <w:lastRenderedPageBreak/>
        <w:tab/>
        <w:t xml:space="preserve">CCT </w:t>
      </w:r>
      <w:r>
        <w:tab/>
        <w:t xml:space="preserve">Klient </w:t>
      </w:r>
    </w:p>
    <w:p w:rsidR="0026319F" w:rsidRDefault="00000000">
      <w:pPr>
        <w:tabs>
          <w:tab w:val="center" w:pos="2199"/>
          <w:tab w:val="center" w:pos="6343"/>
        </w:tabs>
        <w:spacing w:after="33" w:line="259" w:lineRule="auto"/>
        <w:ind w:left="0" w:firstLine="0"/>
        <w:jc w:val="left"/>
      </w:pPr>
      <w:r>
        <w:tab/>
        <w:t>Za</w:t>
      </w:r>
      <w:r>
        <w:rPr>
          <w:b/>
        </w:rPr>
        <w:t xml:space="preserve"> Czech Cool </w:t>
      </w:r>
      <w:proofErr w:type="spellStart"/>
      <w:r>
        <w:rPr>
          <w:b/>
        </w:rPr>
        <w:t>Trade</w:t>
      </w:r>
      <w:proofErr w:type="spellEnd"/>
      <w:r>
        <w:rPr>
          <w:b/>
        </w:rPr>
        <w:t xml:space="preserve"> s.r.o. </w:t>
      </w:r>
      <w:r>
        <w:rPr>
          <w:b/>
        </w:rPr>
        <w:tab/>
      </w:r>
      <w:r>
        <w:t xml:space="preserve">                           Za </w:t>
      </w:r>
      <w:r>
        <w:rPr>
          <w:b/>
        </w:rPr>
        <w:t xml:space="preserve">AKORD &amp; POKLAD, s.r.o. </w:t>
      </w:r>
    </w:p>
    <w:p w:rsidR="0026319F" w:rsidRDefault="00000000">
      <w:pPr>
        <w:tabs>
          <w:tab w:val="center" w:pos="2199"/>
          <w:tab w:val="center" w:pos="6803"/>
        </w:tabs>
        <w:ind w:left="0" w:firstLine="0"/>
        <w:jc w:val="left"/>
      </w:pPr>
      <w:r>
        <w:tab/>
        <w:t xml:space="preserve">Mgr. Martin </w:t>
      </w:r>
      <w:proofErr w:type="spellStart"/>
      <w:r>
        <w:t>Kovalský</w:t>
      </w:r>
      <w:proofErr w:type="spellEnd"/>
      <w:r>
        <w:t>, MBA, jednatel</w:t>
      </w:r>
      <w:r>
        <w:rPr>
          <w:b/>
        </w:rPr>
        <w:t xml:space="preserve"> </w:t>
      </w:r>
      <w:r>
        <w:rPr>
          <w:b/>
        </w:rPr>
        <w:tab/>
      </w:r>
      <w:r>
        <w:t xml:space="preserve">     Mgr. Darina DAŇKOVÁ, MBA,  </w:t>
      </w:r>
    </w:p>
    <w:p w:rsidR="0026319F" w:rsidRDefault="00000000">
      <w:pPr>
        <w:ind w:left="5855" w:firstLine="0"/>
      </w:pPr>
      <w:r>
        <w:t xml:space="preserve">jednatelka společnosti </w:t>
      </w:r>
    </w:p>
    <w:p w:rsidR="0026319F" w:rsidRDefault="00000000">
      <w:pPr>
        <w:spacing w:after="31" w:line="259" w:lineRule="auto"/>
        <w:ind w:left="117" w:firstLine="0"/>
        <w:jc w:val="left"/>
      </w:pPr>
      <w:r>
        <w:t xml:space="preserve"> </w:t>
      </w:r>
      <w:r>
        <w:tab/>
        <w:t xml:space="preserve"> </w:t>
      </w:r>
    </w:p>
    <w:p w:rsidR="0026319F" w:rsidRDefault="00000000">
      <w:pPr>
        <w:spacing w:after="0" w:line="259" w:lineRule="auto"/>
        <w:ind w:left="11" w:firstLine="0"/>
        <w:jc w:val="left"/>
      </w:pPr>
      <w:r>
        <w:t xml:space="preserve"> </w:t>
      </w:r>
    </w:p>
    <w:sectPr w:rsidR="0026319F">
      <w:footerReference w:type="even" r:id="rId7"/>
      <w:footerReference w:type="default" r:id="rId8"/>
      <w:footerReference w:type="first" r:id="rId9"/>
      <w:pgSz w:w="12240" w:h="15840"/>
      <w:pgMar w:top="1441" w:right="1436" w:bottom="1530" w:left="1429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BBB" w:rsidRDefault="00C45BBB">
      <w:pPr>
        <w:spacing w:after="0" w:line="240" w:lineRule="auto"/>
      </w:pPr>
      <w:r>
        <w:separator/>
      </w:r>
    </w:p>
  </w:endnote>
  <w:endnote w:type="continuationSeparator" w:id="0">
    <w:p w:rsidR="00C45BBB" w:rsidRDefault="00C4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19F" w:rsidRDefault="00000000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19F" w:rsidRDefault="00000000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19F" w:rsidRDefault="00000000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BBB" w:rsidRDefault="00C45BBB">
      <w:pPr>
        <w:spacing w:after="0" w:line="240" w:lineRule="auto"/>
      </w:pPr>
      <w:r>
        <w:separator/>
      </w:r>
    </w:p>
  </w:footnote>
  <w:footnote w:type="continuationSeparator" w:id="0">
    <w:p w:rsidR="00C45BBB" w:rsidRDefault="00C45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0D"/>
    <w:multiLevelType w:val="hybridMultilevel"/>
    <w:tmpl w:val="AF6426DE"/>
    <w:lvl w:ilvl="0" w:tplc="7A8E1CB2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A09F6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4427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3E35C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A199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2CE60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E2D9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25776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06000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71AD4"/>
    <w:multiLevelType w:val="multilevel"/>
    <w:tmpl w:val="C808831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B1FB0"/>
    <w:multiLevelType w:val="hybridMultilevel"/>
    <w:tmpl w:val="96AE39F2"/>
    <w:lvl w:ilvl="0" w:tplc="487E83CC">
      <w:start w:val="1"/>
      <w:numFmt w:val="lowerLetter"/>
      <w:lvlText w:val="%1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AEFA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035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F41A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C5F0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4C609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26F9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ECB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E874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C149A"/>
    <w:multiLevelType w:val="multilevel"/>
    <w:tmpl w:val="FE3875D8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374FF"/>
    <w:multiLevelType w:val="hybridMultilevel"/>
    <w:tmpl w:val="77E64818"/>
    <w:lvl w:ilvl="0" w:tplc="55D4FFEC">
      <w:start w:val="1"/>
      <w:numFmt w:val="lowerLetter"/>
      <w:lvlText w:val="%1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6F29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053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2C14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29D9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60169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057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CDC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787A0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1907EF"/>
    <w:multiLevelType w:val="hybridMultilevel"/>
    <w:tmpl w:val="078C0A84"/>
    <w:lvl w:ilvl="0" w:tplc="E1F62692">
      <w:start w:val="1"/>
      <w:numFmt w:val="lowerLetter"/>
      <w:lvlText w:val="%1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61CB8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E0D88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CA84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41008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69408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8C1DC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C844E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288AA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475C40"/>
    <w:multiLevelType w:val="hybridMultilevel"/>
    <w:tmpl w:val="66707518"/>
    <w:lvl w:ilvl="0" w:tplc="7F9C11F2">
      <w:start w:val="1"/>
      <w:numFmt w:val="upperLetter"/>
      <w:lvlText w:val="%1."/>
      <w:lvlJc w:val="left"/>
      <w:pPr>
        <w:ind w:left="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9667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60B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22A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E68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0C4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A2C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C6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490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86279E"/>
    <w:multiLevelType w:val="multilevel"/>
    <w:tmpl w:val="282C96A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5843620">
    <w:abstractNumId w:val="6"/>
  </w:num>
  <w:num w:numId="2" w16cid:durableId="108739932">
    <w:abstractNumId w:val="4"/>
  </w:num>
  <w:num w:numId="3" w16cid:durableId="1825052080">
    <w:abstractNumId w:val="7"/>
  </w:num>
  <w:num w:numId="4" w16cid:durableId="1510481334">
    <w:abstractNumId w:val="5"/>
  </w:num>
  <w:num w:numId="5" w16cid:durableId="1053623774">
    <w:abstractNumId w:val="1"/>
  </w:num>
  <w:num w:numId="6" w16cid:durableId="1024402025">
    <w:abstractNumId w:val="2"/>
  </w:num>
  <w:num w:numId="7" w16cid:durableId="233854511">
    <w:abstractNumId w:val="3"/>
  </w:num>
  <w:num w:numId="8" w16cid:durableId="30508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9F"/>
    <w:rsid w:val="0026319F"/>
    <w:rsid w:val="00A441C0"/>
    <w:rsid w:val="00C45BBB"/>
    <w:rsid w:val="00C8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01E61-BA27-409A-A893-23409E12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89" w:lineRule="auto"/>
      <w:ind w:left="577" w:hanging="577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8"/>
      </w:numPr>
      <w:spacing w:after="33" w:line="259" w:lineRule="auto"/>
      <w:ind w:left="17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1890</Words>
  <Characters>11155</Characters>
  <Application>Microsoft Office Word</Application>
  <DocSecurity>0</DocSecurity>
  <Lines>92</Lines>
  <Paragraphs>26</Paragraphs>
  <ScaleCrop>false</ScaleCrop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cp:lastModifiedBy>Pivčíková Michaela</cp:lastModifiedBy>
  <cp:revision>2</cp:revision>
  <dcterms:created xsi:type="dcterms:W3CDTF">2025-09-22T06:40:00Z</dcterms:created>
  <dcterms:modified xsi:type="dcterms:W3CDTF">2025-09-22T06:40:00Z</dcterms:modified>
</cp:coreProperties>
</file>