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959D" w14:textId="77777777" w:rsidR="006805F4" w:rsidRPr="00624124" w:rsidRDefault="007E0299">
      <w:pPr>
        <w:pStyle w:val="Vchoz"/>
        <w:suppressAutoHyphens/>
        <w:spacing w:before="0" w:after="299" w:line="240" w:lineRule="auto"/>
        <w:rPr>
          <w:rFonts w:ascii="Times Roman" w:eastAsia="Times Roman" w:hAnsi="Times Roman" w:cs="Times Roman"/>
          <w:b/>
          <w:bCs/>
          <w:sz w:val="36"/>
          <w:szCs w:val="36"/>
          <w:lang w:val="cs-CZ"/>
        </w:rPr>
      </w:pPr>
      <w:r w:rsidRPr="00624124">
        <w:rPr>
          <w:rFonts w:ascii="Times Roman" w:hAnsi="Times Roman"/>
          <w:b/>
          <w:bCs/>
          <w:sz w:val="36"/>
          <w:szCs w:val="36"/>
          <w:lang w:val="cs-CZ"/>
        </w:rPr>
        <w:t>DOHODA O PŘEÚČTOVÁNÍ ENERGIÍ A SLUŽEB</w:t>
      </w:r>
    </w:p>
    <w:p w14:paraId="7DEE66BF" w14:textId="77777777" w:rsidR="006805F4" w:rsidRPr="00624124" w:rsidRDefault="007E0299">
      <w:pPr>
        <w:pStyle w:val="Vchoz"/>
        <w:suppressAutoHyphens/>
        <w:spacing w:before="0" w:after="240" w:line="240" w:lineRule="auto"/>
        <w:rPr>
          <w:rFonts w:ascii="Times Roman" w:eastAsia="Times Roman" w:hAnsi="Times Roman" w:cs="Times Roman"/>
          <w:lang w:val="cs-CZ"/>
        </w:rPr>
      </w:pPr>
      <w:r w:rsidRPr="00624124">
        <w:rPr>
          <w:rFonts w:ascii="Times Roman" w:hAnsi="Times Roman"/>
          <w:b/>
          <w:bCs/>
          <w:lang w:val="cs-CZ"/>
        </w:rPr>
        <w:t>uzavřená dle § 1746 odst. 2 zákona č. 89/2012 Sb., občanský zákoník</w:t>
      </w:r>
    </w:p>
    <w:p w14:paraId="3DE8AEDD" w14:textId="77777777" w:rsidR="006805F4" w:rsidRPr="00624124" w:rsidRDefault="007E0299">
      <w:pPr>
        <w:pStyle w:val="Vchoz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  <w:lang w:val="cs-CZ"/>
        </w:rPr>
      </w:pPr>
      <w:r w:rsidRPr="00624124">
        <w:rPr>
          <w:rFonts w:ascii="Times Roman" w:hAnsi="Times Roman"/>
          <w:b/>
          <w:bCs/>
          <w:sz w:val="28"/>
          <w:szCs w:val="28"/>
          <w:lang w:val="cs-CZ"/>
        </w:rPr>
        <w:t>I. Smluvní strany</w:t>
      </w:r>
    </w:p>
    <w:p w14:paraId="22892955" w14:textId="77777777" w:rsidR="006805F4" w:rsidRPr="00624124" w:rsidRDefault="007E0299">
      <w:pPr>
        <w:pStyle w:val="Vchoz"/>
        <w:numPr>
          <w:ilvl w:val="0"/>
          <w:numId w:val="2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b/>
          <w:bCs/>
          <w:lang w:val="cs-CZ"/>
        </w:rPr>
        <w:t>Technické služby města Nového Jičína, příspěvková organizace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sídlem: Suvorovova 909/114, 741 01 Nový Jičín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IČ: 00417688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zastoupená: Ing. Pavlem Tichým, ředitelem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(dále jen „</w:t>
      </w:r>
      <w:r w:rsidRPr="00624124">
        <w:rPr>
          <w:rFonts w:ascii="Times Roman" w:hAnsi="Times Roman"/>
          <w:b/>
          <w:bCs/>
          <w:lang w:val="cs-CZ"/>
        </w:rPr>
        <w:t>TSNJ</w:t>
      </w:r>
      <w:r w:rsidRPr="00624124">
        <w:rPr>
          <w:rFonts w:ascii="Times Roman" w:hAnsi="Times Roman"/>
          <w:rtl/>
          <w:lang w:val="cs-CZ"/>
        </w:rPr>
        <w:t>“</w:t>
      </w:r>
      <w:r w:rsidRPr="00624124">
        <w:rPr>
          <w:rFonts w:ascii="Times Roman" w:hAnsi="Times Roman"/>
          <w:lang w:val="cs-CZ"/>
        </w:rPr>
        <w:t>)</w:t>
      </w:r>
    </w:p>
    <w:p w14:paraId="03035B94" w14:textId="241688BA" w:rsidR="006805F4" w:rsidRPr="00624124" w:rsidRDefault="007E0299">
      <w:pPr>
        <w:pStyle w:val="Vchoz"/>
        <w:numPr>
          <w:ilvl w:val="0"/>
          <w:numId w:val="2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b/>
          <w:bCs/>
          <w:lang w:val="cs-CZ"/>
        </w:rPr>
        <w:t>Tělovýchovná jednota Nový Jičín</w:t>
      </w:r>
      <w:r w:rsidR="007B538D">
        <w:rPr>
          <w:rFonts w:ascii="Times Roman" w:hAnsi="Times Roman"/>
          <w:b/>
          <w:bCs/>
          <w:lang w:val="cs-CZ"/>
        </w:rPr>
        <w:t>, z. s.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 xml:space="preserve">sídlem: </w:t>
      </w:r>
      <w:proofErr w:type="spellStart"/>
      <w:r w:rsidR="007B538D">
        <w:rPr>
          <w:rFonts w:ascii="Times Roman" w:hAnsi="Times Roman"/>
          <w:lang w:val="cs-CZ"/>
        </w:rPr>
        <w:t>Msgr</w:t>
      </w:r>
      <w:proofErr w:type="spellEnd"/>
      <w:r w:rsidR="007B538D">
        <w:rPr>
          <w:rFonts w:ascii="Times Roman" w:hAnsi="Times Roman"/>
          <w:lang w:val="cs-CZ"/>
        </w:rPr>
        <w:t>. Šrámka 19, 741 01 Nový Jičín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IČ: 44937504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zastoupená:</w:t>
      </w:r>
      <w:r w:rsidR="007B538D">
        <w:rPr>
          <w:rFonts w:ascii="Times Roman" w:hAnsi="Times Roman"/>
          <w:lang w:val="cs-CZ"/>
        </w:rPr>
        <w:t xml:space="preserve"> Milanem Urbanem, předsedou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(dále jen „</w:t>
      </w:r>
      <w:r w:rsidRPr="00624124">
        <w:rPr>
          <w:rFonts w:ascii="Times Roman" w:hAnsi="Times Roman"/>
          <w:b/>
          <w:bCs/>
          <w:lang w:val="cs-CZ"/>
        </w:rPr>
        <w:t>TJ</w:t>
      </w:r>
      <w:r w:rsidRPr="00624124">
        <w:rPr>
          <w:rFonts w:ascii="Times Roman" w:hAnsi="Times Roman"/>
          <w:rtl/>
          <w:lang w:val="cs-CZ"/>
        </w:rPr>
        <w:t>“</w:t>
      </w:r>
      <w:r w:rsidRPr="00624124">
        <w:rPr>
          <w:rFonts w:ascii="Times Roman" w:hAnsi="Times Roman"/>
          <w:lang w:val="cs-CZ"/>
        </w:rPr>
        <w:t>)</w:t>
      </w:r>
    </w:p>
    <w:p w14:paraId="32DCEAFF" w14:textId="77777777" w:rsidR="006805F4" w:rsidRPr="00624124" w:rsidRDefault="007E0299">
      <w:pPr>
        <w:pStyle w:val="Vchoz"/>
        <w:suppressAutoHyphens/>
        <w:spacing w:before="0" w:after="240" w:line="240" w:lineRule="auto"/>
        <w:rPr>
          <w:rFonts w:ascii="Times Roman" w:eastAsia="Times Roman" w:hAnsi="Times Roman" w:cs="Times Roman"/>
          <w:lang w:val="cs-CZ"/>
        </w:rPr>
      </w:pPr>
      <w:r w:rsidRPr="00624124">
        <w:rPr>
          <w:rFonts w:ascii="Times Roman" w:hAnsi="Times Roman"/>
          <w:lang w:val="cs-CZ"/>
        </w:rPr>
        <w:t>TSNJ a TJ dále společně také jako „</w:t>
      </w:r>
      <w:r w:rsidRPr="00624124">
        <w:rPr>
          <w:rFonts w:ascii="Times Roman" w:hAnsi="Times Roman"/>
          <w:b/>
          <w:bCs/>
          <w:lang w:val="cs-CZ"/>
        </w:rPr>
        <w:t>Smluvní strany</w:t>
      </w:r>
      <w:r w:rsidRPr="00624124">
        <w:rPr>
          <w:rFonts w:ascii="Times Roman" w:hAnsi="Times Roman"/>
          <w:rtl/>
          <w:lang w:val="cs-CZ"/>
        </w:rPr>
        <w:t>“</w:t>
      </w:r>
      <w:r w:rsidRPr="00624124">
        <w:rPr>
          <w:rFonts w:ascii="Times Roman" w:hAnsi="Times Roman"/>
          <w:lang w:val="cs-CZ"/>
        </w:rPr>
        <w:t>.</w:t>
      </w:r>
    </w:p>
    <w:p w14:paraId="60301540" w14:textId="77777777" w:rsidR="006805F4" w:rsidRPr="00624124" w:rsidRDefault="006805F4">
      <w:pPr>
        <w:pStyle w:val="Vchoz"/>
        <w:suppressAutoHyphens/>
        <w:spacing w:before="0" w:line="240" w:lineRule="auto"/>
        <w:rPr>
          <w:rFonts w:ascii="Times Roman" w:eastAsia="Times Roman" w:hAnsi="Times Roman" w:cs="Times Roman"/>
          <w:color w:val="808080"/>
          <w:lang w:val="cs-CZ"/>
        </w:rPr>
      </w:pPr>
    </w:p>
    <w:p w14:paraId="2FAC1636" w14:textId="77777777" w:rsidR="006805F4" w:rsidRPr="00624124" w:rsidRDefault="007E0299">
      <w:pPr>
        <w:pStyle w:val="Vchoz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  <w:lang w:val="cs-CZ"/>
        </w:rPr>
      </w:pPr>
      <w:r w:rsidRPr="00624124">
        <w:rPr>
          <w:rFonts w:ascii="Times Roman" w:hAnsi="Times Roman"/>
          <w:b/>
          <w:bCs/>
          <w:sz w:val="28"/>
          <w:szCs w:val="28"/>
          <w:lang w:val="cs-CZ"/>
        </w:rPr>
        <w:t>II. Preambule</w:t>
      </w:r>
    </w:p>
    <w:p w14:paraId="77DCE6E9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Na základě usnesení Zastupitelstva města Nový Jičín č. 503/13Z/2025 a Dodatku č. 13 ke Zřizovací listině TSNJ byla TSNJ svěřena správa a hospodaření k nemovitostem dříve pronajímaným TJ.</w:t>
      </w:r>
    </w:p>
    <w:p w14:paraId="70937BEB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Ke dni uzavření této dohody nebyl dokončen převod příslušných odběrných míst (elektřina, voda, plyn a jiné služby) na TSNJ.</w:t>
      </w:r>
    </w:p>
    <w:p w14:paraId="6505C933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Za účelem zajištění kontinuity provozu a spravedlivého finančního vypořádání se Smluvní strany dohodly na přeúčtování energií a služeb v přechodném období.</w:t>
      </w:r>
    </w:p>
    <w:p w14:paraId="2A0499D9" w14:textId="77777777" w:rsidR="006805F4" w:rsidRPr="00624124" w:rsidRDefault="006805F4">
      <w:pPr>
        <w:pStyle w:val="Vchoz"/>
        <w:suppressAutoHyphens/>
        <w:spacing w:before="0" w:line="240" w:lineRule="auto"/>
        <w:rPr>
          <w:rFonts w:ascii="Times Roman" w:eastAsia="Times Roman" w:hAnsi="Times Roman" w:cs="Times Roman"/>
          <w:color w:val="808080"/>
          <w:lang w:val="cs-CZ"/>
        </w:rPr>
      </w:pPr>
    </w:p>
    <w:p w14:paraId="0D8ED807" w14:textId="77777777" w:rsidR="006805F4" w:rsidRPr="00624124" w:rsidRDefault="007E0299">
      <w:pPr>
        <w:pStyle w:val="Vchoz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  <w:lang w:val="cs-CZ"/>
        </w:rPr>
      </w:pPr>
      <w:r w:rsidRPr="00624124">
        <w:rPr>
          <w:rFonts w:ascii="Times Roman" w:hAnsi="Times Roman"/>
          <w:b/>
          <w:bCs/>
          <w:sz w:val="28"/>
          <w:szCs w:val="28"/>
          <w:lang w:val="cs-CZ"/>
        </w:rPr>
        <w:t>III. Předmět dohody</w:t>
      </w:r>
    </w:p>
    <w:p w14:paraId="3C022EE1" w14:textId="77777777" w:rsidR="006805F4" w:rsidRPr="00624124" w:rsidRDefault="007E0299">
      <w:pPr>
        <w:pStyle w:val="Vchoz"/>
        <w:numPr>
          <w:ilvl w:val="0"/>
          <w:numId w:val="4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 xml:space="preserve">Předmětem této dohody je ujednání o přeúčtování nákladů na energie a ostatní služby spojené s provozem nemovitostí za období </w:t>
      </w:r>
      <w:r w:rsidRPr="00624124">
        <w:rPr>
          <w:rFonts w:ascii="Times Roman" w:hAnsi="Times Roman"/>
          <w:b/>
          <w:bCs/>
          <w:lang w:val="cs-CZ"/>
        </w:rPr>
        <w:t>červenec a srpen 2025</w:t>
      </w:r>
      <w:r w:rsidRPr="00624124">
        <w:rPr>
          <w:rFonts w:ascii="Times Roman" w:hAnsi="Times Roman"/>
          <w:lang w:val="cs-CZ"/>
        </w:rPr>
        <w:t>, a to do okamžiku řádného převodu příslušných odběrných míst na TSNJ.</w:t>
      </w:r>
    </w:p>
    <w:p w14:paraId="3ACD3944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TJ zůstává po dobu přechodného období formálně odběratelem energií a služeb, avšak skutečné náklady ponese TSNJ.</w:t>
      </w:r>
    </w:p>
    <w:p w14:paraId="6E1AC323" w14:textId="77777777" w:rsidR="006805F4" w:rsidRPr="00624124" w:rsidRDefault="006805F4">
      <w:pPr>
        <w:pStyle w:val="Vchoz"/>
        <w:suppressAutoHyphens/>
        <w:spacing w:before="0" w:line="240" w:lineRule="auto"/>
        <w:rPr>
          <w:rFonts w:ascii="Times Roman" w:eastAsia="Times Roman" w:hAnsi="Times Roman" w:cs="Times Roman"/>
          <w:color w:val="808080"/>
          <w:lang w:val="cs-CZ"/>
        </w:rPr>
      </w:pPr>
    </w:p>
    <w:p w14:paraId="13BD02F7" w14:textId="77777777" w:rsidR="006805F4" w:rsidRPr="00624124" w:rsidRDefault="007E0299">
      <w:pPr>
        <w:pStyle w:val="Vchoz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  <w:lang w:val="cs-CZ"/>
        </w:rPr>
      </w:pPr>
      <w:r w:rsidRPr="00624124">
        <w:rPr>
          <w:rFonts w:ascii="Times Roman" w:hAnsi="Times Roman"/>
          <w:b/>
          <w:bCs/>
          <w:sz w:val="28"/>
          <w:szCs w:val="28"/>
          <w:lang w:val="cs-CZ"/>
        </w:rPr>
        <w:t>IV. Rozsah a mechanismus přeúčtování</w:t>
      </w:r>
    </w:p>
    <w:p w14:paraId="55276AC3" w14:textId="77777777" w:rsidR="006805F4" w:rsidRPr="00624124" w:rsidRDefault="007E0299">
      <w:pPr>
        <w:pStyle w:val="Vchoz"/>
        <w:numPr>
          <w:ilvl w:val="0"/>
          <w:numId w:val="5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TJ se zavazuje na základě obdržených faktur od dodavatelů energií a služeb přeúčtovat TSNJ náklady v prokazatelné výši, tj. dle skutečných nákladů uvedených na fakturách.</w:t>
      </w:r>
    </w:p>
    <w:p w14:paraId="64379B0C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 xml:space="preserve">Přeúčtování bude probíhat na základě podkladů dodaných TJ nejpozději do </w:t>
      </w:r>
      <w:r w:rsidRPr="00624124">
        <w:rPr>
          <w:rFonts w:ascii="Times Roman" w:hAnsi="Times Roman"/>
          <w:b/>
          <w:bCs/>
          <w:lang w:val="cs-CZ"/>
        </w:rPr>
        <w:t>10 pracovních dnů</w:t>
      </w:r>
      <w:r w:rsidRPr="00624124">
        <w:rPr>
          <w:rFonts w:ascii="Times Roman" w:hAnsi="Times Roman"/>
          <w:lang w:val="cs-CZ"/>
        </w:rPr>
        <w:t xml:space="preserve"> od obdržení jednotlivých faktur.</w:t>
      </w:r>
    </w:p>
    <w:p w14:paraId="4443FDE4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lastRenderedPageBreak/>
        <w:t xml:space="preserve">TSNJ uhradí přeúčtované částky TJ do </w:t>
      </w:r>
      <w:r w:rsidRPr="00624124">
        <w:rPr>
          <w:rFonts w:ascii="Times Roman" w:hAnsi="Times Roman"/>
          <w:b/>
          <w:bCs/>
          <w:lang w:val="cs-CZ"/>
        </w:rPr>
        <w:t>15 kalendářních dnů</w:t>
      </w:r>
      <w:r w:rsidRPr="00624124">
        <w:rPr>
          <w:rFonts w:ascii="Times Roman" w:hAnsi="Times Roman"/>
          <w:lang w:val="cs-CZ"/>
        </w:rPr>
        <w:t xml:space="preserve"> ode dne doručení </w:t>
      </w:r>
      <w:proofErr w:type="spellStart"/>
      <w:r w:rsidRPr="00624124">
        <w:rPr>
          <w:rFonts w:ascii="Times Roman" w:hAnsi="Times Roman"/>
          <w:lang w:val="cs-CZ"/>
        </w:rPr>
        <w:t>přeúčtovací</w:t>
      </w:r>
      <w:proofErr w:type="spellEnd"/>
      <w:r w:rsidRPr="00624124">
        <w:rPr>
          <w:rFonts w:ascii="Times Roman" w:hAnsi="Times Roman"/>
          <w:lang w:val="cs-CZ"/>
        </w:rPr>
        <w:t xml:space="preserve"> faktury.</w:t>
      </w:r>
    </w:p>
    <w:p w14:paraId="7F6FE832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V případě, že v období červenec–srpen 2025 dojde k převodu odběrných míst na TSNJ, přeúčtování se provede pouze za dobu do dne účinnosti převodu.</w:t>
      </w:r>
    </w:p>
    <w:p w14:paraId="032BB43D" w14:textId="77777777" w:rsidR="006805F4" w:rsidRPr="00624124" w:rsidRDefault="006805F4">
      <w:pPr>
        <w:pStyle w:val="Vchoz"/>
        <w:suppressAutoHyphens/>
        <w:spacing w:before="0" w:line="240" w:lineRule="auto"/>
        <w:rPr>
          <w:rFonts w:ascii="Times Roman" w:eastAsia="Times Roman" w:hAnsi="Times Roman" w:cs="Times Roman"/>
          <w:color w:val="808080"/>
          <w:lang w:val="cs-CZ"/>
        </w:rPr>
      </w:pPr>
    </w:p>
    <w:p w14:paraId="3EAE3531" w14:textId="77777777" w:rsidR="006805F4" w:rsidRPr="00624124" w:rsidRDefault="007E0299">
      <w:pPr>
        <w:pStyle w:val="Vchoz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  <w:lang w:val="cs-CZ"/>
        </w:rPr>
      </w:pPr>
      <w:r w:rsidRPr="00624124">
        <w:rPr>
          <w:rFonts w:ascii="Times Roman" w:hAnsi="Times Roman"/>
          <w:b/>
          <w:bCs/>
          <w:sz w:val="28"/>
          <w:szCs w:val="28"/>
          <w:lang w:val="cs-CZ"/>
        </w:rPr>
        <w:t>V. Ostatní služby a provozní náklady</w:t>
      </w:r>
    </w:p>
    <w:p w14:paraId="3C3B7903" w14:textId="77777777" w:rsidR="006805F4" w:rsidRPr="00624124" w:rsidRDefault="007E0299">
      <w:pPr>
        <w:pStyle w:val="Vchoz"/>
        <w:numPr>
          <w:ilvl w:val="0"/>
          <w:numId w:val="6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Dohoda se vztahuje na energie (elektřina, plyn, voda) a služby přímo související s provozem nemovitostí, zejména odpady, teplo, případně další služby sjednané s dodavateli.</w:t>
      </w:r>
    </w:p>
    <w:p w14:paraId="509E3B42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Případné další provozní náklady vzniklé v přechodném období budou přeúčtovány dle prokazatelných dokladů.</w:t>
      </w:r>
    </w:p>
    <w:p w14:paraId="615444A4" w14:textId="77777777" w:rsidR="006805F4" w:rsidRPr="00624124" w:rsidRDefault="006805F4">
      <w:pPr>
        <w:pStyle w:val="Vchoz"/>
        <w:suppressAutoHyphens/>
        <w:spacing w:before="0" w:line="240" w:lineRule="auto"/>
        <w:rPr>
          <w:rFonts w:ascii="Times Roman" w:eastAsia="Times Roman" w:hAnsi="Times Roman" w:cs="Times Roman"/>
          <w:color w:val="808080"/>
          <w:lang w:val="cs-CZ"/>
        </w:rPr>
      </w:pPr>
    </w:p>
    <w:p w14:paraId="78DA3678" w14:textId="77777777" w:rsidR="006805F4" w:rsidRPr="00624124" w:rsidRDefault="007E0299">
      <w:pPr>
        <w:pStyle w:val="Vchoz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  <w:lang w:val="cs-CZ"/>
        </w:rPr>
      </w:pPr>
      <w:r w:rsidRPr="00624124">
        <w:rPr>
          <w:rFonts w:ascii="Times Roman" w:hAnsi="Times Roman"/>
          <w:b/>
          <w:bCs/>
          <w:sz w:val="28"/>
          <w:szCs w:val="28"/>
          <w:lang w:val="cs-CZ"/>
        </w:rPr>
        <w:t>VI. Účinnost a trvání dohody</w:t>
      </w:r>
    </w:p>
    <w:p w14:paraId="66689333" w14:textId="77777777" w:rsidR="006805F4" w:rsidRPr="00624124" w:rsidRDefault="007E0299">
      <w:pPr>
        <w:pStyle w:val="Vchoz"/>
        <w:numPr>
          <w:ilvl w:val="0"/>
          <w:numId w:val="7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Tato dohoda nabývá účinnosti dnem podpisu oběma Smluvními stranami.</w:t>
      </w:r>
    </w:p>
    <w:p w14:paraId="54E4043C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Dohoda se uzavírá na dobu určitou, a to do dne řádného převodu všech příslušných odběrných míst na TSNJ.</w:t>
      </w:r>
    </w:p>
    <w:p w14:paraId="4A83638A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Ukončení této dohody nemá vliv na vypořádání již vzniklých nároků.</w:t>
      </w:r>
    </w:p>
    <w:p w14:paraId="2D8E74A2" w14:textId="77777777" w:rsidR="006805F4" w:rsidRPr="00624124" w:rsidRDefault="006805F4">
      <w:pPr>
        <w:pStyle w:val="Vchoz"/>
        <w:suppressAutoHyphens/>
        <w:spacing w:before="0" w:line="240" w:lineRule="auto"/>
        <w:rPr>
          <w:rFonts w:ascii="Times Roman" w:eastAsia="Times Roman" w:hAnsi="Times Roman" w:cs="Times Roman"/>
          <w:color w:val="808080"/>
          <w:lang w:val="cs-CZ"/>
        </w:rPr>
      </w:pPr>
    </w:p>
    <w:p w14:paraId="4D1D39FA" w14:textId="77777777" w:rsidR="006805F4" w:rsidRPr="00624124" w:rsidRDefault="007E0299">
      <w:pPr>
        <w:pStyle w:val="Vchoz"/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  <w:lang w:val="cs-CZ"/>
        </w:rPr>
      </w:pPr>
      <w:r w:rsidRPr="00624124">
        <w:rPr>
          <w:rFonts w:ascii="Times Roman" w:hAnsi="Times Roman"/>
          <w:b/>
          <w:bCs/>
          <w:sz w:val="28"/>
          <w:szCs w:val="28"/>
          <w:lang w:val="cs-CZ"/>
        </w:rPr>
        <w:t>VII. Závěrečná ustanovení</w:t>
      </w:r>
    </w:p>
    <w:p w14:paraId="7545FE77" w14:textId="77777777" w:rsidR="006805F4" w:rsidRPr="00624124" w:rsidRDefault="007E0299">
      <w:pPr>
        <w:pStyle w:val="Vchoz"/>
        <w:numPr>
          <w:ilvl w:val="0"/>
          <w:numId w:val="8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Tato dohoda představuje úplnou dohodu Smluvních stran o jejím předmětu.</w:t>
      </w:r>
    </w:p>
    <w:p w14:paraId="1940027C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Změny a doplňky dohody je možné činit pouze písemnou formou se souhlasem obou Smluvních stran.</w:t>
      </w:r>
    </w:p>
    <w:p w14:paraId="47AC0E10" w14:textId="77777777" w:rsidR="006805F4" w:rsidRPr="00624124" w:rsidRDefault="007E0299">
      <w:pPr>
        <w:pStyle w:val="Vchoz"/>
        <w:numPr>
          <w:ilvl w:val="0"/>
          <w:numId w:val="3"/>
        </w:numPr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  <w:r w:rsidRPr="00624124">
        <w:rPr>
          <w:rFonts w:ascii="Times Roman" w:hAnsi="Times Roman"/>
          <w:lang w:val="cs-CZ"/>
        </w:rPr>
        <w:t>Dohoda je vyhotovena ve dvou stejnopisech, z nichž každá strana obdrží po jednom.</w:t>
      </w:r>
    </w:p>
    <w:p w14:paraId="2EA44C70" w14:textId="77777777" w:rsidR="006805F4" w:rsidRPr="00624124" w:rsidRDefault="006805F4">
      <w:pPr>
        <w:pStyle w:val="Vchoz"/>
        <w:suppressAutoHyphens/>
        <w:spacing w:before="0" w:line="240" w:lineRule="auto"/>
        <w:rPr>
          <w:rFonts w:ascii="Times Roman" w:eastAsia="Times Roman" w:hAnsi="Times Roman" w:cs="Times Roman"/>
          <w:color w:val="808080"/>
          <w:lang w:val="cs-CZ"/>
        </w:rPr>
      </w:pPr>
    </w:p>
    <w:p w14:paraId="7015293F" w14:textId="2D5A4F60" w:rsidR="006805F4" w:rsidRPr="00624124" w:rsidRDefault="007E0299">
      <w:pPr>
        <w:pStyle w:val="Vchoz"/>
        <w:suppressAutoHyphens/>
        <w:spacing w:before="0" w:after="240" w:line="240" w:lineRule="auto"/>
        <w:rPr>
          <w:rFonts w:ascii="Times Roman" w:eastAsia="Times Roman" w:hAnsi="Times Roman" w:cs="Times Roman"/>
          <w:lang w:val="cs-CZ"/>
        </w:rPr>
      </w:pPr>
      <w:r w:rsidRPr="00624124">
        <w:rPr>
          <w:rFonts w:ascii="Times Roman" w:hAnsi="Times Roman"/>
          <w:lang w:val="cs-CZ"/>
        </w:rPr>
        <w:t>V Novém Jičíně, dne</w:t>
      </w:r>
      <w:r w:rsidR="00CA6AAF">
        <w:rPr>
          <w:rFonts w:ascii="Times Roman" w:hAnsi="Times Roman"/>
          <w:lang w:val="cs-CZ"/>
        </w:rPr>
        <w:t xml:space="preserve"> 17. 9.</w:t>
      </w:r>
      <w:r w:rsidRPr="00624124">
        <w:rPr>
          <w:rFonts w:ascii="Times Roman" w:hAnsi="Times Roman"/>
          <w:lang w:val="cs-CZ"/>
        </w:rPr>
        <w:t xml:space="preserve"> 2025</w:t>
      </w:r>
    </w:p>
    <w:p w14:paraId="76DC3771" w14:textId="77777777" w:rsidR="006805F4" w:rsidRPr="00624124" w:rsidRDefault="007E0299">
      <w:pPr>
        <w:pStyle w:val="Vchoz"/>
        <w:suppressAutoHyphens/>
        <w:spacing w:before="0" w:after="240" w:line="240" w:lineRule="auto"/>
        <w:rPr>
          <w:rFonts w:ascii="Times Roman" w:eastAsia="Times Roman" w:hAnsi="Times Roman" w:cs="Times Roman"/>
          <w:lang w:val="cs-CZ"/>
        </w:rPr>
      </w:pPr>
      <w:r w:rsidRPr="00624124">
        <w:rPr>
          <w:rFonts w:ascii="Times Roman" w:hAnsi="Times Roman"/>
          <w:lang w:val="cs-CZ"/>
        </w:rPr>
        <w:t>Za TSNJ:</w:t>
      </w:r>
      <w:r w:rsidRPr="00624124">
        <w:rPr>
          <w:rFonts w:ascii="Times Roman" w:eastAsia="Times Roman" w:hAnsi="Times Roman" w:cs="Times Roman"/>
          <w:lang w:val="cs-CZ"/>
        </w:rPr>
        <w:br/>
        <w:t>……………………………………</w:t>
      </w:r>
      <w:r w:rsidRPr="00624124">
        <w:rPr>
          <w:rFonts w:ascii="Times Roman" w:eastAsia="Times Roman" w:hAnsi="Times Roman" w:cs="Times Roman"/>
          <w:lang w:val="cs-CZ"/>
        </w:rPr>
        <w:br/>
      </w:r>
      <w:r w:rsidRPr="00624124">
        <w:rPr>
          <w:rFonts w:ascii="Times Roman" w:hAnsi="Times Roman"/>
          <w:lang w:val="cs-CZ"/>
        </w:rPr>
        <w:t>Ing. Pavel Tichý, ředitel</w:t>
      </w:r>
    </w:p>
    <w:p w14:paraId="687F741C" w14:textId="77777777" w:rsidR="00624124" w:rsidRDefault="00624124">
      <w:pPr>
        <w:pStyle w:val="Vchoz"/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</w:p>
    <w:p w14:paraId="29C528DE" w14:textId="77777777" w:rsidR="00624124" w:rsidRDefault="00624124">
      <w:pPr>
        <w:pStyle w:val="Vchoz"/>
        <w:suppressAutoHyphens/>
        <w:spacing w:before="0" w:after="240" w:line="240" w:lineRule="auto"/>
        <w:rPr>
          <w:rFonts w:ascii="Times Roman" w:hAnsi="Times Roman" w:hint="eastAsia"/>
          <w:lang w:val="cs-CZ"/>
        </w:rPr>
      </w:pPr>
    </w:p>
    <w:p w14:paraId="7947D6EB" w14:textId="72066DE6" w:rsidR="006805F4" w:rsidRPr="00624124" w:rsidRDefault="007E0299">
      <w:pPr>
        <w:pStyle w:val="Vchoz"/>
        <w:suppressAutoHyphens/>
        <w:spacing w:before="0" w:after="240" w:line="240" w:lineRule="auto"/>
        <w:rPr>
          <w:lang w:val="cs-CZ"/>
        </w:rPr>
      </w:pPr>
      <w:r w:rsidRPr="00624124">
        <w:rPr>
          <w:rFonts w:ascii="Times Roman" w:hAnsi="Times Roman"/>
          <w:lang w:val="cs-CZ"/>
        </w:rPr>
        <w:t>Za TJ:</w:t>
      </w:r>
      <w:r w:rsidRPr="00624124">
        <w:rPr>
          <w:rFonts w:ascii="Times Roman" w:eastAsia="Times Roman" w:hAnsi="Times Roman" w:cs="Times Roman"/>
          <w:lang w:val="cs-CZ"/>
        </w:rPr>
        <w:br/>
        <w:t>……………………………………</w:t>
      </w:r>
      <w:r w:rsidRPr="00624124">
        <w:rPr>
          <w:rFonts w:ascii="Times Roman" w:eastAsia="Times Roman" w:hAnsi="Times Roman" w:cs="Times Roman"/>
          <w:lang w:val="cs-CZ"/>
        </w:rPr>
        <w:br/>
      </w:r>
      <w:r w:rsidR="00CA6AAF">
        <w:rPr>
          <w:rFonts w:ascii="Times Roman" w:hAnsi="Times Roman"/>
          <w:lang w:val="cs-CZ"/>
        </w:rPr>
        <w:t>Milan Urban, předseda</w:t>
      </w:r>
    </w:p>
    <w:sectPr w:rsidR="006805F4" w:rsidRPr="0062412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E0B6" w14:textId="77777777" w:rsidR="008A4A3A" w:rsidRDefault="008A4A3A">
      <w:r>
        <w:separator/>
      </w:r>
    </w:p>
  </w:endnote>
  <w:endnote w:type="continuationSeparator" w:id="0">
    <w:p w14:paraId="070F95F4" w14:textId="77777777" w:rsidR="008A4A3A" w:rsidRDefault="008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D18B" w14:textId="77777777" w:rsidR="006805F4" w:rsidRDefault="006805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2D64" w14:textId="77777777" w:rsidR="008A4A3A" w:rsidRDefault="008A4A3A">
      <w:r>
        <w:separator/>
      </w:r>
    </w:p>
  </w:footnote>
  <w:footnote w:type="continuationSeparator" w:id="0">
    <w:p w14:paraId="1A8ED6DF" w14:textId="77777777" w:rsidR="008A4A3A" w:rsidRDefault="008A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1130" w14:textId="77777777" w:rsidR="006805F4" w:rsidRDefault="006805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49C"/>
    <w:multiLevelType w:val="hybridMultilevel"/>
    <w:tmpl w:val="C7C2DD3E"/>
    <w:styleLink w:val="sla"/>
    <w:lvl w:ilvl="0" w:tplc="4950D186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7C1034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2DE60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8822DE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E044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F25744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25D54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EEBD98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EDC38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A6F2F"/>
    <w:multiLevelType w:val="hybridMultilevel"/>
    <w:tmpl w:val="C7C2DD3E"/>
    <w:numStyleLink w:val="sla"/>
  </w:abstractNum>
  <w:num w:numId="1" w16cid:durableId="448858949">
    <w:abstractNumId w:val="0"/>
  </w:num>
  <w:num w:numId="2" w16cid:durableId="269581423">
    <w:abstractNumId w:val="1"/>
  </w:num>
  <w:num w:numId="3" w16cid:durableId="1664359506">
    <w:abstractNumId w:val="1"/>
    <w:lvlOverride w:ilvl="0">
      <w:startOverride w:val="1"/>
      <w:lvl w:ilvl="0" w:tplc="46C0900A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309472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D6A06C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6E6EF8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E4FE92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5468D2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BA4AFA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EFDD4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ECE9F2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46980079">
    <w:abstractNumId w:val="1"/>
    <w:lvlOverride w:ilvl="0">
      <w:startOverride w:val="1"/>
      <w:lvl w:ilvl="0" w:tplc="46C0900A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309472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D6A06C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6E6EF8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E4FE92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5468D2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BA4AFA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EFDD4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ECE9F2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88676930">
    <w:abstractNumId w:val="1"/>
    <w:lvlOverride w:ilvl="0">
      <w:startOverride w:val="1"/>
      <w:lvl w:ilvl="0" w:tplc="46C0900A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309472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D6A06C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6E6EF8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E4FE92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5468D2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BA4AFA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EFDD4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ECE9F2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75239309">
    <w:abstractNumId w:val="1"/>
    <w:lvlOverride w:ilvl="0">
      <w:startOverride w:val="1"/>
      <w:lvl w:ilvl="0" w:tplc="46C0900A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309472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D6A06C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6E6EF8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E4FE92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5468D2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BA4AFA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EFDD4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ECE9F2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71187631">
    <w:abstractNumId w:val="1"/>
    <w:lvlOverride w:ilvl="0">
      <w:startOverride w:val="1"/>
      <w:lvl w:ilvl="0" w:tplc="46C0900A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309472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D6A06C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6E6EF8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E4FE92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5468D2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BA4AFA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EFDD4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ECE9F2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446149566">
    <w:abstractNumId w:val="1"/>
    <w:lvlOverride w:ilvl="0">
      <w:startOverride w:val="1"/>
      <w:lvl w:ilvl="0" w:tplc="46C0900A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309472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D6A06C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E6E6EF8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E4FE92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5468D2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BA4AFA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EFDD4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3ECE9F2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F4"/>
    <w:rsid w:val="001526D1"/>
    <w:rsid w:val="00210D4D"/>
    <w:rsid w:val="003F3D6B"/>
    <w:rsid w:val="00624124"/>
    <w:rsid w:val="006805F4"/>
    <w:rsid w:val="007B538D"/>
    <w:rsid w:val="007E0299"/>
    <w:rsid w:val="008A4A3A"/>
    <w:rsid w:val="00A74117"/>
    <w:rsid w:val="00C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47D7"/>
  <w15:docId w15:val="{A640FCFF-921C-D04D-B10E-52CCB5D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Ludmila Drozdková</cp:lastModifiedBy>
  <cp:revision>3</cp:revision>
  <cp:lastPrinted>2025-09-11T11:37:00Z</cp:lastPrinted>
  <dcterms:created xsi:type="dcterms:W3CDTF">2025-09-11T11:51:00Z</dcterms:created>
  <dcterms:modified xsi:type="dcterms:W3CDTF">2025-09-19T05:02:00Z</dcterms:modified>
</cp:coreProperties>
</file>