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53" w:rsidRDefault="00205453" w:rsidP="00205453">
      <w:pPr>
        <w:pStyle w:val="Nadpis1"/>
        <w:spacing w:line="360" w:lineRule="auto"/>
        <w:jc w:val="both"/>
        <w:rPr>
          <w:sz w:val="28"/>
          <w:szCs w:val="28"/>
        </w:rPr>
      </w:pPr>
    </w:p>
    <w:tbl>
      <w:tblPr>
        <w:tblpPr w:leftFromText="141" w:rightFromText="141" w:vertAnchor="text" w:horzAnchor="margin" w:tblpXSpec="right" w:tblpY="-1798"/>
        <w:tblW w:w="2587" w:type="dxa"/>
        <w:tblLook w:val="01E0" w:firstRow="1" w:lastRow="1" w:firstColumn="1" w:lastColumn="1" w:noHBand="0" w:noVBand="0"/>
      </w:tblPr>
      <w:tblGrid>
        <w:gridCol w:w="3111"/>
      </w:tblGrid>
      <w:tr w:rsidR="00205453" w:rsidRPr="008A70F0" w:rsidTr="006F1BFD">
        <w:trPr>
          <w:trHeight w:val="464"/>
        </w:trPr>
        <w:tc>
          <w:tcPr>
            <w:tcW w:w="0" w:type="auto"/>
          </w:tcPr>
          <w:p w:rsidR="00205453" w:rsidRPr="008A70F0" w:rsidRDefault="00205453" w:rsidP="006F1BFD">
            <w:pPr>
              <w:tabs>
                <w:tab w:val="left" w:pos="405"/>
                <w:tab w:val="left" w:pos="1095"/>
                <w:tab w:val="left" w:pos="1230"/>
                <w:tab w:val="center" w:pos="1692"/>
              </w:tabs>
              <w:suppressAutoHyphens w:val="0"/>
              <w:jc w:val="center"/>
              <w:rPr>
                <w:rFonts w:ascii="CKGinis" w:hAnsi="CKGinis" w:cs="Arial"/>
                <w:sz w:val="72"/>
                <w:szCs w:val="72"/>
                <w:lang w:eastAsia="cs-CZ"/>
              </w:rPr>
            </w:pPr>
            <w:bookmarkStart w:id="0" w:name="ssl_pid"/>
            <w:r w:rsidRPr="008A70F0">
              <w:rPr>
                <w:rFonts w:ascii="CKGinis" w:hAnsi="CKGinis"/>
                <w:bCs/>
                <w:sz w:val="72"/>
                <w:szCs w:val="24"/>
                <w:lang w:eastAsia="cs-CZ"/>
              </w:rPr>
              <w:t>*</w:t>
            </w:r>
            <w:r w:rsidRPr="008A70F0">
              <w:rPr>
                <w:rFonts w:ascii="CKGinis" w:hAnsi="CKGinis"/>
                <w:bCs/>
                <w:sz w:val="72"/>
                <w:szCs w:val="24"/>
                <w:lang w:eastAsia="cs-CZ"/>
              </w:rPr>
              <w:fldChar w:fldCharType="begin">
                <w:ffData>
                  <w:name w:val="ssl_pid"/>
                  <w:enabled w:val="0"/>
                  <w:calcOnExit w:val="0"/>
                  <w:textInput>
                    <w:default w:val="MVCRX03JQCJA"/>
                  </w:textInput>
                </w:ffData>
              </w:fldChar>
            </w:r>
            <w:r w:rsidRPr="008A70F0">
              <w:rPr>
                <w:rFonts w:ascii="CKGinis" w:hAnsi="CKGinis"/>
                <w:bCs/>
                <w:sz w:val="72"/>
                <w:szCs w:val="24"/>
                <w:lang w:eastAsia="cs-CZ"/>
              </w:rPr>
              <w:instrText xml:space="preserve"> FORMTEXT </w:instrText>
            </w:r>
            <w:r w:rsidRPr="008A70F0">
              <w:rPr>
                <w:rFonts w:ascii="CKGinis" w:hAnsi="CKGinis"/>
                <w:bCs/>
                <w:sz w:val="72"/>
                <w:szCs w:val="24"/>
                <w:lang w:eastAsia="cs-CZ"/>
              </w:rPr>
            </w:r>
            <w:r w:rsidRPr="008A70F0">
              <w:rPr>
                <w:rFonts w:ascii="CKGinis" w:hAnsi="CKGinis"/>
                <w:bCs/>
                <w:sz w:val="72"/>
                <w:szCs w:val="24"/>
                <w:lang w:eastAsia="cs-CZ"/>
              </w:rPr>
              <w:fldChar w:fldCharType="separate"/>
            </w:r>
            <w:r w:rsidRPr="008A70F0">
              <w:rPr>
                <w:rFonts w:ascii="CKGinis" w:hAnsi="CKGinis"/>
                <w:bCs/>
                <w:sz w:val="72"/>
                <w:szCs w:val="24"/>
                <w:lang w:eastAsia="cs-CZ"/>
              </w:rPr>
              <w:t>MVCRX03JQCJA</w:t>
            </w:r>
            <w:r w:rsidRPr="008A70F0">
              <w:rPr>
                <w:rFonts w:ascii="CKGinis" w:hAnsi="CKGinis"/>
                <w:bCs/>
                <w:sz w:val="72"/>
                <w:szCs w:val="24"/>
                <w:lang w:eastAsia="cs-CZ"/>
              </w:rPr>
              <w:fldChar w:fldCharType="end"/>
            </w:r>
            <w:bookmarkEnd w:id="0"/>
            <w:r w:rsidRPr="008A70F0">
              <w:rPr>
                <w:rFonts w:ascii="CKGinis" w:hAnsi="CKGinis"/>
                <w:bCs/>
                <w:sz w:val="72"/>
                <w:szCs w:val="24"/>
                <w:lang w:eastAsia="cs-CZ"/>
              </w:rPr>
              <w:t>*</w:t>
            </w:r>
          </w:p>
        </w:tc>
      </w:tr>
      <w:bookmarkStart w:id="1" w:name="ssl_pid1"/>
      <w:tr w:rsidR="00205453" w:rsidRPr="008A70F0" w:rsidTr="006F1BFD">
        <w:trPr>
          <w:trHeight w:val="114"/>
        </w:trPr>
        <w:tc>
          <w:tcPr>
            <w:tcW w:w="0" w:type="auto"/>
          </w:tcPr>
          <w:p w:rsidR="00205453" w:rsidRPr="008A70F0" w:rsidRDefault="00205453" w:rsidP="006F1BFD">
            <w:pPr>
              <w:suppressAutoHyphens w:val="0"/>
              <w:jc w:val="center"/>
              <w:rPr>
                <w:rFonts w:ascii="Arial" w:hAnsi="Arial" w:cs="Arial"/>
                <w:lang w:eastAsia="cs-CZ"/>
              </w:rPr>
            </w:pPr>
            <w:r w:rsidRPr="008A70F0">
              <w:rPr>
                <w:rFonts w:ascii="Arial" w:hAnsi="Arial"/>
                <w:bCs/>
                <w:lang w:eastAsia="cs-CZ"/>
              </w:rPr>
              <w:fldChar w:fldCharType="begin">
                <w:ffData>
                  <w:name w:val="ssl_pid1"/>
                  <w:enabled w:val="0"/>
                  <w:calcOnExit w:val="0"/>
                  <w:textInput>
                    <w:default w:val="MVCRX03JQCJA"/>
                  </w:textInput>
                </w:ffData>
              </w:fldChar>
            </w:r>
            <w:r w:rsidRPr="008A70F0">
              <w:rPr>
                <w:rFonts w:ascii="Arial" w:hAnsi="Arial"/>
                <w:bCs/>
                <w:lang w:eastAsia="cs-CZ"/>
              </w:rPr>
              <w:instrText xml:space="preserve"> FORMTEXT </w:instrText>
            </w:r>
            <w:r w:rsidRPr="008A70F0">
              <w:rPr>
                <w:rFonts w:ascii="Arial" w:hAnsi="Arial"/>
                <w:bCs/>
                <w:lang w:eastAsia="cs-CZ"/>
              </w:rPr>
            </w:r>
            <w:r w:rsidRPr="008A70F0">
              <w:rPr>
                <w:rFonts w:ascii="Arial" w:hAnsi="Arial"/>
                <w:bCs/>
                <w:lang w:eastAsia="cs-CZ"/>
              </w:rPr>
              <w:fldChar w:fldCharType="separate"/>
            </w:r>
            <w:r w:rsidRPr="008A70F0">
              <w:rPr>
                <w:rFonts w:ascii="Arial" w:hAnsi="Arial"/>
                <w:bCs/>
                <w:lang w:eastAsia="cs-CZ"/>
              </w:rPr>
              <w:t>MVCRX03JQCJA</w:t>
            </w:r>
            <w:r w:rsidRPr="008A70F0">
              <w:rPr>
                <w:rFonts w:ascii="Arial" w:hAnsi="Arial"/>
                <w:bCs/>
                <w:lang w:eastAsia="cs-CZ"/>
              </w:rPr>
              <w:fldChar w:fldCharType="end"/>
            </w:r>
            <w:bookmarkEnd w:id="1"/>
          </w:p>
        </w:tc>
      </w:tr>
      <w:tr w:rsidR="00205453" w:rsidRPr="008A70F0" w:rsidTr="006F1BFD">
        <w:trPr>
          <w:trHeight w:val="122"/>
        </w:trPr>
        <w:tc>
          <w:tcPr>
            <w:tcW w:w="0" w:type="auto"/>
          </w:tcPr>
          <w:p w:rsidR="00205453" w:rsidRPr="008A70F0" w:rsidRDefault="00205453" w:rsidP="006F1BFD">
            <w:pPr>
              <w:suppressAutoHyphens w:val="0"/>
              <w:jc w:val="center"/>
              <w:rPr>
                <w:rFonts w:ascii="Arial" w:hAnsi="Arial" w:cs="Arial"/>
                <w:lang w:eastAsia="cs-CZ"/>
              </w:rPr>
            </w:pPr>
            <w:r w:rsidRPr="008A70F0">
              <w:rPr>
                <w:rFonts w:ascii="Arial" w:hAnsi="Arial" w:cs="Arial"/>
                <w:lang w:eastAsia="cs-CZ"/>
              </w:rPr>
              <w:t>prvotní identifikátor</w:t>
            </w:r>
          </w:p>
        </w:tc>
      </w:tr>
    </w:tbl>
    <w:p w:rsidR="00205453" w:rsidRDefault="00205453" w:rsidP="00205453"/>
    <w:p w:rsidR="00205453" w:rsidRPr="008A70F0" w:rsidRDefault="00205453" w:rsidP="00205453"/>
    <w:p w:rsidR="00205453" w:rsidRPr="00967BB9" w:rsidRDefault="00205453" w:rsidP="00205453">
      <w:pPr>
        <w:pStyle w:val="Nadpis1"/>
        <w:spacing w:line="360" w:lineRule="auto"/>
        <w:rPr>
          <w:sz w:val="28"/>
          <w:szCs w:val="28"/>
        </w:rPr>
      </w:pPr>
      <w:r w:rsidRPr="00967BB9">
        <w:rPr>
          <w:sz w:val="28"/>
          <w:szCs w:val="28"/>
        </w:rPr>
        <w:t>RÁMCOVÁ SMLOUVA</w:t>
      </w:r>
    </w:p>
    <w:p w:rsidR="00205453" w:rsidRPr="00967BB9" w:rsidRDefault="00205453" w:rsidP="00205453">
      <w:pPr>
        <w:pStyle w:val="Nadpis1"/>
        <w:spacing w:line="360" w:lineRule="auto"/>
        <w:rPr>
          <w:sz w:val="28"/>
          <w:szCs w:val="28"/>
        </w:rPr>
      </w:pPr>
      <w:proofErr w:type="gramStart"/>
      <w:r w:rsidRPr="00967BB9">
        <w:rPr>
          <w:sz w:val="28"/>
          <w:szCs w:val="28"/>
        </w:rPr>
        <w:t>na</w:t>
      </w:r>
      <w:proofErr w:type="gramEnd"/>
    </w:p>
    <w:p w:rsidR="00205453" w:rsidRPr="00967BB9" w:rsidRDefault="00205453" w:rsidP="00205453">
      <w:pPr>
        <w:tabs>
          <w:tab w:val="center" w:pos="4500"/>
        </w:tabs>
        <w:jc w:val="center"/>
        <w:rPr>
          <w:b/>
          <w:caps/>
          <w:sz w:val="28"/>
          <w:szCs w:val="28"/>
        </w:rPr>
      </w:pPr>
      <w:r w:rsidRPr="00967BB9">
        <w:rPr>
          <w:b/>
          <w:caps/>
          <w:sz w:val="28"/>
          <w:szCs w:val="28"/>
        </w:rPr>
        <w:t>„ PoJIŠTĚNÍ ODPOVĚDNOSTI ZA ŠKODU ZPŮSOBENOU PROVOZEM VOZIDEL</w:t>
      </w:r>
      <w:r w:rsidRPr="00967BB9">
        <w:rPr>
          <w:rFonts w:ascii="Arial" w:hAnsi="Arial" w:cs="Arial"/>
          <w:b/>
          <w:bCs/>
          <w:sz w:val="28"/>
          <w:szCs w:val="28"/>
        </w:rPr>
        <w:t xml:space="preserve"> </w:t>
      </w:r>
      <w:r w:rsidRPr="00967BB9">
        <w:rPr>
          <w:b/>
          <w:bCs/>
          <w:sz w:val="28"/>
          <w:szCs w:val="28"/>
        </w:rPr>
        <w:t>PRO ROKY 2016 A 2017 – VYUŽITÍ OPČNÍHO PRÁVA V ROCE 2018“</w:t>
      </w:r>
    </w:p>
    <w:p w:rsidR="00205453" w:rsidRPr="00967BB9" w:rsidRDefault="00205453" w:rsidP="00205453">
      <w:pPr>
        <w:rPr>
          <w:sz w:val="24"/>
          <w:szCs w:val="24"/>
        </w:rPr>
      </w:pPr>
    </w:p>
    <w:p w:rsidR="00205453" w:rsidRPr="00967BB9" w:rsidRDefault="00205453" w:rsidP="00205453">
      <w:pPr>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818"/>
        <w:gridCol w:w="4831"/>
      </w:tblGrid>
      <w:tr w:rsidR="00205453" w:rsidRPr="00967BB9" w:rsidTr="006F1BFD">
        <w:trPr>
          <w:trHeight w:val="887"/>
        </w:trPr>
        <w:tc>
          <w:tcPr>
            <w:tcW w:w="4818" w:type="dxa"/>
            <w:tcBorders>
              <w:top w:val="single" w:sz="4" w:space="0" w:color="000000"/>
              <w:left w:val="single" w:sz="4" w:space="0" w:color="000000"/>
              <w:bottom w:val="single" w:sz="4" w:space="0" w:color="auto"/>
              <w:right w:val="nil"/>
            </w:tcBorders>
          </w:tcPr>
          <w:p w:rsidR="00205453" w:rsidRPr="00967BB9" w:rsidRDefault="00205453" w:rsidP="006F1BFD">
            <w:pPr>
              <w:snapToGrid w:val="0"/>
              <w:jc w:val="left"/>
              <w:rPr>
                <w:sz w:val="24"/>
                <w:szCs w:val="24"/>
              </w:rPr>
            </w:pPr>
            <w:r w:rsidRPr="00967BB9">
              <w:rPr>
                <w:sz w:val="24"/>
                <w:szCs w:val="24"/>
              </w:rPr>
              <w:t xml:space="preserve">Číslo smlouvy dodavatele: </w:t>
            </w:r>
          </w:p>
          <w:p w:rsidR="00205453" w:rsidRPr="00967BB9" w:rsidRDefault="00205453" w:rsidP="006F1BFD">
            <w:pPr>
              <w:snapToGrid w:val="0"/>
              <w:jc w:val="left"/>
              <w:rPr>
                <w:sz w:val="24"/>
                <w:szCs w:val="24"/>
              </w:rPr>
            </w:pPr>
          </w:p>
          <w:p w:rsidR="00205453" w:rsidRPr="00967BB9" w:rsidRDefault="00205453" w:rsidP="006F1BFD">
            <w:pPr>
              <w:snapToGrid w:val="0"/>
              <w:jc w:val="left"/>
              <w:rPr>
                <w:sz w:val="24"/>
                <w:szCs w:val="24"/>
              </w:rPr>
            </w:pPr>
            <w:r w:rsidRPr="00967BB9">
              <w:rPr>
                <w:sz w:val="24"/>
                <w:szCs w:val="24"/>
              </w:rPr>
              <w:t xml:space="preserve">                        </w:t>
            </w:r>
          </w:p>
          <w:p w:rsidR="00205453" w:rsidRPr="00967BB9" w:rsidRDefault="00205453" w:rsidP="006F1BFD">
            <w:pPr>
              <w:snapToGrid w:val="0"/>
              <w:jc w:val="center"/>
              <w:rPr>
                <w:sz w:val="24"/>
                <w:szCs w:val="24"/>
              </w:rPr>
            </w:pPr>
          </w:p>
        </w:tc>
        <w:tc>
          <w:tcPr>
            <w:tcW w:w="4831" w:type="dxa"/>
            <w:tcBorders>
              <w:top w:val="single" w:sz="4" w:space="0" w:color="000000"/>
              <w:left w:val="single" w:sz="4" w:space="0" w:color="000000"/>
              <w:bottom w:val="single" w:sz="4" w:space="0" w:color="000000"/>
              <w:right w:val="single" w:sz="4" w:space="0" w:color="000000"/>
            </w:tcBorders>
          </w:tcPr>
          <w:p w:rsidR="00205453" w:rsidRPr="00967BB9" w:rsidRDefault="00205453" w:rsidP="006F1BFD">
            <w:pPr>
              <w:snapToGrid w:val="0"/>
              <w:jc w:val="left"/>
              <w:rPr>
                <w:sz w:val="24"/>
                <w:szCs w:val="24"/>
              </w:rPr>
            </w:pPr>
            <w:r w:rsidRPr="00967BB9">
              <w:rPr>
                <w:sz w:val="24"/>
                <w:szCs w:val="24"/>
              </w:rPr>
              <w:t xml:space="preserve">Číslo smlouvy centrálního zadavatele: </w:t>
            </w:r>
          </w:p>
          <w:p w:rsidR="00205453" w:rsidRPr="00967BB9" w:rsidRDefault="00205453" w:rsidP="006F1BFD">
            <w:pPr>
              <w:snapToGrid w:val="0"/>
              <w:jc w:val="left"/>
              <w:rPr>
                <w:sz w:val="24"/>
                <w:szCs w:val="24"/>
              </w:rPr>
            </w:pPr>
          </w:p>
          <w:p w:rsidR="00205453" w:rsidRPr="00967BB9" w:rsidRDefault="00205453" w:rsidP="006F1BFD">
            <w:pPr>
              <w:snapToGrid w:val="0"/>
              <w:jc w:val="left"/>
              <w:rPr>
                <w:sz w:val="24"/>
                <w:szCs w:val="24"/>
              </w:rPr>
            </w:pPr>
            <w:r w:rsidRPr="00967BB9">
              <w:rPr>
                <w:sz w:val="24"/>
                <w:szCs w:val="24"/>
              </w:rPr>
              <w:t xml:space="preserve">   </w:t>
            </w:r>
            <w:proofErr w:type="gramStart"/>
            <w:r>
              <w:rPr>
                <w:sz w:val="24"/>
                <w:szCs w:val="24"/>
              </w:rPr>
              <w:t>Č.j.</w:t>
            </w:r>
            <w:proofErr w:type="gramEnd"/>
            <w:r>
              <w:rPr>
                <w:sz w:val="24"/>
                <w:szCs w:val="24"/>
              </w:rPr>
              <w:t>MV-84567-2</w:t>
            </w:r>
            <w:r w:rsidRPr="00967BB9">
              <w:rPr>
                <w:sz w:val="24"/>
                <w:szCs w:val="24"/>
              </w:rPr>
              <w:t xml:space="preserve">/VZ-2017                  </w:t>
            </w:r>
          </w:p>
          <w:p w:rsidR="00205453" w:rsidRPr="00967BB9" w:rsidRDefault="00205453" w:rsidP="006F1BFD">
            <w:pPr>
              <w:snapToGrid w:val="0"/>
              <w:jc w:val="left"/>
              <w:rPr>
                <w:sz w:val="24"/>
                <w:szCs w:val="24"/>
              </w:rPr>
            </w:pPr>
            <w:r w:rsidRPr="00967BB9">
              <w:rPr>
                <w:sz w:val="24"/>
                <w:szCs w:val="24"/>
              </w:rPr>
              <w:t xml:space="preserve">               </w:t>
            </w:r>
          </w:p>
          <w:p w:rsidR="00205453" w:rsidRPr="00967BB9" w:rsidRDefault="00205453" w:rsidP="006F1BFD">
            <w:pPr>
              <w:snapToGrid w:val="0"/>
              <w:jc w:val="center"/>
              <w:rPr>
                <w:sz w:val="24"/>
                <w:szCs w:val="24"/>
              </w:rPr>
            </w:pPr>
          </w:p>
        </w:tc>
      </w:tr>
    </w:tbl>
    <w:p w:rsidR="00205453" w:rsidRPr="00967BB9" w:rsidRDefault="00205453" w:rsidP="00205453">
      <w:pPr>
        <w:jc w:val="center"/>
        <w:rPr>
          <w:sz w:val="24"/>
          <w:szCs w:val="24"/>
        </w:rPr>
      </w:pPr>
    </w:p>
    <w:p w:rsidR="00205453" w:rsidRPr="00967BB9" w:rsidRDefault="00205453" w:rsidP="00205453">
      <w:pPr>
        <w:jc w:val="center"/>
        <w:rPr>
          <w:sz w:val="24"/>
          <w:szCs w:val="24"/>
        </w:rPr>
      </w:pPr>
    </w:p>
    <w:p w:rsidR="00205453" w:rsidRPr="00967BB9" w:rsidRDefault="00205453" w:rsidP="00205453">
      <w:pPr>
        <w:jc w:val="center"/>
        <w:rPr>
          <w:b/>
          <w:sz w:val="24"/>
          <w:szCs w:val="24"/>
        </w:rPr>
      </w:pPr>
      <w:r w:rsidRPr="00967BB9">
        <w:rPr>
          <w:b/>
          <w:sz w:val="24"/>
          <w:szCs w:val="24"/>
        </w:rPr>
        <w:t>Článek 1</w:t>
      </w:r>
    </w:p>
    <w:p w:rsidR="00205453" w:rsidRPr="00967BB9" w:rsidRDefault="00205453" w:rsidP="00205453">
      <w:pPr>
        <w:jc w:val="center"/>
        <w:rPr>
          <w:sz w:val="24"/>
          <w:szCs w:val="24"/>
        </w:rPr>
      </w:pPr>
      <w:r w:rsidRPr="00967BB9">
        <w:rPr>
          <w:sz w:val="24"/>
          <w:szCs w:val="24"/>
        </w:rPr>
        <w:t>Smluvní strany</w:t>
      </w:r>
    </w:p>
    <w:p w:rsidR="00205453" w:rsidRPr="00967BB9" w:rsidRDefault="00205453" w:rsidP="00205453">
      <w:pPr>
        <w:jc w:val="left"/>
        <w:rPr>
          <w:sz w:val="24"/>
          <w:szCs w:val="24"/>
        </w:rPr>
      </w:pPr>
    </w:p>
    <w:tbl>
      <w:tblPr>
        <w:tblW w:w="9851" w:type="dxa"/>
        <w:tblLayout w:type="fixed"/>
        <w:tblCellMar>
          <w:left w:w="70" w:type="dxa"/>
          <w:right w:w="70" w:type="dxa"/>
        </w:tblCellMar>
        <w:tblLook w:val="04A0" w:firstRow="1" w:lastRow="0" w:firstColumn="1" w:lastColumn="0" w:noHBand="0" w:noVBand="1"/>
      </w:tblPr>
      <w:tblGrid>
        <w:gridCol w:w="1630"/>
        <w:gridCol w:w="3931"/>
        <w:gridCol w:w="4290"/>
      </w:tblGrid>
      <w:tr w:rsidR="00205453" w:rsidRPr="00967BB9" w:rsidTr="006F1BFD">
        <w:tc>
          <w:tcPr>
            <w:tcW w:w="1630" w:type="dxa"/>
          </w:tcPr>
          <w:p w:rsidR="00205453" w:rsidRPr="00967BB9" w:rsidRDefault="00205453" w:rsidP="006F1BFD">
            <w:pPr>
              <w:snapToGrid w:val="0"/>
              <w:jc w:val="center"/>
              <w:rPr>
                <w:b/>
                <w:sz w:val="24"/>
                <w:szCs w:val="24"/>
              </w:rPr>
            </w:pPr>
            <w:r w:rsidRPr="00967BB9">
              <w:rPr>
                <w:b/>
                <w:sz w:val="24"/>
                <w:szCs w:val="24"/>
              </w:rPr>
              <w:t xml:space="preserve">1.1 </w:t>
            </w:r>
            <w:proofErr w:type="gramStart"/>
            <w:r w:rsidRPr="00967BB9">
              <w:rPr>
                <w:b/>
                <w:sz w:val="24"/>
                <w:szCs w:val="24"/>
              </w:rPr>
              <w:t>Centrální       zadavatel</w:t>
            </w:r>
            <w:proofErr w:type="gramEnd"/>
            <w:r w:rsidRPr="00967BB9">
              <w:rPr>
                <w:b/>
                <w:sz w:val="24"/>
                <w:szCs w:val="24"/>
              </w:rPr>
              <w:t>:</w:t>
            </w:r>
          </w:p>
        </w:tc>
        <w:tc>
          <w:tcPr>
            <w:tcW w:w="8221" w:type="dxa"/>
            <w:gridSpan w:val="2"/>
          </w:tcPr>
          <w:p w:rsidR="00205453" w:rsidRPr="00967BB9" w:rsidRDefault="00205453" w:rsidP="006F1BFD">
            <w:pPr>
              <w:snapToGrid w:val="0"/>
              <w:jc w:val="left"/>
              <w:rPr>
                <w:b/>
                <w:sz w:val="24"/>
                <w:szCs w:val="24"/>
              </w:rPr>
            </w:pPr>
            <w:r w:rsidRPr="00967BB9">
              <w:rPr>
                <w:b/>
                <w:sz w:val="24"/>
                <w:szCs w:val="24"/>
              </w:rPr>
              <w:t>Česká republika - Ministerstvo vnitra</w:t>
            </w:r>
          </w:p>
        </w:tc>
      </w:tr>
      <w:tr w:rsidR="00205453" w:rsidRPr="00967BB9" w:rsidTr="006F1BFD">
        <w:trPr>
          <w:cantSplit/>
          <w:trHeight w:hRule="exact" w:val="276"/>
        </w:trPr>
        <w:tc>
          <w:tcPr>
            <w:tcW w:w="1630" w:type="dxa"/>
            <w:vMerge w:val="restart"/>
          </w:tcPr>
          <w:p w:rsidR="00205453" w:rsidRPr="00967BB9" w:rsidRDefault="00205453" w:rsidP="006F1BFD">
            <w:pPr>
              <w:snapToGrid w:val="0"/>
              <w:rPr>
                <w:sz w:val="24"/>
                <w:szCs w:val="24"/>
              </w:rPr>
            </w:pPr>
          </w:p>
        </w:tc>
        <w:tc>
          <w:tcPr>
            <w:tcW w:w="8221" w:type="dxa"/>
            <w:gridSpan w:val="2"/>
          </w:tcPr>
          <w:p w:rsidR="00205453" w:rsidRPr="00967BB9" w:rsidRDefault="00205453" w:rsidP="006F1BFD">
            <w:pPr>
              <w:snapToGrid w:val="0"/>
              <w:jc w:val="left"/>
              <w:rPr>
                <w:sz w:val="24"/>
                <w:szCs w:val="24"/>
              </w:rPr>
            </w:pPr>
            <w:r w:rsidRPr="00967BB9">
              <w:rPr>
                <w:sz w:val="24"/>
                <w:szCs w:val="24"/>
              </w:rPr>
              <w:t>Nad Štolou 936/3 Praha 7, PSČ 170 34 Praha 7</w:t>
            </w:r>
          </w:p>
        </w:tc>
      </w:tr>
      <w:tr w:rsidR="00205453" w:rsidRPr="00967BB9" w:rsidTr="006F1BFD">
        <w:trPr>
          <w:cantSplit/>
        </w:trPr>
        <w:tc>
          <w:tcPr>
            <w:tcW w:w="1630" w:type="dxa"/>
            <w:vMerge/>
            <w:vAlign w:val="center"/>
          </w:tcPr>
          <w:p w:rsidR="00205453" w:rsidRPr="00967BB9" w:rsidRDefault="00205453" w:rsidP="006F1BFD">
            <w:pPr>
              <w:suppressAutoHyphens w:val="0"/>
              <w:jc w:val="left"/>
              <w:rPr>
                <w:sz w:val="24"/>
                <w:szCs w:val="24"/>
              </w:rPr>
            </w:pPr>
          </w:p>
        </w:tc>
        <w:tc>
          <w:tcPr>
            <w:tcW w:w="3931" w:type="dxa"/>
          </w:tcPr>
          <w:p w:rsidR="00205453" w:rsidRPr="00967BB9" w:rsidRDefault="00205453" w:rsidP="006F1BFD">
            <w:pPr>
              <w:snapToGrid w:val="0"/>
              <w:rPr>
                <w:sz w:val="24"/>
                <w:szCs w:val="24"/>
              </w:rPr>
            </w:pPr>
            <w:r w:rsidRPr="00967BB9">
              <w:rPr>
                <w:sz w:val="24"/>
                <w:szCs w:val="24"/>
              </w:rPr>
              <w:t>IČ: 00007064</w:t>
            </w:r>
          </w:p>
        </w:tc>
        <w:tc>
          <w:tcPr>
            <w:tcW w:w="4290" w:type="dxa"/>
          </w:tcPr>
          <w:p w:rsidR="00205453" w:rsidRPr="00967BB9" w:rsidRDefault="00205453" w:rsidP="006F1BFD">
            <w:pPr>
              <w:snapToGrid w:val="0"/>
              <w:rPr>
                <w:sz w:val="24"/>
                <w:szCs w:val="24"/>
              </w:rPr>
            </w:pPr>
            <w:r w:rsidRPr="00967BB9">
              <w:rPr>
                <w:sz w:val="24"/>
                <w:szCs w:val="24"/>
              </w:rPr>
              <w:t>DIČ: CZ 00007064</w:t>
            </w:r>
          </w:p>
        </w:tc>
      </w:tr>
    </w:tbl>
    <w:p w:rsidR="00205453" w:rsidRPr="00967BB9" w:rsidRDefault="00205453" w:rsidP="00205453">
      <w:pPr>
        <w:rPr>
          <w:sz w:val="24"/>
          <w:szCs w:val="24"/>
        </w:rPr>
      </w:pPr>
    </w:p>
    <w:tbl>
      <w:tblPr>
        <w:tblW w:w="8221" w:type="dxa"/>
        <w:tblInd w:w="1630" w:type="dxa"/>
        <w:tblLayout w:type="fixed"/>
        <w:tblCellMar>
          <w:left w:w="70" w:type="dxa"/>
          <w:right w:w="70" w:type="dxa"/>
        </w:tblCellMar>
        <w:tblLook w:val="04A0" w:firstRow="1" w:lastRow="0" w:firstColumn="1" w:lastColumn="0" w:noHBand="0" w:noVBand="1"/>
      </w:tblPr>
      <w:tblGrid>
        <w:gridCol w:w="567"/>
        <w:gridCol w:w="1275"/>
        <w:gridCol w:w="4536"/>
        <w:gridCol w:w="1843"/>
      </w:tblGrid>
      <w:tr w:rsidR="00205453" w:rsidRPr="00967BB9" w:rsidTr="006F1BFD">
        <w:trPr>
          <w:cantSplit/>
        </w:trPr>
        <w:tc>
          <w:tcPr>
            <w:tcW w:w="8221" w:type="dxa"/>
            <w:gridSpan w:val="4"/>
          </w:tcPr>
          <w:p w:rsidR="00205453" w:rsidRPr="00967BB9" w:rsidRDefault="008F4488" w:rsidP="006F1BFD">
            <w:pPr>
              <w:snapToGrid w:val="0"/>
              <w:rPr>
                <w:sz w:val="24"/>
                <w:szCs w:val="24"/>
              </w:rPr>
            </w:pPr>
            <w:r>
              <w:rPr>
                <w:sz w:val="24"/>
                <w:szCs w:val="24"/>
              </w:rPr>
              <w:t xml:space="preserve">Bankovní spojení: </w:t>
            </w:r>
          </w:p>
        </w:tc>
      </w:tr>
      <w:tr w:rsidR="00205453" w:rsidRPr="00967BB9" w:rsidTr="006F1BFD">
        <w:trPr>
          <w:cantSplit/>
        </w:trPr>
        <w:tc>
          <w:tcPr>
            <w:tcW w:w="8221" w:type="dxa"/>
            <w:gridSpan w:val="4"/>
          </w:tcPr>
          <w:p w:rsidR="00205453" w:rsidRPr="00967BB9" w:rsidRDefault="00205453" w:rsidP="006F1BFD">
            <w:pPr>
              <w:rPr>
                <w:sz w:val="24"/>
                <w:szCs w:val="24"/>
              </w:rPr>
            </w:pPr>
            <w:r w:rsidRPr="00967BB9">
              <w:rPr>
                <w:sz w:val="24"/>
                <w:szCs w:val="24"/>
              </w:rPr>
              <w:t>čís</w:t>
            </w:r>
            <w:r w:rsidR="008F4488">
              <w:rPr>
                <w:sz w:val="24"/>
                <w:szCs w:val="24"/>
              </w:rPr>
              <w:t xml:space="preserve">lo výdajového účtu: </w:t>
            </w:r>
          </w:p>
        </w:tc>
      </w:tr>
      <w:tr w:rsidR="00205453" w:rsidRPr="00967BB9" w:rsidTr="006F1BFD">
        <w:trPr>
          <w:cantSplit/>
        </w:trPr>
        <w:tc>
          <w:tcPr>
            <w:tcW w:w="8221" w:type="dxa"/>
            <w:gridSpan w:val="4"/>
          </w:tcPr>
          <w:p w:rsidR="00205453" w:rsidRPr="00967BB9" w:rsidRDefault="00205453" w:rsidP="006F1BFD">
            <w:pPr>
              <w:snapToGrid w:val="0"/>
              <w:rPr>
                <w:b/>
                <w:sz w:val="24"/>
                <w:szCs w:val="24"/>
              </w:rPr>
            </w:pPr>
          </w:p>
          <w:p w:rsidR="00205453" w:rsidRPr="00967BB9" w:rsidRDefault="00205453" w:rsidP="006F1BFD">
            <w:pPr>
              <w:snapToGrid w:val="0"/>
              <w:rPr>
                <w:b/>
                <w:sz w:val="24"/>
                <w:szCs w:val="24"/>
              </w:rPr>
            </w:pPr>
            <w:r w:rsidRPr="00967BB9">
              <w:rPr>
                <w:b/>
                <w:sz w:val="24"/>
                <w:szCs w:val="24"/>
              </w:rPr>
              <w:t xml:space="preserve">Zastoupená: Ing. Stanislavem Loskotem – </w:t>
            </w:r>
            <w:r w:rsidRPr="00967BB9">
              <w:rPr>
                <w:sz w:val="24"/>
                <w:szCs w:val="24"/>
              </w:rPr>
              <w:t>ředitelem odboru veřejných zakázek a centrálních nákupů</w:t>
            </w:r>
          </w:p>
        </w:tc>
      </w:tr>
      <w:tr w:rsidR="00205453" w:rsidRPr="00967BB9" w:rsidTr="006F1BFD">
        <w:trPr>
          <w:cantSplit/>
        </w:trPr>
        <w:tc>
          <w:tcPr>
            <w:tcW w:w="8221" w:type="dxa"/>
            <w:gridSpan w:val="4"/>
          </w:tcPr>
          <w:p w:rsidR="00205453" w:rsidRPr="00967BB9" w:rsidRDefault="00205453" w:rsidP="006F1BFD">
            <w:pPr>
              <w:snapToGrid w:val="0"/>
              <w:rPr>
                <w:b/>
                <w:sz w:val="24"/>
                <w:szCs w:val="24"/>
              </w:rPr>
            </w:pPr>
            <w:r w:rsidRPr="00967BB9">
              <w:rPr>
                <w:b/>
                <w:sz w:val="24"/>
                <w:szCs w:val="24"/>
              </w:rPr>
              <w:t>Zástupce centrálního zadavatele:</w:t>
            </w:r>
          </w:p>
        </w:tc>
      </w:tr>
      <w:tr w:rsidR="00205453" w:rsidRPr="00967BB9" w:rsidTr="006F1BFD">
        <w:trPr>
          <w:cantSplit/>
        </w:trPr>
        <w:tc>
          <w:tcPr>
            <w:tcW w:w="8221" w:type="dxa"/>
            <w:gridSpan w:val="4"/>
          </w:tcPr>
          <w:p w:rsidR="00205453" w:rsidRPr="00967BB9" w:rsidRDefault="00205453" w:rsidP="006F1BFD">
            <w:pPr>
              <w:snapToGrid w:val="0"/>
              <w:rPr>
                <w:sz w:val="24"/>
                <w:szCs w:val="24"/>
                <w:u w:val="single"/>
              </w:rPr>
            </w:pPr>
            <w:r w:rsidRPr="00967BB9">
              <w:rPr>
                <w:sz w:val="24"/>
                <w:szCs w:val="24"/>
                <w:u w:val="single"/>
              </w:rPr>
              <w:t>- ve věcech smluvních:</w:t>
            </w:r>
          </w:p>
        </w:tc>
      </w:tr>
      <w:tr w:rsidR="00205453" w:rsidRPr="00967BB9" w:rsidTr="006F1BFD">
        <w:trPr>
          <w:cantSplit/>
        </w:trPr>
        <w:tc>
          <w:tcPr>
            <w:tcW w:w="8221" w:type="dxa"/>
            <w:gridSpan w:val="4"/>
          </w:tcPr>
          <w:p w:rsidR="00205453" w:rsidRPr="00967BB9" w:rsidRDefault="00205453" w:rsidP="006F1BFD">
            <w:pPr>
              <w:snapToGrid w:val="0"/>
              <w:rPr>
                <w:b/>
                <w:sz w:val="24"/>
                <w:szCs w:val="24"/>
              </w:rPr>
            </w:pPr>
            <w:r w:rsidRPr="00967BB9">
              <w:rPr>
                <w:b/>
                <w:sz w:val="24"/>
                <w:szCs w:val="24"/>
              </w:rPr>
              <w:t>Ing. Stanislav Loskot</w:t>
            </w:r>
          </w:p>
        </w:tc>
      </w:tr>
      <w:tr w:rsidR="00205453" w:rsidRPr="00967BB9" w:rsidTr="006F1BFD">
        <w:trPr>
          <w:gridAfter w:val="1"/>
          <w:wAfter w:w="1843" w:type="dxa"/>
          <w:cantSplit/>
        </w:trPr>
        <w:tc>
          <w:tcPr>
            <w:tcW w:w="567" w:type="dxa"/>
          </w:tcPr>
          <w:p w:rsidR="00205453" w:rsidRPr="00967BB9" w:rsidRDefault="00205453" w:rsidP="006F1BFD">
            <w:pPr>
              <w:snapToGrid w:val="0"/>
              <w:jc w:val="left"/>
              <w:rPr>
                <w:sz w:val="24"/>
                <w:szCs w:val="24"/>
              </w:rPr>
            </w:pPr>
            <w:r w:rsidRPr="00967BB9">
              <w:rPr>
                <w:sz w:val="24"/>
                <w:szCs w:val="24"/>
              </w:rPr>
              <w:t>tel.:</w:t>
            </w:r>
          </w:p>
        </w:tc>
        <w:tc>
          <w:tcPr>
            <w:tcW w:w="1275" w:type="dxa"/>
          </w:tcPr>
          <w:p w:rsidR="00205453" w:rsidRPr="00967BB9" w:rsidRDefault="00205453" w:rsidP="006F1BFD">
            <w:pPr>
              <w:snapToGrid w:val="0"/>
              <w:jc w:val="left"/>
              <w:rPr>
                <w:sz w:val="24"/>
                <w:szCs w:val="24"/>
              </w:rPr>
            </w:pPr>
            <w:r w:rsidRPr="00967BB9">
              <w:rPr>
                <w:sz w:val="24"/>
                <w:szCs w:val="24"/>
              </w:rPr>
              <w:t>974816710</w:t>
            </w:r>
          </w:p>
        </w:tc>
        <w:tc>
          <w:tcPr>
            <w:tcW w:w="4536" w:type="dxa"/>
          </w:tcPr>
          <w:p w:rsidR="00205453" w:rsidRPr="00967BB9" w:rsidRDefault="00205453" w:rsidP="006F1BFD">
            <w:pPr>
              <w:snapToGrid w:val="0"/>
              <w:jc w:val="left"/>
              <w:rPr>
                <w:sz w:val="24"/>
                <w:szCs w:val="24"/>
              </w:rPr>
            </w:pPr>
            <w:r w:rsidRPr="00967BB9">
              <w:rPr>
                <w:sz w:val="24"/>
                <w:szCs w:val="24"/>
              </w:rPr>
              <w:t xml:space="preserve">e-mail: </w:t>
            </w:r>
            <w:hyperlink r:id="rId8" w:history="1">
              <w:r w:rsidRPr="00967BB9">
                <w:rPr>
                  <w:rStyle w:val="Hypertextovodkaz"/>
                  <w:sz w:val="24"/>
                  <w:szCs w:val="24"/>
                </w:rPr>
                <w:t>stanislav.loskot</w:t>
              </w:r>
              <w:r w:rsidRPr="00967BB9">
                <w:rPr>
                  <w:rStyle w:val="Hypertextovodkaz"/>
                  <w:sz w:val="24"/>
                  <w:szCs w:val="24"/>
                  <w:lang w:val="it-IT"/>
                </w:rPr>
                <w:t>@</w:t>
              </w:r>
              <w:r w:rsidRPr="00967BB9">
                <w:rPr>
                  <w:rStyle w:val="Hypertextovodkaz"/>
                  <w:sz w:val="24"/>
                  <w:szCs w:val="24"/>
                </w:rPr>
                <w:t>mvcr.cz</w:t>
              </w:r>
            </w:hyperlink>
          </w:p>
        </w:tc>
      </w:tr>
      <w:tr w:rsidR="00205453" w:rsidRPr="00967BB9" w:rsidTr="006F1BFD">
        <w:trPr>
          <w:cantSplit/>
        </w:trPr>
        <w:tc>
          <w:tcPr>
            <w:tcW w:w="8221" w:type="dxa"/>
            <w:gridSpan w:val="4"/>
          </w:tcPr>
          <w:p w:rsidR="00205453" w:rsidRPr="00967BB9" w:rsidRDefault="00205453" w:rsidP="006F1BFD">
            <w:pPr>
              <w:snapToGrid w:val="0"/>
              <w:jc w:val="left"/>
              <w:rPr>
                <w:sz w:val="24"/>
                <w:szCs w:val="24"/>
                <w:u w:val="single"/>
              </w:rPr>
            </w:pPr>
            <w:r w:rsidRPr="00967BB9">
              <w:rPr>
                <w:sz w:val="24"/>
                <w:szCs w:val="24"/>
                <w:u w:val="single"/>
              </w:rPr>
              <w:t>- kontaktní osoba ve věcech technických:</w:t>
            </w:r>
          </w:p>
        </w:tc>
      </w:tr>
      <w:tr w:rsidR="00205453" w:rsidRPr="00967BB9" w:rsidTr="006F1BFD">
        <w:trPr>
          <w:cantSplit/>
        </w:trPr>
        <w:tc>
          <w:tcPr>
            <w:tcW w:w="8221" w:type="dxa"/>
            <w:gridSpan w:val="4"/>
          </w:tcPr>
          <w:p w:rsidR="00205453" w:rsidRPr="00967BB9" w:rsidRDefault="00205453" w:rsidP="006F1BFD">
            <w:pPr>
              <w:snapToGrid w:val="0"/>
              <w:jc w:val="left"/>
              <w:rPr>
                <w:b/>
                <w:sz w:val="24"/>
                <w:szCs w:val="24"/>
              </w:rPr>
            </w:pPr>
            <w:r w:rsidRPr="00967BB9">
              <w:rPr>
                <w:b/>
                <w:sz w:val="24"/>
                <w:szCs w:val="24"/>
              </w:rPr>
              <w:t>Ing. Kryštof Mencl</w:t>
            </w:r>
          </w:p>
        </w:tc>
      </w:tr>
      <w:tr w:rsidR="00205453" w:rsidRPr="00967BB9" w:rsidTr="006F1BFD">
        <w:trPr>
          <w:gridAfter w:val="1"/>
          <w:wAfter w:w="1843" w:type="dxa"/>
          <w:cantSplit/>
        </w:trPr>
        <w:tc>
          <w:tcPr>
            <w:tcW w:w="567" w:type="dxa"/>
          </w:tcPr>
          <w:p w:rsidR="00205453" w:rsidRPr="00967BB9" w:rsidRDefault="00205453" w:rsidP="006F1BFD">
            <w:pPr>
              <w:snapToGrid w:val="0"/>
              <w:jc w:val="left"/>
              <w:rPr>
                <w:sz w:val="24"/>
                <w:szCs w:val="24"/>
              </w:rPr>
            </w:pPr>
            <w:r w:rsidRPr="00967BB9">
              <w:rPr>
                <w:sz w:val="24"/>
                <w:szCs w:val="24"/>
              </w:rPr>
              <w:t>tel.:</w:t>
            </w:r>
          </w:p>
        </w:tc>
        <w:tc>
          <w:tcPr>
            <w:tcW w:w="1275" w:type="dxa"/>
          </w:tcPr>
          <w:p w:rsidR="00205453" w:rsidRPr="00967BB9" w:rsidRDefault="00205453" w:rsidP="006F1BFD">
            <w:pPr>
              <w:snapToGrid w:val="0"/>
              <w:jc w:val="left"/>
              <w:rPr>
                <w:sz w:val="24"/>
                <w:szCs w:val="24"/>
              </w:rPr>
            </w:pPr>
            <w:r w:rsidRPr="00967BB9">
              <w:rPr>
                <w:sz w:val="24"/>
                <w:szCs w:val="24"/>
              </w:rPr>
              <w:t>974816580</w:t>
            </w:r>
          </w:p>
        </w:tc>
        <w:tc>
          <w:tcPr>
            <w:tcW w:w="4536" w:type="dxa"/>
          </w:tcPr>
          <w:p w:rsidR="00205453" w:rsidRPr="00967BB9" w:rsidRDefault="00205453" w:rsidP="006F1BFD">
            <w:pPr>
              <w:snapToGrid w:val="0"/>
              <w:jc w:val="left"/>
              <w:rPr>
                <w:sz w:val="24"/>
                <w:szCs w:val="24"/>
              </w:rPr>
            </w:pPr>
            <w:r w:rsidRPr="00967BB9">
              <w:rPr>
                <w:sz w:val="24"/>
                <w:szCs w:val="24"/>
              </w:rPr>
              <w:t xml:space="preserve">e-mail:  </w:t>
            </w:r>
            <w:hyperlink r:id="rId9" w:history="1">
              <w:r w:rsidRPr="00967BB9">
                <w:rPr>
                  <w:rStyle w:val="Hypertextovodkaz"/>
                  <w:sz w:val="24"/>
                  <w:szCs w:val="24"/>
                </w:rPr>
                <w:t>krystof.mencl</w:t>
              </w:r>
              <w:r w:rsidRPr="00967BB9">
                <w:rPr>
                  <w:rStyle w:val="Hypertextovodkaz"/>
                  <w:sz w:val="24"/>
                  <w:szCs w:val="24"/>
                  <w:lang w:val="it-IT"/>
                </w:rPr>
                <w:t>@</w:t>
              </w:r>
              <w:r w:rsidRPr="00967BB9">
                <w:rPr>
                  <w:rStyle w:val="Hypertextovodkaz"/>
                  <w:sz w:val="24"/>
                  <w:szCs w:val="24"/>
                </w:rPr>
                <w:t>mvcr.cz</w:t>
              </w:r>
            </w:hyperlink>
          </w:p>
        </w:tc>
      </w:tr>
      <w:tr w:rsidR="00205453" w:rsidRPr="00967BB9" w:rsidTr="006F1BFD">
        <w:trPr>
          <w:cantSplit/>
        </w:trPr>
        <w:tc>
          <w:tcPr>
            <w:tcW w:w="8221" w:type="dxa"/>
            <w:gridSpan w:val="4"/>
          </w:tcPr>
          <w:p w:rsidR="00205453" w:rsidRPr="00967BB9" w:rsidRDefault="00205453" w:rsidP="006F1BFD">
            <w:pPr>
              <w:snapToGrid w:val="0"/>
              <w:rPr>
                <w:sz w:val="24"/>
                <w:szCs w:val="24"/>
              </w:rPr>
            </w:pPr>
          </w:p>
        </w:tc>
      </w:tr>
      <w:tr w:rsidR="00205453" w:rsidRPr="00967BB9" w:rsidTr="006F1BFD">
        <w:trPr>
          <w:cantSplit/>
        </w:trPr>
        <w:tc>
          <w:tcPr>
            <w:tcW w:w="8221" w:type="dxa"/>
            <w:gridSpan w:val="4"/>
          </w:tcPr>
          <w:p w:rsidR="00205453" w:rsidRPr="00967BB9" w:rsidRDefault="00205453" w:rsidP="006F1BFD">
            <w:pPr>
              <w:pStyle w:val="Zhlav"/>
              <w:tabs>
                <w:tab w:val="left" w:pos="708"/>
              </w:tabs>
              <w:snapToGrid w:val="0"/>
              <w:rPr>
                <w:sz w:val="24"/>
                <w:szCs w:val="24"/>
              </w:rPr>
            </w:pPr>
          </w:p>
        </w:tc>
      </w:tr>
    </w:tbl>
    <w:p w:rsidR="00205453" w:rsidRPr="00967BB9" w:rsidRDefault="00205453" w:rsidP="00205453">
      <w:pPr>
        <w:ind w:left="1985" w:hanging="1985"/>
        <w:rPr>
          <w:sz w:val="24"/>
          <w:szCs w:val="24"/>
        </w:rPr>
      </w:pPr>
    </w:p>
    <w:p w:rsidR="00205453" w:rsidRPr="00967BB9" w:rsidRDefault="00205453" w:rsidP="00205453">
      <w:pPr>
        <w:ind w:left="1985" w:hanging="1985"/>
        <w:rPr>
          <w:sz w:val="24"/>
          <w:szCs w:val="24"/>
        </w:rPr>
      </w:pPr>
    </w:p>
    <w:p w:rsidR="00205453" w:rsidRPr="00967BB9" w:rsidRDefault="00205453" w:rsidP="00205453">
      <w:pPr>
        <w:ind w:left="1985" w:hanging="1985"/>
        <w:rPr>
          <w:sz w:val="24"/>
          <w:szCs w:val="24"/>
        </w:rPr>
      </w:pPr>
      <w:r w:rsidRPr="00967BB9">
        <w:rPr>
          <w:sz w:val="24"/>
          <w:szCs w:val="24"/>
        </w:rPr>
        <w:t xml:space="preserve">(dále jen </w:t>
      </w:r>
      <w:r w:rsidRPr="00967BB9">
        <w:rPr>
          <w:b/>
          <w:sz w:val="24"/>
          <w:szCs w:val="24"/>
        </w:rPr>
        <w:t>„centrální zadavatel“</w:t>
      </w:r>
      <w:r w:rsidRPr="00967BB9">
        <w:rPr>
          <w:sz w:val="24"/>
          <w:szCs w:val="24"/>
        </w:rPr>
        <w:t>)</w:t>
      </w:r>
    </w:p>
    <w:p w:rsidR="00205453" w:rsidRPr="00967BB9" w:rsidRDefault="00205453" w:rsidP="00205453">
      <w:pPr>
        <w:ind w:left="1985" w:hanging="1985"/>
        <w:rPr>
          <w:sz w:val="24"/>
          <w:szCs w:val="24"/>
        </w:rPr>
      </w:pPr>
      <w:r w:rsidRPr="00967BB9">
        <w:rPr>
          <w:sz w:val="24"/>
          <w:szCs w:val="24"/>
        </w:rPr>
        <w:t>na straně jedné a</w:t>
      </w:r>
    </w:p>
    <w:p w:rsidR="00205453" w:rsidRPr="00967BB9" w:rsidRDefault="00205453" w:rsidP="00205453">
      <w:pPr>
        <w:ind w:left="1985" w:hanging="1985"/>
        <w:rPr>
          <w:sz w:val="24"/>
          <w:szCs w:val="24"/>
        </w:rPr>
      </w:pPr>
    </w:p>
    <w:p w:rsidR="00205453" w:rsidRPr="00967BB9" w:rsidRDefault="00205453" w:rsidP="00205453">
      <w:pPr>
        <w:ind w:left="1985" w:hanging="1985"/>
        <w:rPr>
          <w:sz w:val="24"/>
          <w:szCs w:val="24"/>
        </w:rPr>
      </w:pPr>
    </w:p>
    <w:tbl>
      <w:tblPr>
        <w:tblW w:w="9851" w:type="dxa"/>
        <w:tblLayout w:type="fixed"/>
        <w:tblCellMar>
          <w:left w:w="70" w:type="dxa"/>
          <w:right w:w="70" w:type="dxa"/>
        </w:tblCellMar>
        <w:tblLook w:val="04A0" w:firstRow="1" w:lastRow="0" w:firstColumn="1" w:lastColumn="0" w:noHBand="0" w:noVBand="1"/>
      </w:tblPr>
      <w:tblGrid>
        <w:gridCol w:w="70"/>
        <w:gridCol w:w="1560"/>
        <w:gridCol w:w="60"/>
        <w:gridCol w:w="507"/>
        <w:gridCol w:w="992"/>
        <w:gridCol w:w="160"/>
        <w:gridCol w:w="123"/>
        <w:gridCol w:w="18"/>
        <w:gridCol w:w="1561"/>
        <w:gridCol w:w="160"/>
        <w:gridCol w:w="350"/>
        <w:gridCol w:w="2447"/>
        <w:gridCol w:w="1843"/>
      </w:tblGrid>
      <w:tr w:rsidR="00205453" w:rsidRPr="00967BB9" w:rsidTr="006F1BFD">
        <w:trPr>
          <w:gridBefore w:val="1"/>
          <w:wBefore w:w="70" w:type="dxa"/>
          <w:cantSplit/>
        </w:trPr>
        <w:tc>
          <w:tcPr>
            <w:tcW w:w="1620" w:type="dxa"/>
            <w:gridSpan w:val="2"/>
          </w:tcPr>
          <w:p w:rsidR="00205453" w:rsidRPr="00967BB9" w:rsidRDefault="00205453" w:rsidP="006F1BFD">
            <w:pPr>
              <w:snapToGrid w:val="0"/>
              <w:rPr>
                <w:b/>
                <w:sz w:val="24"/>
                <w:szCs w:val="24"/>
              </w:rPr>
            </w:pPr>
            <w:r w:rsidRPr="00967BB9">
              <w:rPr>
                <w:b/>
                <w:sz w:val="24"/>
                <w:szCs w:val="24"/>
              </w:rPr>
              <w:t>1.2 Dodavatel:</w:t>
            </w:r>
          </w:p>
        </w:tc>
        <w:tc>
          <w:tcPr>
            <w:tcW w:w="8161" w:type="dxa"/>
            <w:gridSpan w:val="10"/>
          </w:tcPr>
          <w:p w:rsidR="00205453" w:rsidRPr="00967BB9" w:rsidRDefault="00205453" w:rsidP="006F1BFD">
            <w:pPr>
              <w:pStyle w:val="Zkladntextodsazen"/>
              <w:tabs>
                <w:tab w:val="left" w:pos="1980"/>
                <w:tab w:val="left" w:pos="2880"/>
              </w:tabs>
              <w:ind w:right="38" w:firstLine="0"/>
              <w:rPr>
                <w:b/>
                <w:sz w:val="24"/>
                <w:szCs w:val="24"/>
              </w:rPr>
            </w:pPr>
            <w:r w:rsidRPr="00967BB9">
              <w:rPr>
                <w:b/>
                <w:sz w:val="24"/>
                <w:szCs w:val="24"/>
              </w:rPr>
              <w:t xml:space="preserve">Česká podnikatelská pojišťovna, a.s., </w:t>
            </w:r>
            <w:proofErr w:type="spellStart"/>
            <w:r w:rsidRPr="00967BB9">
              <w:rPr>
                <w:b/>
                <w:sz w:val="24"/>
                <w:szCs w:val="24"/>
              </w:rPr>
              <w:t>Vienna</w:t>
            </w:r>
            <w:proofErr w:type="spellEnd"/>
            <w:r w:rsidRPr="00967BB9">
              <w:rPr>
                <w:b/>
                <w:sz w:val="24"/>
                <w:szCs w:val="24"/>
              </w:rPr>
              <w:t xml:space="preserve"> </w:t>
            </w:r>
            <w:proofErr w:type="spellStart"/>
            <w:r w:rsidRPr="00967BB9">
              <w:rPr>
                <w:b/>
                <w:sz w:val="24"/>
                <w:szCs w:val="24"/>
              </w:rPr>
              <w:t>Insurance</w:t>
            </w:r>
            <w:proofErr w:type="spellEnd"/>
            <w:r w:rsidRPr="00967BB9">
              <w:rPr>
                <w:b/>
                <w:sz w:val="24"/>
                <w:szCs w:val="24"/>
              </w:rPr>
              <w:t xml:space="preserve"> Group</w:t>
            </w:r>
          </w:p>
        </w:tc>
      </w:tr>
      <w:tr w:rsidR="00205453" w:rsidRPr="00967BB9" w:rsidTr="006F1BFD">
        <w:trPr>
          <w:gridBefore w:val="1"/>
          <w:wBefore w:w="70" w:type="dxa"/>
          <w:cantSplit/>
        </w:trPr>
        <w:tc>
          <w:tcPr>
            <w:tcW w:w="1620" w:type="dxa"/>
            <w:gridSpan w:val="2"/>
          </w:tcPr>
          <w:p w:rsidR="00205453" w:rsidRPr="00967BB9" w:rsidRDefault="00205453" w:rsidP="006F1BFD">
            <w:pPr>
              <w:snapToGrid w:val="0"/>
              <w:rPr>
                <w:b/>
                <w:sz w:val="24"/>
                <w:szCs w:val="24"/>
              </w:rPr>
            </w:pPr>
          </w:p>
        </w:tc>
        <w:tc>
          <w:tcPr>
            <w:tcW w:w="8161" w:type="dxa"/>
            <w:gridSpan w:val="10"/>
          </w:tcPr>
          <w:p w:rsidR="00205453" w:rsidRPr="00967BB9" w:rsidRDefault="00205453" w:rsidP="006F1BFD">
            <w:pPr>
              <w:pStyle w:val="Zkladntextodsazen"/>
              <w:tabs>
                <w:tab w:val="left" w:pos="1980"/>
                <w:tab w:val="left" w:pos="2880"/>
              </w:tabs>
              <w:ind w:right="38" w:firstLine="0"/>
              <w:rPr>
                <w:sz w:val="24"/>
                <w:szCs w:val="24"/>
              </w:rPr>
            </w:pPr>
            <w:r w:rsidRPr="00967BB9">
              <w:rPr>
                <w:sz w:val="24"/>
                <w:szCs w:val="24"/>
              </w:rPr>
              <w:t>Pobřežní 665/23, Praha 8, PSČ 186 00</w:t>
            </w: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rPr>
                <w:sz w:val="24"/>
                <w:szCs w:val="24"/>
              </w:rPr>
            </w:pPr>
          </w:p>
        </w:tc>
      </w:tr>
      <w:tr w:rsidR="00205453" w:rsidRPr="00967BB9" w:rsidTr="006F1BFD">
        <w:trPr>
          <w:cantSplit/>
        </w:trPr>
        <w:tc>
          <w:tcPr>
            <w:tcW w:w="1630" w:type="dxa"/>
            <w:gridSpan w:val="2"/>
            <w:vAlign w:val="center"/>
          </w:tcPr>
          <w:p w:rsidR="00205453" w:rsidRPr="00967BB9" w:rsidRDefault="00205453" w:rsidP="006F1BFD">
            <w:pPr>
              <w:suppressAutoHyphens w:val="0"/>
              <w:jc w:val="left"/>
              <w:rPr>
                <w:sz w:val="24"/>
                <w:szCs w:val="24"/>
              </w:rPr>
            </w:pPr>
          </w:p>
        </w:tc>
        <w:tc>
          <w:tcPr>
            <w:tcW w:w="3931" w:type="dxa"/>
            <w:gridSpan w:val="9"/>
          </w:tcPr>
          <w:p w:rsidR="00205453" w:rsidRPr="00967BB9" w:rsidRDefault="00205453" w:rsidP="006F1BFD">
            <w:pPr>
              <w:snapToGrid w:val="0"/>
              <w:rPr>
                <w:sz w:val="24"/>
                <w:szCs w:val="24"/>
              </w:rPr>
            </w:pPr>
            <w:r w:rsidRPr="00967BB9">
              <w:rPr>
                <w:sz w:val="24"/>
                <w:szCs w:val="24"/>
              </w:rPr>
              <w:t>IČ: 63998530</w:t>
            </w:r>
          </w:p>
        </w:tc>
        <w:tc>
          <w:tcPr>
            <w:tcW w:w="4290" w:type="dxa"/>
            <w:gridSpan w:val="2"/>
          </w:tcPr>
          <w:p w:rsidR="00205453" w:rsidRPr="00967BB9" w:rsidRDefault="00205453" w:rsidP="006F1BFD">
            <w:pPr>
              <w:snapToGrid w:val="0"/>
              <w:rPr>
                <w:sz w:val="24"/>
                <w:szCs w:val="24"/>
              </w:rPr>
            </w:pPr>
            <w:r w:rsidRPr="00967BB9">
              <w:rPr>
                <w:sz w:val="24"/>
                <w:szCs w:val="24"/>
              </w:rPr>
              <w:t>DIČ: CZ 63998530</w:t>
            </w:r>
          </w:p>
        </w:tc>
        <w:bookmarkStart w:id="2" w:name="_GoBack"/>
        <w:bookmarkEnd w:id="2"/>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rPr>
                <w:sz w:val="24"/>
                <w:szCs w:val="24"/>
              </w:rPr>
            </w:pPr>
            <w:r w:rsidRPr="00967BB9">
              <w:rPr>
                <w:sz w:val="24"/>
                <w:szCs w:val="24"/>
              </w:rPr>
              <w:t>Zapsán v Obchodním rejstříku vedeným Městským soudem v Praze</w:t>
            </w: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sz w:val="24"/>
                <w:szCs w:val="24"/>
              </w:rPr>
            </w:pPr>
          </w:p>
        </w:tc>
        <w:tc>
          <w:tcPr>
            <w:tcW w:w="1800" w:type="dxa"/>
            <w:gridSpan w:val="5"/>
            <w:tcMar>
              <w:top w:w="0" w:type="dxa"/>
              <w:left w:w="0" w:type="dxa"/>
              <w:bottom w:w="0" w:type="dxa"/>
              <w:right w:w="0" w:type="dxa"/>
            </w:tcMar>
          </w:tcPr>
          <w:p w:rsidR="00205453" w:rsidRPr="00967BB9" w:rsidRDefault="00205453" w:rsidP="006F1BFD">
            <w:pPr>
              <w:snapToGrid w:val="0"/>
              <w:ind w:right="38"/>
              <w:rPr>
                <w:sz w:val="24"/>
                <w:szCs w:val="24"/>
              </w:rPr>
            </w:pPr>
            <w:r w:rsidRPr="00967BB9">
              <w:rPr>
                <w:sz w:val="24"/>
                <w:szCs w:val="24"/>
              </w:rPr>
              <w:t>oddíl B</w:t>
            </w:r>
          </w:p>
        </w:tc>
        <w:tc>
          <w:tcPr>
            <w:tcW w:w="6361" w:type="dxa"/>
            <w:gridSpan w:val="5"/>
            <w:tcMar>
              <w:top w:w="0" w:type="dxa"/>
              <w:left w:w="0" w:type="dxa"/>
              <w:bottom w:w="0" w:type="dxa"/>
              <w:right w:w="0" w:type="dxa"/>
            </w:tcMar>
          </w:tcPr>
          <w:p w:rsidR="00205453" w:rsidRPr="00967BB9" w:rsidRDefault="00205453" w:rsidP="006F1BFD">
            <w:pPr>
              <w:snapToGrid w:val="0"/>
              <w:ind w:right="38"/>
              <w:rPr>
                <w:sz w:val="24"/>
                <w:szCs w:val="24"/>
              </w:rPr>
            </w:pPr>
            <w:proofErr w:type="gramStart"/>
            <w:r w:rsidRPr="00967BB9">
              <w:rPr>
                <w:sz w:val="24"/>
                <w:szCs w:val="24"/>
              </w:rPr>
              <w:t>vložka     3433</w:t>
            </w:r>
            <w:proofErr w:type="gramEnd"/>
            <w:r w:rsidRPr="00967BB9">
              <w:rPr>
                <w:sz w:val="24"/>
                <w:szCs w:val="24"/>
              </w:rPr>
              <w:t xml:space="preserve">              </w:t>
            </w: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rPr>
                <w:sz w:val="24"/>
                <w:szCs w:val="24"/>
              </w:rPr>
            </w:pPr>
          </w:p>
        </w:tc>
      </w:tr>
      <w:tr w:rsidR="00205453" w:rsidRPr="00967BB9" w:rsidTr="006F1BFD">
        <w:trPr>
          <w:gridBefore w:val="1"/>
          <w:wBefore w:w="70" w:type="dxa"/>
        </w:trPr>
        <w:tc>
          <w:tcPr>
            <w:tcW w:w="1620" w:type="dxa"/>
            <w:gridSpan w:val="2"/>
            <w:tcMar>
              <w:top w:w="0" w:type="dxa"/>
              <w:left w:w="0" w:type="dxa"/>
              <w:bottom w:w="0" w:type="dxa"/>
              <w:right w:w="0" w:type="dxa"/>
            </w:tcMar>
          </w:tcPr>
          <w:p w:rsidR="00205453" w:rsidRPr="00967BB9" w:rsidRDefault="00205453" w:rsidP="006F1BFD">
            <w:pPr>
              <w:rPr>
                <w:sz w:val="24"/>
                <w:szCs w:val="24"/>
              </w:rPr>
            </w:pPr>
          </w:p>
        </w:tc>
        <w:tc>
          <w:tcPr>
            <w:tcW w:w="3521" w:type="dxa"/>
            <w:gridSpan w:val="7"/>
            <w:tcMar>
              <w:top w:w="0" w:type="dxa"/>
              <w:left w:w="0" w:type="dxa"/>
              <w:bottom w:w="0" w:type="dxa"/>
              <w:right w:w="0" w:type="dxa"/>
            </w:tcMar>
          </w:tcPr>
          <w:p w:rsidR="00205453" w:rsidRPr="00967BB9" w:rsidRDefault="00205453" w:rsidP="006F1BFD">
            <w:pPr>
              <w:snapToGrid w:val="0"/>
              <w:ind w:right="38"/>
              <w:rPr>
                <w:b/>
                <w:sz w:val="24"/>
                <w:szCs w:val="24"/>
              </w:rPr>
            </w:pPr>
            <w:r w:rsidRPr="00967BB9">
              <w:rPr>
                <w:b/>
                <w:sz w:val="24"/>
                <w:szCs w:val="24"/>
              </w:rPr>
              <w:t>Zástupce dodavatele:</w:t>
            </w:r>
          </w:p>
        </w:tc>
        <w:tc>
          <w:tcPr>
            <w:tcW w:w="4640" w:type="dxa"/>
            <w:gridSpan w:val="3"/>
            <w:tcMar>
              <w:top w:w="0" w:type="dxa"/>
              <w:left w:w="0" w:type="dxa"/>
              <w:bottom w:w="0" w:type="dxa"/>
              <w:right w:w="0" w:type="dxa"/>
            </w:tcMar>
          </w:tcPr>
          <w:p w:rsidR="00205453" w:rsidRPr="00967BB9" w:rsidRDefault="00205453" w:rsidP="006F1BFD">
            <w:pPr>
              <w:snapToGrid w:val="0"/>
              <w:ind w:right="38"/>
              <w:rPr>
                <w:b/>
                <w:sz w:val="24"/>
                <w:szCs w:val="24"/>
              </w:rPr>
            </w:pP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rPr>
                <w:sz w:val="24"/>
                <w:szCs w:val="24"/>
                <w:u w:val="single"/>
              </w:rPr>
            </w:pPr>
            <w:r w:rsidRPr="00967BB9">
              <w:rPr>
                <w:sz w:val="24"/>
                <w:szCs w:val="24"/>
                <w:u w:val="single"/>
              </w:rPr>
              <w:t>- ve věcech smluvních:</w:t>
            </w: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rPr>
                <w:b/>
                <w:sz w:val="24"/>
                <w:szCs w:val="24"/>
              </w:rPr>
            </w:pPr>
            <w:r w:rsidRPr="00967BB9">
              <w:rPr>
                <w:b/>
                <w:sz w:val="24"/>
                <w:szCs w:val="24"/>
              </w:rPr>
              <w:t xml:space="preserve">Mgr. Irena </w:t>
            </w:r>
            <w:proofErr w:type="spellStart"/>
            <w:r w:rsidRPr="00967BB9">
              <w:rPr>
                <w:b/>
                <w:sz w:val="24"/>
                <w:szCs w:val="24"/>
              </w:rPr>
              <w:t>Löffelmanová</w:t>
            </w:r>
            <w:proofErr w:type="spellEnd"/>
          </w:p>
        </w:tc>
      </w:tr>
      <w:tr w:rsidR="00205453" w:rsidRPr="00967BB9" w:rsidTr="006F1BFD">
        <w:trPr>
          <w:gridBefore w:val="2"/>
          <w:gridAfter w:val="1"/>
          <w:wBefore w:w="1630" w:type="dxa"/>
          <w:wAfter w:w="1843" w:type="dxa"/>
          <w:cantSplit/>
        </w:trPr>
        <w:tc>
          <w:tcPr>
            <w:tcW w:w="567" w:type="dxa"/>
            <w:gridSpan w:val="2"/>
          </w:tcPr>
          <w:p w:rsidR="00205453" w:rsidRPr="00967BB9" w:rsidRDefault="00205453" w:rsidP="006F1BFD">
            <w:pPr>
              <w:snapToGrid w:val="0"/>
              <w:jc w:val="left"/>
              <w:rPr>
                <w:sz w:val="24"/>
                <w:szCs w:val="24"/>
              </w:rPr>
            </w:pPr>
            <w:r w:rsidRPr="00967BB9">
              <w:rPr>
                <w:sz w:val="24"/>
                <w:szCs w:val="24"/>
              </w:rPr>
              <w:t>tel.:</w:t>
            </w:r>
          </w:p>
        </w:tc>
        <w:tc>
          <w:tcPr>
            <w:tcW w:w="1275" w:type="dxa"/>
            <w:gridSpan w:val="3"/>
          </w:tcPr>
          <w:p w:rsidR="00205453" w:rsidRPr="00967BB9" w:rsidRDefault="00205453" w:rsidP="006F1BFD">
            <w:pPr>
              <w:snapToGrid w:val="0"/>
              <w:jc w:val="left"/>
              <w:rPr>
                <w:sz w:val="24"/>
                <w:szCs w:val="24"/>
              </w:rPr>
            </w:pPr>
            <w:r w:rsidRPr="00967BB9">
              <w:rPr>
                <w:sz w:val="24"/>
                <w:szCs w:val="24"/>
              </w:rPr>
              <w:t>956451314</w:t>
            </w:r>
          </w:p>
        </w:tc>
        <w:tc>
          <w:tcPr>
            <w:tcW w:w="4536" w:type="dxa"/>
            <w:gridSpan w:val="5"/>
          </w:tcPr>
          <w:p w:rsidR="00205453" w:rsidRPr="00967BB9" w:rsidRDefault="00205453" w:rsidP="006F1BFD">
            <w:pPr>
              <w:snapToGrid w:val="0"/>
              <w:jc w:val="left"/>
              <w:rPr>
                <w:sz w:val="24"/>
                <w:szCs w:val="24"/>
              </w:rPr>
            </w:pPr>
            <w:r w:rsidRPr="00967BB9">
              <w:rPr>
                <w:sz w:val="24"/>
                <w:szCs w:val="24"/>
              </w:rPr>
              <w:t xml:space="preserve">e-mail: </w:t>
            </w:r>
            <w:hyperlink r:id="rId10" w:history="1">
              <w:r w:rsidRPr="00967BB9">
                <w:rPr>
                  <w:rStyle w:val="Hypertextovodkaz"/>
                  <w:sz w:val="24"/>
                  <w:szCs w:val="24"/>
                </w:rPr>
                <w:t>irena.loffelmannova@cpp.cz</w:t>
              </w:r>
            </w:hyperlink>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1499" w:type="dxa"/>
            <w:gridSpan w:val="2"/>
            <w:tcMar>
              <w:top w:w="0" w:type="dxa"/>
              <w:left w:w="0" w:type="dxa"/>
              <w:bottom w:w="0" w:type="dxa"/>
              <w:right w:w="0" w:type="dxa"/>
            </w:tcMar>
          </w:tcPr>
          <w:p w:rsidR="00205453" w:rsidRPr="00967BB9" w:rsidRDefault="00205453" w:rsidP="006F1BFD">
            <w:pPr>
              <w:snapToGrid w:val="0"/>
              <w:ind w:right="38"/>
              <w:jc w:val="left"/>
              <w:rPr>
                <w:sz w:val="24"/>
                <w:szCs w:val="24"/>
              </w:rPr>
            </w:pPr>
            <w:r w:rsidRPr="00967BB9">
              <w:rPr>
                <w:sz w:val="24"/>
                <w:szCs w:val="24"/>
              </w:rPr>
              <w:t xml:space="preserve">      731135409</w:t>
            </w:r>
          </w:p>
        </w:tc>
        <w:tc>
          <w:tcPr>
            <w:tcW w:w="160" w:type="dxa"/>
            <w:tcMar>
              <w:top w:w="0" w:type="dxa"/>
              <w:left w:w="0" w:type="dxa"/>
              <w:bottom w:w="0" w:type="dxa"/>
              <w:right w:w="0" w:type="dxa"/>
            </w:tcMar>
          </w:tcPr>
          <w:p w:rsidR="00205453" w:rsidRPr="00967BB9" w:rsidRDefault="00205453" w:rsidP="006F1BFD">
            <w:pPr>
              <w:snapToGrid w:val="0"/>
              <w:ind w:left="-2126" w:right="38"/>
              <w:jc w:val="left"/>
              <w:rPr>
                <w:b/>
                <w:sz w:val="24"/>
                <w:szCs w:val="24"/>
              </w:rPr>
            </w:pPr>
          </w:p>
        </w:tc>
        <w:tc>
          <w:tcPr>
            <w:tcW w:w="1702" w:type="dxa"/>
            <w:gridSpan w:val="3"/>
          </w:tcPr>
          <w:p w:rsidR="00205453" w:rsidRPr="00967BB9" w:rsidRDefault="00205453" w:rsidP="006F1BFD">
            <w:pPr>
              <w:snapToGrid w:val="0"/>
              <w:ind w:right="38"/>
              <w:jc w:val="left"/>
              <w:rPr>
                <w:sz w:val="24"/>
                <w:szCs w:val="24"/>
              </w:rPr>
            </w:pPr>
          </w:p>
        </w:tc>
        <w:tc>
          <w:tcPr>
            <w:tcW w:w="160" w:type="dxa"/>
          </w:tcPr>
          <w:p w:rsidR="00205453" w:rsidRPr="00967BB9" w:rsidRDefault="00205453" w:rsidP="006F1BFD">
            <w:pPr>
              <w:snapToGrid w:val="0"/>
              <w:ind w:right="38"/>
              <w:jc w:val="left"/>
              <w:rPr>
                <w:b/>
                <w:sz w:val="24"/>
                <w:szCs w:val="24"/>
              </w:rPr>
            </w:pPr>
          </w:p>
        </w:tc>
        <w:tc>
          <w:tcPr>
            <w:tcW w:w="4640" w:type="dxa"/>
            <w:gridSpan w:val="3"/>
          </w:tcPr>
          <w:p w:rsidR="00205453" w:rsidRPr="00967BB9" w:rsidRDefault="00205453" w:rsidP="006F1BFD">
            <w:pPr>
              <w:snapToGrid w:val="0"/>
              <w:ind w:right="38"/>
              <w:jc w:val="left"/>
              <w:rPr>
                <w:sz w:val="24"/>
                <w:szCs w:val="24"/>
              </w:rPr>
            </w:pP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jc w:val="left"/>
              <w:rPr>
                <w:sz w:val="24"/>
                <w:szCs w:val="24"/>
                <w:u w:val="single"/>
              </w:rPr>
            </w:pPr>
            <w:r w:rsidRPr="00967BB9">
              <w:rPr>
                <w:sz w:val="24"/>
                <w:szCs w:val="24"/>
                <w:u w:val="single"/>
              </w:rPr>
              <w:t>- kontaktní osoba ve věcech technických:</w:t>
            </w: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jc w:val="left"/>
              <w:rPr>
                <w:b/>
                <w:sz w:val="24"/>
                <w:szCs w:val="24"/>
              </w:rPr>
            </w:pPr>
            <w:r w:rsidRPr="00967BB9">
              <w:rPr>
                <w:b/>
                <w:sz w:val="24"/>
                <w:szCs w:val="24"/>
              </w:rPr>
              <w:t>Eva Skalická</w:t>
            </w:r>
          </w:p>
        </w:tc>
      </w:tr>
      <w:tr w:rsidR="00205453" w:rsidRPr="00967BB9" w:rsidTr="006F1BFD">
        <w:trPr>
          <w:gridBefore w:val="2"/>
          <w:gridAfter w:val="1"/>
          <w:wBefore w:w="1630" w:type="dxa"/>
          <w:wAfter w:w="1843" w:type="dxa"/>
          <w:cantSplit/>
        </w:trPr>
        <w:tc>
          <w:tcPr>
            <w:tcW w:w="567" w:type="dxa"/>
            <w:gridSpan w:val="2"/>
          </w:tcPr>
          <w:p w:rsidR="00205453" w:rsidRPr="00967BB9" w:rsidRDefault="00205453" w:rsidP="006F1BFD">
            <w:pPr>
              <w:snapToGrid w:val="0"/>
              <w:jc w:val="left"/>
              <w:rPr>
                <w:sz w:val="24"/>
                <w:szCs w:val="24"/>
              </w:rPr>
            </w:pPr>
            <w:r w:rsidRPr="00967BB9">
              <w:rPr>
                <w:sz w:val="24"/>
                <w:szCs w:val="24"/>
              </w:rPr>
              <w:t>tel.:</w:t>
            </w:r>
          </w:p>
        </w:tc>
        <w:tc>
          <w:tcPr>
            <w:tcW w:w="1275" w:type="dxa"/>
            <w:gridSpan w:val="3"/>
          </w:tcPr>
          <w:p w:rsidR="00205453" w:rsidRPr="00967BB9" w:rsidRDefault="00205453" w:rsidP="006F1BFD">
            <w:pPr>
              <w:snapToGrid w:val="0"/>
              <w:jc w:val="left"/>
              <w:rPr>
                <w:sz w:val="24"/>
                <w:szCs w:val="24"/>
              </w:rPr>
            </w:pPr>
            <w:r w:rsidRPr="00967BB9">
              <w:rPr>
                <w:sz w:val="24"/>
                <w:szCs w:val="24"/>
              </w:rPr>
              <w:t>956451319</w:t>
            </w:r>
          </w:p>
        </w:tc>
        <w:tc>
          <w:tcPr>
            <w:tcW w:w="4536" w:type="dxa"/>
            <w:gridSpan w:val="5"/>
          </w:tcPr>
          <w:p w:rsidR="00205453" w:rsidRPr="00967BB9" w:rsidRDefault="00205453" w:rsidP="006F1BFD">
            <w:pPr>
              <w:snapToGrid w:val="0"/>
              <w:jc w:val="left"/>
              <w:rPr>
                <w:sz w:val="24"/>
                <w:szCs w:val="24"/>
              </w:rPr>
            </w:pPr>
            <w:r w:rsidRPr="00967BB9">
              <w:rPr>
                <w:sz w:val="24"/>
                <w:szCs w:val="24"/>
              </w:rPr>
              <w:t xml:space="preserve">e-mail: </w:t>
            </w:r>
            <w:hyperlink r:id="rId11" w:history="1">
              <w:r w:rsidRPr="00967BB9">
                <w:rPr>
                  <w:rStyle w:val="Hypertextovodkaz"/>
                  <w:sz w:val="24"/>
                  <w:szCs w:val="24"/>
                </w:rPr>
                <w:t>eva.skalicka@cpp.cz</w:t>
              </w:r>
            </w:hyperlink>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1499" w:type="dxa"/>
            <w:gridSpan w:val="2"/>
            <w:tcMar>
              <w:top w:w="0" w:type="dxa"/>
              <w:left w:w="0" w:type="dxa"/>
              <w:bottom w:w="0" w:type="dxa"/>
              <w:right w:w="0" w:type="dxa"/>
            </w:tcMar>
          </w:tcPr>
          <w:p w:rsidR="00205453" w:rsidRPr="00967BB9" w:rsidRDefault="00205453" w:rsidP="006F1BFD">
            <w:pPr>
              <w:snapToGrid w:val="0"/>
              <w:ind w:right="38"/>
              <w:jc w:val="left"/>
              <w:rPr>
                <w:sz w:val="24"/>
                <w:szCs w:val="24"/>
              </w:rPr>
            </w:pPr>
          </w:p>
        </w:tc>
        <w:tc>
          <w:tcPr>
            <w:tcW w:w="160" w:type="dxa"/>
            <w:tcMar>
              <w:top w:w="0" w:type="dxa"/>
              <w:left w:w="0" w:type="dxa"/>
              <w:bottom w:w="0" w:type="dxa"/>
              <w:right w:w="0" w:type="dxa"/>
            </w:tcMar>
          </w:tcPr>
          <w:p w:rsidR="00205453" w:rsidRPr="00967BB9" w:rsidRDefault="00205453" w:rsidP="006F1BFD">
            <w:pPr>
              <w:snapToGrid w:val="0"/>
              <w:ind w:right="38"/>
              <w:jc w:val="left"/>
              <w:rPr>
                <w:b/>
                <w:sz w:val="24"/>
                <w:szCs w:val="24"/>
              </w:rPr>
            </w:pPr>
          </w:p>
        </w:tc>
        <w:tc>
          <w:tcPr>
            <w:tcW w:w="1702" w:type="dxa"/>
            <w:gridSpan w:val="3"/>
          </w:tcPr>
          <w:p w:rsidR="00205453" w:rsidRPr="00967BB9" w:rsidRDefault="00205453" w:rsidP="006F1BFD">
            <w:pPr>
              <w:snapToGrid w:val="0"/>
              <w:ind w:right="38"/>
              <w:jc w:val="left"/>
              <w:rPr>
                <w:sz w:val="24"/>
                <w:szCs w:val="24"/>
              </w:rPr>
            </w:pPr>
          </w:p>
        </w:tc>
        <w:tc>
          <w:tcPr>
            <w:tcW w:w="160" w:type="dxa"/>
          </w:tcPr>
          <w:p w:rsidR="00205453" w:rsidRPr="00967BB9" w:rsidRDefault="00205453" w:rsidP="006F1BFD">
            <w:pPr>
              <w:snapToGrid w:val="0"/>
              <w:ind w:right="38"/>
              <w:jc w:val="left"/>
              <w:rPr>
                <w:b/>
                <w:sz w:val="24"/>
                <w:szCs w:val="24"/>
              </w:rPr>
            </w:pPr>
          </w:p>
        </w:tc>
        <w:tc>
          <w:tcPr>
            <w:tcW w:w="4640" w:type="dxa"/>
            <w:gridSpan w:val="3"/>
          </w:tcPr>
          <w:p w:rsidR="00205453" w:rsidRPr="00967BB9" w:rsidRDefault="00205453" w:rsidP="006F1BFD">
            <w:pPr>
              <w:snapToGrid w:val="0"/>
              <w:ind w:right="38"/>
              <w:jc w:val="left"/>
              <w:rPr>
                <w:sz w:val="24"/>
                <w:szCs w:val="24"/>
              </w:rPr>
            </w:pP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205453" w:rsidP="006F1BFD">
            <w:pPr>
              <w:snapToGrid w:val="0"/>
              <w:ind w:right="38"/>
              <w:rPr>
                <w:sz w:val="24"/>
                <w:szCs w:val="24"/>
              </w:rPr>
            </w:pPr>
            <w:r w:rsidRPr="00967BB9">
              <w:rPr>
                <w:sz w:val="24"/>
                <w:szCs w:val="24"/>
              </w:rPr>
              <w:t>Bankovní</w:t>
            </w:r>
            <w:r w:rsidR="008F4488">
              <w:rPr>
                <w:sz w:val="24"/>
                <w:szCs w:val="24"/>
              </w:rPr>
              <w:t xml:space="preserve"> spojení: </w:t>
            </w:r>
          </w:p>
        </w:tc>
      </w:tr>
      <w:tr w:rsidR="00205453" w:rsidRPr="00967BB9" w:rsidTr="006F1BFD">
        <w:trPr>
          <w:gridBefore w:val="1"/>
          <w:wBefore w:w="70" w:type="dxa"/>
          <w:cantSplit/>
        </w:trPr>
        <w:tc>
          <w:tcPr>
            <w:tcW w:w="1620" w:type="dxa"/>
            <w:gridSpan w:val="2"/>
            <w:tcMar>
              <w:top w:w="0" w:type="dxa"/>
              <w:left w:w="0" w:type="dxa"/>
              <w:bottom w:w="0" w:type="dxa"/>
              <w:right w:w="0" w:type="dxa"/>
            </w:tcMar>
          </w:tcPr>
          <w:p w:rsidR="00205453" w:rsidRPr="00967BB9" w:rsidRDefault="00205453" w:rsidP="006F1BFD">
            <w:pPr>
              <w:rPr>
                <w:b/>
                <w:sz w:val="24"/>
                <w:szCs w:val="24"/>
              </w:rPr>
            </w:pPr>
          </w:p>
        </w:tc>
        <w:tc>
          <w:tcPr>
            <w:tcW w:w="8161" w:type="dxa"/>
            <w:gridSpan w:val="10"/>
            <w:tcMar>
              <w:top w:w="0" w:type="dxa"/>
              <w:left w:w="0" w:type="dxa"/>
              <w:bottom w:w="0" w:type="dxa"/>
              <w:right w:w="0" w:type="dxa"/>
            </w:tcMar>
          </w:tcPr>
          <w:p w:rsidR="00205453" w:rsidRPr="00967BB9" w:rsidRDefault="008F4488" w:rsidP="006F1BFD">
            <w:pPr>
              <w:snapToGrid w:val="0"/>
              <w:ind w:right="38"/>
              <w:rPr>
                <w:sz w:val="24"/>
                <w:szCs w:val="24"/>
              </w:rPr>
            </w:pPr>
            <w:r>
              <w:rPr>
                <w:sz w:val="24"/>
                <w:szCs w:val="24"/>
              </w:rPr>
              <w:t xml:space="preserve">č. účtu: </w:t>
            </w:r>
          </w:p>
        </w:tc>
      </w:tr>
    </w:tbl>
    <w:p w:rsidR="00205453" w:rsidRPr="00967BB9" w:rsidRDefault="00205453" w:rsidP="00205453">
      <w:pPr>
        <w:rPr>
          <w:sz w:val="24"/>
          <w:szCs w:val="24"/>
        </w:rPr>
      </w:pPr>
    </w:p>
    <w:p w:rsidR="00205453" w:rsidRPr="00967BB9" w:rsidRDefault="00205453" w:rsidP="00205453">
      <w:pPr>
        <w:rPr>
          <w:sz w:val="24"/>
          <w:szCs w:val="24"/>
        </w:rPr>
      </w:pPr>
      <w:r w:rsidRPr="00967BB9">
        <w:rPr>
          <w:sz w:val="24"/>
          <w:szCs w:val="24"/>
        </w:rPr>
        <w:t xml:space="preserve">(dále jen </w:t>
      </w:r>
      <w:r w:rsidRPr="00967BB9">
        <w:rPr>
          <w:b/>
          <w:sz w:val="24"/>
          <w:szCs w:val="24"/>
        </w:rPr>
        <w:t>„dodavatel“</w:t>
      </w:r>
      <w:r w:rsidRPr="00967BB9">
        <w:rPr>
          <w:sz w:val="24"/>
          <w:szCs w:val="24"/>
        </w:rPr>
        <w:t>)</w:t>
      </w:r>
    </w:p>
    <w:p w:rsidR="00205453" w:rsidRPr="00967BB9" w:rsidRDefault="00205453" w:rsidP="00205453">
      <w:pPr>
        <w:rPr>
          <w:sz w:val="24"/>
          <w:szCs w:val="24"/>
        </w:rPr>
      </w:pPr>
    </w:p>
    <w:p w:rsidR="00205453" w:rsidRPr="00967BB9" w:rsidRDefault="00205453" w:rsidP="00205453">
      <w:pPr>
        <w:rPr>
          <w:sz w:val="24"/>
          <w:szCs w:val="24"/>
        </w:rPr>
      </w:pPr>
      <w:r w:rsidRPr="00967BB9">
        <w:rPr>
          <w:sz w:val="24"/>
          <w:szCs w:val="24"/>
        </w:rPr>
        <w:t>na straně druhé</w:t>
      </w:r>
    </w:p>
    <w:p w:rsidR="00205453" w:rsidRPr="00967BB9" w:rsidRDefault="00205453" w:rsidP="00205453">
      <w:pPr>
        <w:rPr>
          <w:sz w:val="24"/>
          <w:szCs w:val="24"/>
        </w:rPr>
      </w:pPr>
    </w:p>
    <w:p w:rsidR="00205453" w:rsidRPr="00967BB9" w:rsidRDefault="00205453" w:rsidP="00205453">
      <w:pPr>
        <w:jc w:val="center"/>
        <w:rPr>
          <w:sz w:val="24"/>
          <w:szCs w:val="24"/>
        </w:rPr>
      </w:pPr>
      <w:r w:rsidRPr="00967BB9">
        <w:rPr>
          <w:sz w:val="24"/>
          <w:szCs w:val="24"/>
        </w:rPr>
        <w:t xml:space="preserve">uzavřely níže uvedeného dne, měsíce a roku podle § 11 odst. 1 zákona č. 137/2006 Sb., o veřejných zakázkách, ve znění pozdějších předpisů (dále jen „zákon“) a § 1746 odst. 2 zákona č. 89/2012 Sb., občanský zákoník, ve znění pozdějších předpisů (dále jen „občanský zákoník“) a s přihlédnutím k § 273 odst. 4, § 222 odst. 2 a § 100 odst. 1 zákona č. 134/2016 Sb., o zadávání veřejných zakázek, </w:t>
      </w:r>
    </w:p>
    <w:p w:rsidR="00205453" w:rsidRPr="00967BB9" w:rsidRDefault="00205453" w:rsidP="00205453">
      <w:pPr>
        <w:rPr>
          <w:sz w:val="24"/>
          <w:szCs w:val="24"/>
        </w:rPr>
      </w:pPr>
    </w:p>
    <w:p w:rsidR="00205453" w:rsidRPr="00967BB9" w:rsidRDefault="00205453" w:rsidP="00205453">
      <w:pPr>
        <w:jc w:val="center"/>
        <w:rPr>
          <w:sz w:val="24"/>
          <w:szCs w:val="24"/>
        </w:rPr>
      </w:pPr>
    </w:p>
    <w:p w:rsidR="00205453" w:rsidRPr="00967BB9" w:rsidRDefault="00205453" w:rsidP="00205453">
      <w:pPr>
        <w:jc w:val="center"/>
        <w:rPr>
          <w:sz w:val="24"/>
          <w:szCs w:val="24"/>
        </w:rPr>
      </w:pPr>
      <w:r w:rsidRPr="00967BB9">
        <w:rPr>
          <w:sz w:val="24"/>
          <w:szCs w:val="24"/>
        </w:rPr>
        <w:t>tuto</w:t>
      </w:r>
    </w:p>
    <w:p w:rsidR="00205453" w:rsidRPr="00967BB9" w:rsidRDefault="00205453" w:rsidP="00205453">
      <w:pPr>
        <w:jc w:val="center"/>
        <w:rPr>
          <w:sz w:val="24"/>
          <w:szCs w:val="24"/>
        </w:rPr>
      </w:pPr>
      <w:r w:rsidRPr="00967BB9">
        <w:rPr>
          <w:sz w:val="24"/>
          <w:szCs w:val="24"/>
        </w:rPr>
        <w:t>Rámcovou smlouvu</w:t>
      </w:r>
    </w:p>
    <w:p w:rsidR="00205453" w:rsidRPr="00967BB9" w:rsidRDefault="00205453" w:rsidP="00205453">
      <w:pPr>
        <w:jc w:val="center"/>
        <w:rPr>
          <w:sz w:val="24"/>
          <w:szCs w:val="24"/>
        </w:rPr>
      </w:pPr>
      <w:proofErr w:type="gramStart"/>
      <w:r w:rsidRPr="00967BB9">
        <w:rPr>
          <w:sz w:val="24"/>
          <w:szCs w:val="24"/>
        </w:rPr>
        <w:t>na</w:t>
      </w:r>
      <w:proofErr w:type="gramEnd"/>
      <w:r w:rsidRPr="00967BB9">
        <w:rPr>
          <w:sz w:val="24"/>
          <w:szCs w:val="24"/>
        </w:rPr>
        <w:t xml:space="preserve"> </w:t>
      </w:r>
    </w:p>
    <w:p w:rsidR="00205453" w:rsidRPr="00967BB9" w:rsidRDefault="00205453" w:rsidP="00205453">
      <w:pPr>
        <w:jc w:val="center"/>
        <w:rPr>
          <w:sz w:val="24"/>
          <w:szCs w:val="24"/>
        </w:rPr>
      </w:pPr>
    </w:p>
    <w:p w:rsidR="00205453" w:rsidRPr="00967BB9" w:rsidRDefault="00205453" w:rsidP="00205453">
      <w:pPr>
        <w:jc w:val="center"/>
        <w:rPr>
          <w:b/>
          <w:sz w:val="24"/>
          <w:szCs w:val="24"/>
        </w:rPr>
      </w:pPr>
      <w:r w:rsidRPr="00967BB9">
        <w:rPr>
          <w:b/>
          <w:sz w:val="24"/>
          <w:szCs w:val="24"/>
        </w:rPr>
        <w:t>„Pojištění odpovědnosti za škodu způsobenou provozem vozidel pro roky 2016 a 2017 – využití opčního práva v roce 2018“</w:t>
      </w:r>
    </w:p>
    <w:p w:rsidR="00205453" w:rsidRPr="00967BB9" w:rsidRDefault="00205453" w:rsidP="00205453">
      <w:pPr>
        <w:jc w:val="center"/>
        <w:rPr>
          <w:b/>
          <w:sz w:val="24"/>
          <w:szCs w:val="24"/>
        </w:rPr>
      </w:pPr>
    </w:p>
    <w:p w:rsidR="00205453" w:rsidRPr="00967BB9" w:rsidRDefault="00205453" w:rsidP="00205453">
      <w:pPr>
        <w:jc w:val="center"/>
        <w:rPr>
          <w:b/>
          <w:sz w:val="24"/>
          <w:szCs w:val="24"/>
        </w:rPr>
      </w:pPr>
    </w:p>
    <w:p w:rsidR="00205453" w:rsidRPr="00967BB9" w:rsidRDefault="00205453" w:rsidP="00205453">
      <w:pPr>
        <w:jc w:val="center"/>
        <w:rPr>
          <w:b/>
          <w:sz w:val="24"/>
          <w:szCs w:val="24"/>
        </w:rPr>
      </w:pPr>
      <w:r w:rsidRPr="00967BB9">
        <w:rPr>
          <w:b/>
          <w:sz w:val="24"/>
          <w:szCs w:val="24"/>
        </w:rPr>
        <w:t>Úvodní ustanovení</w:t>
      </w:r>
    </w:p>
    <w:p w:rsidR="00205453" w:rsidRPr="00967BB9" w:rsidRDefault="00205453" w:rsidP="00205453">
      <w:pPr>
        <w:spacing w:before="120"/>
        <w:jc w:val="center"/>
        <w:rPr>
          <w:b/>
          <w:sz w:val="24"/>
          <w:szCs w:val="24"/>
        </w:rPr>
      </w:pPr>
      <w:r w:rsidRPr="00967BB9">
        <w:rPr>
          <w:b/>
          <w:sz w:val="24"/>
          <w:szCs w:val="24"/>
        </w:rPr>
        <w:t>Článek 2</w:t>
      </w:r>
    </w:p>
    <w:p w:rsidR="00205453" w:rsidRPr="00967BB9" w:rsidRDefault="00205453" w:rsidP="00205453">
      <w:pPr>
        <w:spacing w:before="120"/>
        <w:jc w:val="center"/>
        <w:rPr>
          <w:b/>
          <w:sz w:val="24"/>
          <w:szCs w:val="24"/>
        </w:rPr>
      </w:pPr>
      <w:r w:rsidRPr="00967BB9">
        <w:rPr>
          <w:b/>
          <w:sz w:val="24"/>
          <w:szCs w:val="24"/>
        </w:rPr>
        <w:t>Účel Rámcové smlouvy</w:t>
      </w:r>
    </w:p>
    <w:p w:rsidR="00205453" w:rsidRPr="00967BB9" w:rsidRDefault="00205453" w:rsidP="00205453">
      <w:pPr>
        <w:tabs>
          <w:tab w:val="num" w:pos="1410"/>
        </w:tabs>
        <w:ind w:left="-150"/>
        <w:jc w:val="center"/>
        <w:rPr>
          <w:b/>
          <w:sz w:val="24"/>
          <w:szCs w:val="24"/>
        </w:rPr>
      </w:pPr>
    </w:p>
    <w:p w:rsidR="00205453" w:rsidRPr="00967BB9" w:rsidRDefault="00205453" w:rsidP="00205453">
      <w:pPr>
        <w:numPr>
          <w:ilvl w:val="0"/>
          <w:numId w:val="2"/>
        </w:numPr>
        <w:tabs>
          <w:tab w:val="clear" w:pos="360"/>
          <w:tab w:val="left" w:pos="540"/>
        </w:tabs>
        <w:spacing w:before="120"/>
        <w:ind w:left="539" w:hanging="539"/>
        <w:rPr>
          <w:sz w:val="24"/>
          <w:szCs w:val="24"/>
        </w:rPr>
      </w:pPr>
      <w:r w:rsidRPr="00967BB9">
        <w:rPr>
          <w:sz w:val="24"/>
          <w:szCs w:val="24"/>
        </w:rPr>
        <w:t xml:space="preserve">Účelem této Rámcové smlouvy s jedním dodavatelem je zabezpečit pojištění odpovědnosti za škodu způsobenou provozem vozidel (dále jen „ zákonné pojištění“) pro jednotlivé veřejné zadavatele resortu Ministerstva vnitra ČR (dále jen „veřejné zadavatele MV“) uvedené v Příloze č. 2 </w:t>
      </w:r>
      <w:proofErr w:type="gramStart"/>
      <w:r w:rsidRPr="00967BB9">
        <w:rPr>
          <w:sz w:val="24"/>
          <w:szCs w:val="24"/>
        </w:rPr>
        <w:t>této</w:t>
      </w:r>
      <w:proofErr w:type="gramEnd"/>
      <w:r w:rsidRPr="00967BB9">
        <w:rPr>
          <w:sz w:val="24"/>
          <w:szCs w:val="24"/>
        </w:rPr>
        <w:t xml:space="preserve"> smlouvy pro rok 2018 na základě využití  opčního práva dle § 99 zákona do výše maximálně 30% předpokládaného finančního limitu. Předpokládaný finanční objem pro rok 2018 činí 8 miliónů Kč.</w:t>
      </w:r>
    </w:p>
    <w:p w:rsidR="00205453" w:rsidRPr="00967BB9" w:rsidRDefault="00205453" w:rsidP="00205453">
      <w:pPr>
        <w:numPr>
          <w:ilvl w:val="0"/>
          <w:numId w:val="2"/>
        </w:numPr>
        <w:tabs>
          <w:tab w:val="clear" w:pos="360"/>
          <w:tab w:val="left" w:pos="540"/>
        </w:tabs>
        <w:spacing w:before="120"/>
        <w:ind w:left="539" w:hanging="539"/>
        <w:rPr>
          <w:sz w:val="24"/>
          <w:szCs w:val="24"/>
        </w:rPr>
      </w:pPr>
      <w:r w:rsidRPr="00967BB9">
        <w:rPr>
          <w:sz w:val="24"/>
          <w:szCs w:val="24"/>
        </w:rPr>
        <w:t>Podkladem pro uzavření této Rámcové smlouvy je nabídka dodavatele, který se umístil v otevřeném zadávacím řízení (dále jen „zadávací řízení“) na uzavření této Rámcové smlouvy, v prvním pořadí.</w:t>
      </w:r>
    </w:p>
    <w:p w:rsidR="00205453" w:rsidRPr="00967BB9" w:rsidRDefault="00205453" w:rsidP="00205453">
      <w:pPr>
        <w:numPr>
          <w:ilvl w:val="0"/>
          <w:numId w:val="2"/>
        </w:numPr>
        <w:tabs>
          <w:tab w:val="clear" w:pos="360"/>
          <w:tab w:val="left" w:pos="540"/>
        </w:tabs>
        <w:spacing w:before="120"/>
        <w:ind w:left="539" w:hanging="539"/>
        <w:rPr>
          <w:sz w:val="24"/>
          <w:szCs w:val="24"/>
        </w:rPr>
      </w:pPr>
      <w:r w:rsidRPr="00967BB9">
        <w:rPr>
          <w:sz w:val="24"/>
          <w:szCs w:val="24"/>
        </w:rPr>
        <w:lastRenderedPageBreak/>
        <w:t xml:space="preserve">Zadávací řízení na uzavření této Rámcové smlouvy bylo uveřejněno ve věstníku veřejných zakázek dne </w:t>
      </w:r>
      <w:proofErr w:type="gramStart"/>
      <w:r w:rsidRPr="00967BB9">
        <w:rPr>
          <w:sz w:val="24"/>
          <w:szCs w:val="24"/>
        </w:rPr>
        <w:t>29.6.2015</w:t>
      </w:r>
      <w:proofErr w:type="gramEnd"/>
      <w:r w:rsidRPr="00967BB9">
        <w:rPr>
          <w:sz w:val="24"/>
          <w:szCs w:val="24"/>
        </w:rPr>
        <w:t xml:space="preserve"> pod evidenčním číslem 514596.</w:t>
      </w:r>
    </w:p>
    <w:p w:rsidR="00205453" w:rsidRPr="00967BB9" w:rsidRDefault="00205453" w:rsidP="00205453">
      <w:pPr>
        <w:tabs>
          <w:tab w:val="num" w:pos="1410"/>
        </w:tabs>
        <w:ind w:left="-150"/>
        <w:jc w:val="center"/>
        <w:rPr>
          <w:b/>
          <w:sz w:val="24"/>
          <w:szCs w:val="24"/>
        </w:rPr>
      </w:pPr>
    </w:p>
    <w:p w:rsidR="00205453" w:rsidRPr="00967BB9" w:rsidRDefault="00205453" w:rsidP="00205453">
      <w:pPr>
        <w:tabs>
          <w:tab w:val="num" w:pos="1410"/>
        </w:tabs>
        <w:ind w:left="-150"/>
        <w:jc w:val="center"/>
        <w:rPr>
          <w:b/>
          <w:sz w:val="24"/>
          <w:szCs w:val="24"/>
        </w:rPr>
      </w:pPr>
      <w:r w:rsidRPr="00967BB9">
        <w:rPr>
          <w:b/>
          <w:sz w:val="24"/>
          <w:szCs w:val="24"/>
        </w:rPr>
        <w:t>Článek 3</w:t>
      </w:r>
    </w:p>
    <w:p w:rsidR="00205453" w:rsidRPr="00967BB9" w:rsidRDefault="00205453" w:rsidP="00205453">
      <w:pPr>
        <w:tabs>
          <w:tab w:val="num" w:pos="1410"/>
        </w:tabs>
        <w:ind w:left="-150"/>
        <w:jc w:val="center"/>
        <w:rPr>
          <w:b/>
          <w:sz w:val="24"/>
          <w:szCs w:val="24"/>
        </w:rPr>
      </w:pPr>
      <w:r w:rsidRPr="00967BB9">
        <w:rPr>
          <w:b/>
          <w:sz w:val="24"/>
          <w:szCs w:val="24"/>
        </w:rPr>
        <w:t>Předmět Rámcové smlouvy</w:t>
      </w:r>
    </w:p>
    <w:p w:rsidR="00205453" w:rsidRPr="00967BB9" w:rsidRDefault="00205453" w:rsidP="00205453">
      <w:pPr>
        <w:spacing w:before="120"/>
        <w:jc w:val="center"/>
        <w:rPr>
          <w:b/>
          <w:sz w:val="24"/>
          <w:szCs w:val="24"/>
        </w:rPr>
      </w:pPr>
    </w:p>
    <w:p w:rsidR="00205453" w:rsidRPr="00967BB9" w:rsidRDefault="00205453" w:rsidP="00205453">
      <w:pPr>
        <w:numPr>
          <w:ilvl w:val="0"/>
          <w:numId w:val="8"/>
        </w:numPr>
        <w:tabs>
          <w:tab w:val="clear" w:pos="360"/>
          <w:tab w:val="left" w:pos="540"/>
        </w:tabs>
        <w:spacing w:before="120"/>
        <w:ind w:left="539" w:hanging="539"/>
        <w:rPr>
          <w:sz w:val="24"/>
          <w:szCs w:val="24"/>
        </w:rPr>
      </w:pPr>
      <w:r w:rsidRPr="00967BB9">
        <w:rPr>
          <w:sz w:val="24"/>
          <w:szCs w:val="24"/>
        </w:rPr>
        <w:t>Předmětem této Rámcové smlouvy je stanovení obchodních podmínek (pojistného) za zákonné pojištění vozidel MV dle článku 7 této Rámcové smlouvy, které jsou závazné pro uzavírání dílčích pojistných smluv, které veřejní zadavatelé MV s dodavatelem uzavřou.</w:t>
      </w:r>
    </w:p>
    <w:p w:rsidR="00205453" w:rsidRPr="00967BB9" w:rsidRDefault="00205453" w:rsidP="00205453">
      <w:pPr>
        <w:numPr>
          <w:ilvl w:val="0"/>
          <w:numId w:val="8"/>
        </w:numPr>
        <w:tabs>
          <w:tab w:val="left" w:pos="540"/>
        </w:tabs>
        <w:spacing w:before="120"/>
        <w:rPr>
          <w:sz w:val="24"/>
          <w:szCs w:val="24"/>
        </w:rPr>
      </w:pPr>
      <w:r w:rsidRPr="00967BB9">
        <w:rPr>
          <w:sz w:val="24"/>
          <w:szCs w:val="24"/>
        </w:rPr>
        <w:t>Zákonné pojištění se řídí zákonem č. 168/1999 Sb., o pojištění odpovědnosti za újmu způsobenou provozem vozidla a o změně některých souvisejících zákonů (zákon o pojištění odpovědnosti z provozu vozidla), ve znění pozdějších předpisů (dále jen „zákon o pojištění“), vyhláškou Ministerstva financí č. 205/1999 Sb., kterou se provádí zákon č. 168/1999 Sb., o pojištění odpovědnosti za škodu způsobenou provozem vozidla a o změně některých souvisejících zákonů (zákon o pojištění odpovědnosti z provozu vozidla), ve znění pozdějších předpisů, zákonem č. 363/1999 Sb., o pojišťovnictví a o změně některých souvisejících zákonů (zákon o pojišťovnictví), ve znění pozdějších předpisů,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zákonem č. 37/2004 Sb., o pojistné smlouvě a o změně souvisejících zákonů (zákon o pojistné smlouvě), ve znění pozdějších předpisů, občanským zákoníkem, a ostatními obecně závaznými předpisy.</w:t>
      </w:r>
    </w:p>
    <w:p w:rsidR="00205453" w:rsidRPr="00967BB9" w:rsidRDefault="00205453" w:rsidP="00205453">
      <w:pPr>
        <w:spacing w:before="120"/>
        <w:jc w:val="center"/>
        <w:rPr>
          <w:sz w:val="24"/>
          <w:szCs w:val="24"/>
        </w:rPr>
      </w:pPr>
    </w:p>
    <w:p w:rsidR="00205453" w:rsidRPr="00967BB9" w:rsidRDefault="00205453" w:rsidP="00205453">
      <w:pPr>
        <w:spacing w:before="120"/>
        <w:jc w:val="center"/>
        <w:rPr>
          <w:b/>
          <w:sz w:val="24"/>
          <w:szCs w:val="24"/>
        </w:rPr>
      </w:pPr>
      <w:r w:rsidRPr="00967BB9">
        <w:rPr>
          <w:b/>
          <w:sz w:val="24"/>
          <w:szCs w:val="24"/>
        </w:rPr>
        <w:t>Článek 4</w:t>
      </w:r>
    </w:p>
    <w:p w:rsidR="00205453" w:rsidRPr="00967BB9" w:rsidRDefault="00205453" w:rsidP="00205453">
      <w:pPr>
        <w:spacing w:before="120"/>
        <w:jc w:val="center"/>
        <w:rPr>
          <w:b/>
          <w:sz w:val="24"/>
          <w:szCs w:val="24"/>
        </w:rPr>
      </w:pPr>
      <w:r w:rsidRPr="00967BB9">
        <w:rPr>
          <w:b/>
          <w:sz w:val="24"/>
          <w:szCs w:val="24"/>
        </w:rPr>
        <w:t>Rozsah pojištění</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 xml:space="preserve">Pojištění se sjednává na předpokládaný počet vozidel specifikovaný v Příloze </w:t>
      </w:r>
      <w:proofErr w:type="gramStart"/>
      <w:r w:rsidRPr="00967BB9">
        <w:rPr>
          <w:sz w:val="24"/>
          <w:szCs w:val="24"/>
        </w:rPr>
        <w:t>č.1 této</w:t>
      </w:r>
      <w:proofErr w:type="gramEnd"/>
      <w:r w:rsidRPr="00967BB9">
        <w:rPr>
          <w:sz w:val="24"/>
          <w:szCs w:val="24"/>
        </w:rPr>
        <w:t xml:space="preserve"> smlouvy, pro něž jsou stanoveny pevné ceny pojistného v roce 2018. Přesné počty vozidel budou určovány jednotlivými veřejnými zadavateli MV, kteří uzavřou dílčí pojistné smlouvy, specifikované v čl. 5 této Rámcové smlouvy. Dílčí pojistné smlouvy budou uzavřeny za podmínek stanovených v této Rámcové smlouvě. Počty pojišťovaných vozidel se mohou průběžně měnit +/- 15% u každého veřejného zadavatele MV v závislosti na sezónnosti provozu, nákupu nových vozidel a vyřazení nepotřebných vozidel.</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Zákonné pojištění zajišťuje následující limity pojistného plnění:</w:t>
      </w:r>
    </w:p>
    <w:p w:rsidR="00205453" w:rsidRPr="00967BB9" w:rsidRDefault="00205453" w:rsidP="00205453">
      <w:pPr>
        <w:numPr>
          <w:ilvl w:val="0"/>
          <w:numId w:val="17"/>
        </w:numPr>
        <w:tabs>
          <w:tab w:val="left" w:pos="180"/>
          <w:tab w:val="left" w:pos="540"/>
        </w:tabs>
        <w:spacing w:before="120"/>
        <w:rPr>
          <w:sz w:val="24"/>
          <w:szCs w:val="24"/>
        </w:rPr>
      </w:pPr>
      <w:r w:rsidRPr="00967BB9">
        <w:rPr>
          <w:sz w:val="24"/>
          <w:szCs w:val="24"/>
        </w:rPr>
        <w:t>100.000.000,- Kč na každého zraněného nebo usmrceného, při škodě podle § 6 odst. 2 písm. a) zákona o pojištění,</w:t>
      </w:r>
    </w:p>
    <w:p w:rsidR="00205453" w:rsidRPr="00967BB9" w:rsidRDefault="00205453" w:rsidP="00205453">
      <w:pPr>
        <w:numPr>
          <w:ilvl w:val="0"/>
          <w:numId w:val="17"/>
        </w:numPr>
        <w:tabs>
          <w:tab w:val="left" w:pos="180"/>
          <w:tab w:val="left" w:pos="540"/>
        </w:tabs>
        <w:spacing w:before="120"/>
        <w:rPr>
          <w:sz w:val="24"/>
          <w:szCs w:val="24"/>
        </w:rPr>
      </w:pPr>
      <w:r w:rsidRPr="00967BB9">
        <w:rPr>
          <w:sz w:val="24"/>
          <w:szCs w:val="24"/>
        </w:rPr>
        <w:t>100.000.000,- Kč bez ohledu na počet poškozených při škodě podle § 6 odst. 2 písm. b) a c) zákona o pojištění.</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V rámci zákonného pojištění je i úrazové pojištění osob ve vozidle (dále jen „úrazové pojištění“) a je zohledněno v celkové částce pojistného. Úrazové pojištění se vztahuje na všechny osoby dopravované dvoustopým motorovým vozidlem uvedeným v pojistné smlouvě a není nijak územně omezeno.</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lastRenderedPageBreak/>
        <w:t>Dodavatel se zavazuje poskytnout pojistné plnění z úrazového pojištění ve formě výplaty:</w:t>
      </w:r>
    </w:p>
    <w:p w:rsidR="00205453" w:rsidRPr="00967BB9" w:rsidRDefault="00205453" w:rsidP="00205453">
      <w:pPr>
        <w:numPr>
          <w:ilvl w:val="0"/>
          <w:numId w:val="10"/>
        </w:numPr>
        <w:tabs>
          <w:tab w:val="left" w:pos="180"/>
          <w:tab w:val="left" w:pos="540"/>
        </w:tabs>
        <w:spacing w:before="120"/>
        <w:rPr>
          <w:sz w:val="24"/>
          <w:szCs w:val="24"/>
        </w:rPr>
      </w:pPr>
      <w:r w:rsidRPr="00967BB9">
        <w:rPr>
          <w:sz w:val="24"/>
          <w:szCs w:val="24"/>
        </w:rPr>
        <w:t>denního odškodného za průměrnou dobu léčení následků úrazu v základní částce 100,- Kč,</w:t>
      </w:r>
    </w:p>
    <w:p w:rsidR="00205453" w:rsidRPr="00967BB9" w:rsidRDefault="00205453" w:rsidP="00205453">
      <w:pPr>
        <w:numPr>
          <w:ilvl w:val="0"/>
          <w:numId w:val="10"/>
        </w:numPr>
        <w:tabs>
          <w:tab w:val="left" w:pos="180"/>
          <w:tab w:val="left" w:pos="540"/>
        </w:tabs>
        <w:spacing w:before="120"/>
        <w:rPr>
          <w:sz w:val="24"/>
          <w:szCs w:val="24"/>
        </w:rPr>
      </w:pPr>
      <w:r w:rsidRPr="00967BB9">
        <w:rPr>
          <w:sz w:val="24"/>
          <w:szCs w:val="24"/>
        </w:rPr>
        <w:t>denního odškodného při pobytu v nemocnici v důsledku úrazu v základní částce 100,- Kč,</w:t>
      </w:r>
    </w:p>
    <w:p w:rsidR="00205453" w:rsidRPr="00967BB9" w:rsidRDefault="00205453" w:rsidP="00205453">
      <w:pPr>
        <w:numPr>
          <w:ilvl w:val="0"/>
          <w:numId w:val="10"/>
        </w:numPr>
        <w:tabs>
          <w:tab w:val="left" w:pos="180"/>
          <w:tab w:val="left" w:pos="540"/>
        </w:tabs>
        <w:spacing w:before="120"/>
        <w:rPr>
          <w:sz w:val="24"/>
          <w:szCs w:val="24"/>
        </w:rPr>
      </w:pPr>
      <w:r w:rsidRPr="00967BB9">
        <w:rPr>
          <w:sz w:val="24"/>
          <w:szCs w:val="24"/>
        </w:rPr>
        <w:t>příslušného % z pojistné částky za trvalé následky úrazu, nejvýše však do sjednané pojistné částky, jejíž základní výše je 400.000,- Kč,</w:t>
      </w:r>
    </w:p>
    <w:p w:rsidR="00205453" w:rsidRPr="00967BB9" w:rsidRDefault="00205453" w:rsidP="00205453">
      <w:pPr>
        <w:numPr>
          <w:ilvl w:val="0"/>
          <w:numId w:val="10"/>
        </w:numPr>
        <w:tabs>
          <w:tab w:val="left" w:pos="180"/>
          <w:tab w:val="left" w:pos="540"/>
        </w:tabs>
        <w:spacing w:before="120"/>
        <w:rPr>
          <w:sz w:val="24"/>
          <w:szCs w:val="24"/>
        </w:rPr>
      </w:pPr>
      <w:r w:rsidRPr="00967BB9">
        <w:rPr>
          <w:sz w:val="24"/>
          <w:szCs w:val="24"/>
        </w:rPr>
        <w:t>pojistné částky za smrt následkem úrazu v základní výši 200.000,- Kč.</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Dodavatel poskytuje současně se zákonným pojištěním i asistenční službu.</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Asistenční službu v případě poruchy či nehody vozidla za jednotlivý zásah dodavatel neúčtuje, jsou zahrnuty již ve smluvní ceně v případech:</w:t>
      </w:r>
    </w:p>
    <w:p w:rsidR="00205453" w:rsidRPr="00967BB9" w:rsidRDefault="00205453" w:rsidP="00205453">
      <w:pPr>
        <w:numPr>
          <w:ilvl w:val="0"/>
          <w:numId w:val="11"/>
        </w:numPr>
        <w:tabs>
          <w:tab w:val="left" w:pos="180"/>
          <w:tab w:val="left" w:pos="540"/>
        </w:tabs>
        <w:spacing w:before="120"/>
        <w:rPr>
          <w:sz w:val="24"/>
          <w:szCs w:val="24"/>
        </w:rPr>
      </w:pPr>
      <w:r w:rsidRPr="00967BB9">
        <w:rPr>
          <w:sz w:val="24"/>
          <w:szCs w:val="24"/>
        </w:rPr>
        <w:t>nákladů za příjezd a odjezd,</w:t>
      </w:r>
    </w:p>
    <w:p w:rsidR="00205453" w:rsidRPr="00967BB9" w:rsidRDefault="00205453" w:rsidP="00205453">
      <w:pPr>
        <w:numPr>
          <w:ilvl w:val="0"/>
          <w:numId w:val="11"/>
        </w:numPr>
        <w:tabs>
          <w:tab w:val="left" w:pos="180"/>
          <w:tab w:val="left" w:pos="540"/>
        </w:tabs>
        <w:spacing w:before="120"/>
        <w:rPr>
          <w:sz w:val="24"/>
          <w:szCs w:val="24"/>
        </w:rPr>
      </w:pPr>
      <w:r w:rsidRPr="00967BB9">
        <w:rPr>
          <w:sz w:val="24"/>
          <w:szCs w:val="24"/>
        </w:rPr>
        <w:t xml:space="preserve">nákladů za vyproštění a manipulaci s vozidlem, </w:t>
      </w:r>
    </w:p>
    <w:p w:rsidR="00205453" w:rsidRPr="00967BB9" w:rsidRDefault="00205453" w:rsidP="00205453">
      <w:pPr>
        <w:numPr>
          <w:ilvl w:val="0"/>
          <w:numId w:val="11"/>
        </w:numPr>
        <w:tabs>
          <w:tab w:val="left" w:pos="180"/>
          <w:tab w:val="left" w:pos="540"/>
        </w:tabs>
        <w:spacing w:before="120"/>
        <w:rPr>
          <w:sz w:val="24"/>
          <w:szCs w:val="24"/>
        </w:rPr>
      </w:pPr>
      <w:r w:rsidRPr="00967BB9">
        <w:rPr>
          <w:sz w:val="24"/>
          <w:szCs w:val="24"/>
        </w:rPr>
        <w:t>nákladů za odtah vozidla do 50 km od místa poruchy či nehody.</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Zákonné pojištění se vztahuje na škodní události, ke kterým dojde na území České republiky, ostatních členských států Evropské unie, dalších států tvořící Evropský hospodářský prostor a států uvedených v seznamu dle § 4 vyhlášky Ministerstva financí č. 205/1999 Sb.</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Dodavatel umožní nahlášení a likvidaci pojistné události na celém území ČR, respektive zajistí plnění ze smlouvy (tzn. např. situace uvedené v čl. 4.9 a 7.4) v sídlech veřejných zadavatelů MV dle Přílohy č. 2 této Rámcové smlouvy. Způsob zajištění je uveden v Příloze č. 4 této Rámcové smlouvy.</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 xml:space="preserve">Dodavatel se zavazuje provádět prohlídky poškozených vozidel v pracovních dnech ve lhůtě do 48 hodin od nahlášení pojistné události v sídlech veřejných zadavatelů dle Přílohy č. 2 této Rámcové smlouvy. </w:t>
      </w:r>
    </w:p>
    <w:p w:rsidR="00205453" w:rsidRPr="00967BB9" w:rsidRDefault="00205453" w:rsidP="00205453">
      <w:pPr>
        <w:numPr>
          <w:ilvl w:val="0"/>
          <w:numId w:val="9"/>
        </w:numPr>
        <w:tabs>
          <w:tab w:val="clear" w:pos="360"/>
          <w:tab w:val="left" w:pos="540"/>
        </w:tabs>
        <w:spacing w:before="120"/>
        <w:ind w:left="539" w:hanging="539"/>
        <w:rPr>
          <w:sz w:val="24"/>
          <w:szCs w:val="24"/>
        </w:rPr>
      </w:pPr>
      <w:r w:rsidRPr="00967BB9">
        <w:rPr>
          <w:sz w:val="24"/>
          <w:szCs w:val="24"/>
        </w:rPr>
        <w:t>Dodavatel akceptuje opravy vozidel MV v opravnách veřejných zadavatelů MV. Náhradní díly dodávané do opraven veřejných zadavatelů MV jsou v cenách vzniklých z veřejné zakázky, kdy ceny jsou nižší než ceny tržní.</w:t>
      </w:r>
    </w:p>
    <w:p w:rsidR="00205453" w:rsidRPr="00967BB9" w:rsidRDefault="00205453" w:rsidP="00205453">
      <w:pPr>
        <w:spacing w:before="120"/>
        <w:rPr>
          <w:sz w:val="24"/>
          <w:szCs w:val="24"/>
        </w:rPr>
      </w:pPr>
    </w:p>
    <w:p w:rsidR="00205453" w:rsidRPr="00967BB9" w:rsidRDefault="00205453" w:rsidP="00205453">
      <w:pPr>
        <w:spacing w:before="120"/>
        <w:rPr>
          <w:b/>
          <w:sz w:val="24"/>
          <w:szCs w:val="24"/>
        </w:rPr>
      </w:pPr>
    </w:p>
    <w:p w:rsidR="00205453" w:rsidRPr="00967BB9" w:rsidRDefault="00205453" w:rsidP="00205453">
      <w:pPr>
        <w:spacing w:before="120"/>
        <w:jc w:val="center"/>
        <w:rPr>
          <w:b/>
          <w:sz w:val="24"/>
          <w:szCs w:val="24"/>
        </w:rPr>
      </w:pPr>
      <w:r w:rsidRPr="00967BB9">
        <w:rPr>
          <w:b/>
          <w:sz w:val="24"/>
          <w:szCs w:val="24"/>
        </w:rPr>
        <w:t>Článek 5</w:t>
      </w:r>
    </w:p>
    <w:p w:rsidR="00205453" w:rsidRPr="00967BB9" w:rsidRDefault="00205453" w:rsidP="00205453">
      <w:pPr>
        <w:spacing w:before="120"/>
        <w:jc w:val="center"/>
        <w:rPr>
          <w:b/>
          <w:sz w:val="24"/>
          <w:szCs w:val="24"/>
        </w:rPr>
      </w:pPr>
      <w:r w:rsidRPr="00967BB9">
        <w:rPr>
          <w:b/>
          <w:sz w:val="24"/>
          <w:szCs w:val="24"/>
        </w:rPr>
        <w:t>Dílčí pojistné smlouvy a postup při jejich uzavření</w:t>
      </w:r>
    </w:p>
    <w:p w:rsidR="00205453" w:rsidRPr="00967BB9" w:rsidRDefault="00205453" w:rsidP="00205453">
      <w:pPr>
        <w:spacing w:before="120"/>
        <w:rPr>
          <w:sz w:val="24"/>
          <w:szCs w:val="24"/>
        </w:rPr>
      </w:pPr>
    </w:p>
    <w:p w:rsidR="00205453" w:rsidRPr="00967BB9" w:rsidRDefault="00205453" w:rsidP="00205453">
      <w:pPr>
        <w:numPr>
          <w:ilvl w:val="0"/>
          <w:numId w:val="7"/>
        </w:numPr>
        <w:tabs>
          <w:tab w:val="clear" w:pos="360"/>
          <w:tab w:val="left" w:pos="540"/>
        </w:tabs>
        <w:spacing w:before="120"/>
        <w:ind w:left="539" w:hanging="539"/>
        <w:rPr>
          <w:sz w:val="24"/>
          <w:szCs w:val="24"/>
        </w:rPr>
      </w:pPr>
      <w:r w:rsidRPr="00967BB9">
        <w:rPr>
          <w:sz w:val="24"/>
          <w:szCs w:val="24"/>
        </w:rPr>
        <w:t>Dílčí pojistné smlouvy budou uzavírat veřejní zadavatelé MV na základě písemné výzvy k poskytnutí plnění, jež je návrhem na uzavření pojistné smlouvy, a písemného potvrzení této výzvy dodavatelem, jež je přijetím návrhu pojistné smlouvy.</w:t>
      </w:r>
    </w:p>
    <w:p w:rsidR="00205453" w:rsidRPr="00967BB9" w:rsidRDefault="00205453" w:rsidP="00205453">
      <w:pPr>
        <w:numPr>
          <w:ilvl w:val="0"/>
          <w:numId w:val="7"/>
        </w:numPr>
        <w:tabs>
          <w:tab w:val="clear" w:pos="360"/>
          <w:tab w:val="left" w:pos="540"/>
        </w:tabs>
        <w:spacing w:before="120"/>
        <w:ind w:left="539" w:hanging="539"/>
        <w:rPr>
          <w:sz w:val="24"/>
          <w:szCs w:val="24"/>
        </w:rPr>
      </w:pPr>
      <w:r w:rsidRPr="00967BB9">
        <w:rPr>
          <w:sz w:val="24"/>
          <w:szCs w:val="24"/>
        </w:rPr>
        <w:t xml:space="preserve">Dílčími pojistnými smlouvami se rozumí smlouvy uzavírané na základě této Rámcové smlouvy mezi veřejnými zadavateli MV a dodavatelem. </w:t>
      </w:r>
    </w:p>
    <w:p w:rsidR="00205453" w:rsidRPr="00967BB9" w:rsidRDefault="00205453" w:rsidP="00205453">
      <w:pPr>
        <w:numPr>
          <w:ilvl w:val="0"/>
          <w:numId w:val="7"/>
        </w:numPr>
        <w:tabs>
          <w:tab w:val="clear" w:pos="360"/>
          <w:tab w:val="left" w:pos="540"/>
        </w:tabs>
        <w:spacing w:before="120"/>
        <w:ind w:left="539" w:hanging="539"/>
        <w:rPr>
          <w:sz w:val="24"/>
          <w:szCs w:val="24"/>
        </w:rPr>
      </w:pPr>
      <w:r w:rsidRPr="00967BB9">
        <w:rPr>
          <w:sz w:val="24"/>
          <w:szCs w:val="24"/>
        </w:rPr>
        <w:t xml:space="preserve">Dílčí pojistné smlouvy budou uzavřeny veřejnými zadavateli MV na jejich vlastní účet. </w:t>
      </w:r>
    </w:p>
    <w:p w:rsidR="00205453" w:rsidRPr="00967BB9" w:rsidRDefault="00205453" w:rsidP="00205453">
      <w:pPr>
        <w:numPr>
          <w:ilvl w:val="0"/>
          <w:numId w:val="7"/>
        </w:numPr>
        <w:tabs>
          <w:tab w:val="clear" w:pos="360"/>
          <w:tab w:val="left" w:pos="540"/>
        </w:tabs>
        <w:spacing w:before="120"/>
        <w:ind w:left="539" w:hanging="539"/>
        <w:rPr>
          <w:sz w:val="24"/>
          <w:szCs w:val="24"/>
        </w:rPr>
      </w:pPr>
      <w:r w:rsidRPr="00967BB9">
        <w:rPr>
          <w:sz w:val="24"/>
          <w:szCs w:val="24"/>
        </w:rPr>
        <w:lastRenderedPageBreak/>
        <w:t xml:space="preserve">Veřejní zadavatelé MV mohou výzvy k předložení návrhu na uzavření pojistné smlouvy předkládat po dobu účinnosti této Rámcové smlouvy. </w:t>
      </w:r>
    </w:p>
    <w:p w:rsidR="00205453" w:rsidRPr="00967BB9" w:rsidRDefault="00205453" w:rsidP="00205453">
      <w:pPr>
        <w:numPr>
          <w:ilvl w:val="0"/>
          <w:numId w:val="7"/>
        </w:numPr>
        <w:tabs>
          <w:tab w:val="clear" w:pos="360"/>
          <w:tab w:val="left" w:pos="540"/>
        </w:tabs>
        <w:spacing w:before="120"/>
        <w:ind w:left="539" w:hanging="539"/>
        <w:rPr>
          <w:sz w:val="24"/>
          <w:szCs w:val="24"/>
        </w:rPr>
      </w:pPr>
      <w:r w:rsidRPr="00967BB9">
        <w:rPr>
          <w:sz w:val="24"/>
          <w:szCs w:val="24"/>
        </w:rPr>
        <w:t>Smluvní vztahy vznikající z uzavřených dílčích pojistných smluv se řídí právní řádem České republiky (zejména právními předpisy uvedenými v čl. 3.2 této Rámcové smlouvy) a touto Rámcovou smlouvou.</w:t>
      </w:r>
    </w:p>
    <w:p w:rsidR="00205453" w:rsidRPr="00967BB9" w:rsidRDefault="00205453" w:rsidP="00205453">
      <w:pPr>
        <w:spacing w:before="120"/>
        <w:jc w:val="center"/>
        <w:rPr>
          <w:b/>
          <w:sz w:val="24"/>
          <w:szCs w:val="24"/>
        </w:rPr>
      </w:pPr>
    </w:p>
    <w:p w:rsidR="00205453" w:rsidRPr="00967BB9" w:rsidRDefault="00205453" w:rsidP="00205453">
      <w:pPr>
        <w:spacing w:before="120"/>
        <w:jc w:val="center"/>
        <w:rPr>
          <w:b/>
          <w:sz w:val="24"/>
          <w:szCs w:val="24"/>
        </w:rPr>
      </w:pPr>
      <w:r w:rsidRPr="00967BB9">
        <w:rPr>
          <w:b/>
          <w:sz w:val="24"/>
          <w:szCs w:val="24"/>
        </w:rPr>
        <w:t xml:space="preserve">Článek 6 </w:t>
      </w:r>
    </w:p>
    <w:p w:rsidR="00205453" w:rsidRPr="00967BB9" w:rsidRDefault="00205453" w:rsidP="00205453">
      <w:pPr>
        <w:spacing w:before="120"/>
        <w:jc w:val="center"/>
        <w:rPr>
          <w:b/>
          <w:sz w:val="24"/>
          <w:szCs w:val="24"/>
        </w:rPr>
      </w:pPr>
      <w:r w:rsidRPr="00967BB9">
        <w:rPr>
          <w:b/>
          <w:sz w:val="24"/>
          <w:szCs w:val="24"/>
        </w:rPr>
        <w:t>Termín a místa plnění</w:t>
      </w:r>
    </w:p>
    <w:p w:rsidR="00205453" w:rsidRPr="00967BB9" w:rsidRDefault="00205453" w:rsidP="00205453">
      <w:pPr>
        <w:tabs>
          <w:tab w:val="left" w:pos="540"/>
        </w:tabs>
        <w:spacing w:before="120"/>
        <w:rPr>
          <w:sz w:val="24"/>
          <w:szCs w:val="24"/>
        </w:rPr>
      </w:pPr>
      <w:r w:rsidRPr="00967BB9">
        <w:rPr>
          <w:sz w:val="24"/>
          <w:szCs w:val="24"/>
        </w:rPr>
        <w:t>Dílčí pojistné smlouvy uzavře dodavatel s veřejnými zadavateli MV do 31. prosince 2017 s účinností od 1. ledna 2018 do 31. prosince 2018 v sídlech veřejných zadavatelů MV dle Přílohy č. 2 této Rámcové smlouvy.</w:t>
      </w:r>
    </w:p>
    <w:p w:rsidR="00205453" w:rsidRPr="00967BB9" w:rsidRDefault="00205453" w:rsidP="00205453">
      <w:pPr>
        <w:spacing w:before="120"/>
        <w:rPr>
          <w:sz w:val="24"/>
          <w:szCs w:val="24"/>
        </w:rPr>
      </w:pPr>
    </w:p>
    <w:p w:rsidR="00205453" w:rsidRPr="00967BB9" w:rsidRDefault="00205453" w:rsidP="00205453">
      <w:pPr>
        <w:spacing w:before="120"/>
        <w:jc w:val="center"/>
        <w:rPr>
          <w:b/>
          <w:sz w:val="24"/>
          <w:szCs w:val="24"/>
        </w:rPr>
      </w:pPr>
    </w:p>
    <w:p w:rsidR="00205453" w:rsidRPr="00967BB9" w:rsidRDefault="00205453" w:rsidP="00205453">
      <w:pPr>
        <w:spacing w:before="120"/>
        <w:jc w:val="center"/>
        <w:rPr>
          <w:b/>
          <w:sz w:val="24"/>
          <w:szCs w:val="24"/>
        </w:rPr>
      </w:pPr>
      <w:r w:rsidRPr="00967BB9">
        <w:rPr>
          <w:b/>
          <w:sz w:val="24"/>
          <w:szCs w:val="24"/>
        </w:rPr>
        <w:t>Obchodní podmínky</w:t>
      </w:r>
    </w:p>
    <w:p w:rsidR="00205453" w:rsidRPr="00967BB9" w:rsidRDefault="00205453" w:rsidP="00205453">
      <w:pPr>
        <w:spacing w:before="120"/>
        <w:jc w:val="center"/>
        <w:rPr>
          <w:b/>
          <w:sz w:val="24"/>
          <w:szCs w:val="24"/>
        </w:rPr>
      </w:pPr>
      <w:r w:rsidRPr="00967BB9">
        <w:rPr>
          <w:b/>
          <w:sz w:val="24"/>
          <w:szCs w:val="24"/>
        </w:rPr>
        <w:t>Článek 7</w:t>
      </w:r>
    </w:p>
    <w:p w:rsidR="00205453" w:rsidRPr="00967BB9" w:rsidRDefault="00205453" w:rsidP="00205453">
      <w:pPr>
        <w:spacing w:before="120"/>
        <w:ind w:left="540" w:hanging="540"/>
        <w:jc w:val="center"/>
        <w:rPr>
          <w:b/>
          <w:sz w:val="24"/>
          <w:szCs w:val="24"/>
        </w:rPr>
      </w:pPr>
      <w:r w:rsidRPr="00967BB9">
        <w:rPr>
          <w:b/>
          <w:sz w:val="24"/>
          <w:szCs w:val="24"/>
        </w:rPr>
        <w:t>Pojistné</w:t>
      </w:r>
    </w:p>
    <w:p w:rsidR="00205453" w:rsidRPr="00967BB9" w:rsidRDefault="00205453" w:rsidP="00205453">
      <w:pPr>
        <w:numPr>
          <w:ilvl w:val="0"/>
          <w:numId w:val="6"/>
        </w:numPr>
        <w:tabs>
          <w:tab w:val="clear" w:pos="360"/>
          <w:tab w:val="left" w:pos="540"/>
        </w:tabs>
        <w:spacing w:before="120"/>
        <w:ind w:left="539" w:hanging="539"/>
        <w:rPr>
          <w:sz w:val="24"/>
          <w:szCs w:val="24"/>
        </w:rPr>
      </w:pPr>
      <w:r w:rsidRPr="00967BB9">
        <w:rPr>
          <w:sz w:val="24"/>
          <w:szCs w:val="24"/>
        </w:rPr>
        <w:t xml:space="preserve">V souladu s ustanovením § 92 zákona nesmí dodavatel nabídnout v následném návrhu dílčí pojistné smlouvy veřejným zadavatelům MV vyšší jednotkové ceny pojistného, než které nabídl v zadávacím řízení o tuto Rámcovou smlouvu, viz Příloha </w:t>
      </w:r>
      <w:proofErr w:type="gramStart"/>
      <w:r w:rsidRPr="00967BB9">
        <w:rPr>
          <w:sz w:val="24"/>
          <w:szCs w:val="24"/>
        </w:rPr>
        <w:t>č.1 této</w:t>
      </w:r>
      <w:proofErr w:type="gramEnd"/>
      <w:r w:rsidRPr="00967BB9">
        <w:rPr>
          <w:sz w:val="24"/>
          <w:szCs w:val="24"/>
        </w:rPr>
        <w:t xml:space="preserve"> Rámcové smlouvy.</w:t>
      </w:r>
    </w:p>
    <w:p w:rsidR="00205453" w:rsidRPr="00967BB9" w:rsidRDefault="00205453" w:rsidP="00205453">
      <w:pPr>
        <w:numPr>
          <w:ilvl w:val="0"/>
          <w:numId w:val="6"/>
        </w:numPr>
        <w:tabs>
          <w:tab w:val="clear" w:pos="360"/>
          <w:tab w:val="left" w:pos="540"/>
        </w:tabs>
        <w:spacing w:before="120"/>
        <w:ind w:left="539" w:hanging="539"/>
        <w:rPr>
          <w:sz w:val="24"/>
          <w:szCs w:val="24"/>
        </w:rPr>
      </w:pPr>
      <w:r w:rsidRPr="00967BB9">
        <w:rPr>
          <w:sz w:val="24"/>
          <w:szCs w:val="24"/>
        </w:rPr>
        <w:t>Dodavatel se zavazuje, že i pro nově zařazená vozidla v průběhu trvání této Rámcové smlouvy dodrží jednotkové ceny pojistného, které nabídl v zadávacím řízení o tuto Rámcovou smlouvu.</w:t>
      </w:r>
    </w:p>
    <w:p w:rsidR="00205453" w:rsidRPr="00967BB9" w:rsidRDefault="00205453" w:rsidP="00205453">
      <w:pPr>
        <w:numPr>
          <w:ilvl w:val="0"/>
          <w:numId w:val="6"/>
        </w:numPr>
        <w:tabs>
          <w:tab w:val="clear" w:pos="360"/>
          <w:tab w:val="left" w:pos="540"/>
        </w:tabs>
        <w:spacing w:before="120"/>
        <w:ind w:left="539" w:hanging="539"/>
        <w:rPr>
          <w:sz w:val="24"/>
          <w:szCs w:val="24"/>
        </w:rPr>
      </w:pPr>
      <w:r w:rsidRPr="00967BB9">
        <w:rPr>
          <w:sz w:val="24"/>
          <w:szCs w:val="24"/>
        </w:rPr>
        <w:t>Ceny pojistného můžou být změněny pouze v případech změn daňových předpisů nebo změn zákonů týkajících zákonného pojištění.</w:t>
      </w:r>
    </w:p>
    <w:p w:rsidR="00205453" w:rsidRPr="00967BB9" w:rsidRDefault="00205453" w:rsidP="00205453">
      <w:pPr>
        <w:numPr>
          <w:ilvl w:val="0"/>
          <w:numId w:val="6"/>
        </w:numPr>
        <w:tabs>
          <w:tab w:val="clear" w:pos="360"/>
          <w:tab w:val="left" w:pos="540"/>
        </w:tabs>
        <w:spacing w:before="120"/>
        <w:ind w:left="539" w:hanging="539"/>
        <w:rPr>
          <w:sz w:val="24"/>
          <w:szCs w:val="24"/>
        </w:rPr>
      </w:pPr>
      <w:r w:rsidRPr="00967BB9">
        <w:rPr>
          <w:sz w:val="24"/>
          <w:szCs w:val="24"/>
        </w:rPr>
        <w:t>Dojde-li ke změnám (navýšení či snížení) v pojištěném souboru vozidel nebo k zániku pojištění jednotlivého vozidla, je veřejný zadavatel MV povinen tuto skutečnost bez zbytečného odkladu oznámit dodavateli. Dodavatel se zavazuje nejpozději do 1 pracovního dne vozidlo pojistit a následně doručit veřejnému zadavateli vystavenou zelenou kartu maximálně do 2 pracovních dnů od požadavku na pojištění. V případě zániku pojištění jednotlivého vozidla je dodavatel povinen vydat potvrzení o ukončení pojištění.</w:t>
      </w:r>
    </w:p>
    <w:p w:rsidR="00205453" w:rsidRPr="00967BB9" w:rsidRDefault="00205453" w:rsidP="00205453">
      <w:pPr>
        <w:numPr>
          <w:ilvl w:val="0"/>
          <w:numId w:val="6"/>
        </w:numPr>
        <w:tabs>
          <w:tab w:val="clear" w:pos="360"/>
          <w:tab w:val="left" w:pos="540"/>
          <w:tab w:val="num" w:pos="792"/>
        </w:tabs>
        <w:spacing w:before="120"/>
        <w:ind w:left="539" w:hanging="539"/>
        <w:rPr>
          <w:sz w:val="24"/>
          <w:szCs w:val="24"/>
        </w:rPr>
      </w:pPr>
      <w:r w:rsidRPr="00967BB9">
        <w:rPr>
          <w:sz w:val="24"/>
          <w:szCs w:val="24"/>
        </w:rPr>
        <w:t xml:space="preserve">Dodavatel má za povinnost u vozidel vybavených výstražným rozhlasovým zařízením (dále jen „VRZ“) kalkulovat pojistné se stejnou sazbou 1,0 jako všechna ostatní vozidla. Z celkového počtu vozidel se jedná o 101 vozidlo s </w:t>
      </w:r>
      <w:proofErr w:type="gramStart"/>
      <w:r w:rsidRPr="00967BB9">
        <w:rPr>
          <w:sz w:val="24"/>
          <w:szCs w:val="24"/>
        </w:rPr>
        <w:t>VRZ</w:t>
      </w:r>
      <w:proofErr w:type="gramEnd"/>
      <w:r w:rsidRPr="00967BB9">
        <w:rPr>
          <w:sz w:val="24"/>
          <w:szCs w:val="24"/>
        </w:rPr>
        <w:t>, přičemž počet vozidel se v průběhu trvání této Rámcové smlouvy může měnit +/- 15% u každého veřejného zadavatele MV.</w:t>
      </w:r>
    </w:p>
    <w:p w:rsidR="00205453" w:rsidRPr="00967BB9" w:rsidRDefault="00205453" w:rsidP="00205453">
      <w:pPr>
        <w:tabs>
          <w:tab w:val="left" w:pos="426"/>
        </w:tabs>
        <w:spacing w:before="120"/>
        <w:jc w:val="center"/>
        <w:rPr>
          <w:b/>
          <w:sz w:val="24"/>
          <w:szCs w:val="24"/>
        </w:rPr>
      </w:pPr>
    </w:p>
    <w:p w:rsidR="00205453" w:rsidRPr="00967BB9" w:rsidRDefault="00205453" w:rsidP="00205453">
      <w:pPr>
        <w:tabs>
          <w:tab w:val="left" w:pos="426"/>
        </w:tabs>
        <w:spacing w:before="120"/>
        <w:jc w:val="center"/>
        <w:rPr>
          <w:b/>
          <w:sz w:val="24"/>
          <w:szCs w:val="24"/>
        </w:rPr>
      </w:pPr>
      <w:r w:rsidRPr="00967BB9">
        <w:rPr>
          <w:b/>
          <w:sz w:val="24"/>
          <w:szCs w:val="24"/>
        </w:rPr>
        <w:t>Článek 8</w:t>
      </w:r>
    </w:p>
    <w:p w:rsidR="00205453" w:rsidRPr="00967BB9" w:rsidRDefault="00205453" w:rsidP="00205453">
      <w:pPr>
        <w:tabs>
          <w:tab w:val="left" w:pos="426"/>
        </w:tabs>
        <w:spacing w:before="120"/>
        <w:jc w:val="center"/>
        <w:rPr>
          <w:b/>
          <w:sz w:val="24"/>
          <w:szCs w:val="24"/>
        </w:rPr>
      </w:pPr>
      <w:r w:rsidRPr="00967BB9">
        <w:rPr>
          <w:b/>
          <w:sz w:val="24"/>
          <w:szCs w:val="24"/>
        </w:rPr>
        <w:t>Platební podmínky</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 xml:space="preserve">Úhrada ročního pojistného bude provedena ve 12 měsíčních nebo maximálně ve 4 čtvrtletních splátkách, bez navýšení, bezhotovostním platebním stykem formou faktur </w:t>
      </w:r>
      <w:r w:rsidRPr="00967BB9">
        <w:rPr>
          <w:sz w:val="24"/>
          <w:szCs w:val="24"/>
        </w:rPr>
        <w:lastRenderedPageBreak/>
        <w:t>vystavených dodavatelem, a to buď zpětně bez poskytování zálohy, nebo bude provedena předem v termínech stanovených v uzavřených dílčích pojistných smlouvách jednotlivými veřejnými zadavateli MV. Pojistné bude účtováno na dny.</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Faktury musí obsahovat č. j. dílčí pojistné smlouvy a č. j. této Rámcové smlouvy a všechny údaje uvedené v § 28 zákona č. 235/2004 Sb., o dani z přidané hodnoty, ve znění pozdějších předpisů a údaje uvedené v § 435 občanského zákoníku.</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Faktury jsou splatné do 30 kalendářních dnů ode dne jejich prokazatelného doručení příslušnému veřejnému zadavateli MV na adresu uvedenou v konkrétní pojistné smlouvě.</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Faktura je považována za proplacenou okamžikem odepsání příslušné finanční částky z účtu veřejného zadavatele MV ve prospěch účtu dodavatele.</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 xml:space="preserve">Faktury předložené v prosinci 2018 musí být doručeny veřejnému zadavateli vždy nejpozději do 7. prosince, při doručení po tomto termínu nelze fakturu proplatit v daném roce a splatnost bude stanovena na 60 kalendářních dnů ode dne doručení. </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 xml:space="preserve">Příslušný veřejný zadavatel MV je oprávněn do data splatnosti vrátit fakturu, která neobsahuje požadované náležitosti, která obsahuje jiné cenové údaje nebo jiný druh plnění než dohodnuté ve smlouvě s tím, že doba splatnosti nové (opravené) faktury začíná znovu běžet ode dne jejího doručení veřejnému zadavateli. </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 xml:space="preserve">Platby budou v Kč na základě předložené faktury, která bude vystavena dodavatelem do 5 dnů po skončení fakturačního období. </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Zálohové platby veřejný zadavatel MV neposkytuje.</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 xml:space="preserve">Způsob navrácení případného </w:t>
      </w:r>
      <w:r w:rsidRPr="00967BB9">
        <w:rPr>
          <w:sz w:val="24"/>
          <w:szCs w:val="24"/>
        </w:rPr>
        <w:tab/>
        <w:t xml:space="preserve">nespotřebovaného pojistného veřejnému zadavateli při přerušení doby trvání pojištění bude specifikován v dílčích pojistných smlouvách uzavřených mezi dodavatelem a jednotlivými veřejnými zadavateli MV. </w:t>
      </w:r>
    </w:p>
    <w:p w:rsidR="00205453" w:rsidRPr="00967BB9" w:rsidRDefault="00205453" w:rsidP="00205453">
      <w:pPr>
        <w:numPr>
          <w:ilvl w:val="0"/>
          <w:numId w:val="12"/>
        </w:numPr>
        <w:tabs>
          <w:tab w:val="clear" w:pos="360"/>
          <w:tab w:val="left" w:pos="540"/>
        </w:tabs>
        <w:spacing w:before="120"/>
        <w:ind w:left="539" w:hanging="539"/>
        <w:rPr>
          <w:sz w:val="24"/>
          <w:szCs w:val="24"/>
        </w:rPr>
      </w:pPr>
      <w:r w:rsidRPr="00967BB9">
        <w:rPr>
          <w:sz w:val="24"/>
          <w:szCs w:val="24"/>
        </w:rPr>
        <w:t>Fakturován bude skutečný počet dní sjednaného pojištění. Počínaje dnem sjednání pojištění a konče dnem zrušení pojištění.</w:t>
      </w:r>
    </w:p>
    <w:p w:rsidR="00205453" w:rsidRPr="00967BB9" w:rsidRDefault="00205453" w:rsidP="00205453">
      <w:pPr>
        <w:tabs>
          <w:tab w:val="left" w:pos="426"/>
        </w:tabs>
        <w:spacing w:before="120"/>
        <w:jc w:val="center"/>
        <w:rPr>
          <w:b/>
          <w:sz w:val="24"/>
          <w:szCs w:val="24"/>
        </w:rPr>
      </w:pPr>
    </w:p>
    <w:p w:rsidR="00205453" w:rsidRPr="00967BB9" w:rsidRDefault="00205453" w:rsidP="00205453">
      <w:pPr>
        <w:tabs>
          <w:tab w:val="left" w:pos="426"/>
        </w:tabs>
        <w:spacing w:before="120"/>
        <w:jc w:val="center"/>
        <w:rPr>
          <w:b/>
          <w:sz w:val="24"/>
          <w:szCs w:val="24"/>
        </w:rPr>
      </w:pPr>
      <w:r w:rsidRPr="00967BB9">
        <w:rPr>
          <w:b/>
          <w:sz w:val="24"/>
          <w:szCs w:val="24"/>
        </w:rPr>
        <w:t>Článek 9</w:t>
      </w:r>
    </w:p>
    <w:p w:rsidR="00205453" w:rsidRPr="00967BB9" w:rsidRDefault="00205453" w:rsidP="00205453">
      <w:pPr>
        <w:tabs>
          <w:tab w:val="left" w:pos="426"/>
        </w:tabs>
        <w:spacing w:before="120"/>
        <w:jc w:val="center"/>
        <w:rPr>
          <w:b/>
          <w:sz w:val="24"/>
          <w:szCs w:val="24"/>
        </w:rPr>
      </w:pPr>
      <w:r w:rsidRPr="00967BB9">
        <w:rPr>
          <w:b/>
          <w:sz w:val="24"/>
          <w:szCs w:val="24"/>
        </w:rPr>
        <w:t xml:space="preserve">Sankční ustanovení </w:t>
      </w:r>
    </w:p>
    <w:p w:rsidR="00205453" w:rsidRPr="00967BB9" w:rsidRDefault="00205453" w:rsidP="00205453">
      <w:pPr>
        <w:numPr>
          <w:ilvl w:val="0"/>
          <w:numId w:val="13"/>
        </w:numPr>
        <w:tabs>
          <w:tab w:val="clear" w:pos="360"/>
          <w:tab w:val="left" w:pos="540"/>
        </w:tabs>
        <w:spacing w:before="120"/>
        <w:ind w:left="539" w:hanging="539"/>
        <w:rPr>
          <w:sz w:val="24"/>
          <w:szCs w:val="24"/>
        </w:rPr>
      </w:pPr>
      <w:r w:rsidRPr="00967BB9">
        <w:rPr>
          <w:sz w:val="24"/>
          <w:szCs w:val="24"/>
        </w:rPr>
        <w:t xml:space="preserve">Dodavatel je oprávněn požadovat na veřejném zadavateli úrok z prodlení za nedodržení termínu splatnosti faktury ve výši 0,05 % z oprávněně fakturované částky za každý i započatý den prodlení. </w:t>
      </w:r>
    </w:p>
    <w:p w:rsidR="00205453" w:rsidRPr="00967BB9" w:rsidRDefault="00205453" w:rsidP="00205453">
      <w:pPr>
        <w:numPr>
          <w:ilvl w:val="0"/>
          <w:numId w:val="13"/>
        </w:numPr>
        <w:tabs>
          <w:tab w:val="clear" w:pos="360"/>
          <w:tab w:val="left" w:pos="540"/>
        </w:tabs>
        <w:spacing w:before="120"/>
        <w:ind w:left="539" w:hanging="539"/>
        <w:rPr>
          <w:sz w:val="24"/>
          <w:szCs w:val="24"/>
        </w:rPr>
      </w:pPr>
      <w:r w:rsidRPr="00967BB9">
        <w:rPr>
          <w:sz w:val="24"/>
          <w:szCs w:val="24"/>
        </w:rPr>
        <w:t xml:space="preserve">Veřejnému zadavateli vzniká vůči dodavateli nárok na smluvní pokutu za nedodržení časových limitů dodavatelem pro provedení prohlídky poškozeného vozidla dle čl. 4.9 této Rámcové smlouvy ve výši 100 Kč (sto korun českých) za každý i započatý den prodlení a za nedodržení časových limitů na uzavření pojištění vozidla dle čl. 7.4 této Rámcové smlouvy ve výši 100 Kč (sto korun českých) za každý i započatý den prodlení. </w:t>
      </w:r>
    </w:p>
    <w:p w:rsidR="00205453" w:rsidRPr="00967BB9" w:rsidRDefault="00205453" w:rsidP="00205453">
      <w:pPr>
        <w:numPr>
          <w:ilvl w:val="0"/>
          <w:numId w:val="13"/>
        </w:numPr>
        <w:tabs>
          <w:tab w:val="clear" w:pos="360"/>
          <w:tab w:val="left" w:pos="540"/>
        </w:tabs>
        <w:spacing w:before="120"/>
        <w:ind w:left="539" w:hanging="539"/>
        <w:rPr>
          <w:sz w:val="24"/>
          <w:szCs w:val="24"/>
        </w:rPr>
      </w:pPr>
      <w:r w:rsidRPr="00967BB9">
        <w:rPr>
          <w:sz w:val="24"/>
          <w:szCs w:val="24"/>
        </w:rPr>
        <w:t xml:space="preserve">V případě, že během 30 (třiceti) po sobě jdoucích dnů dojde ve třech různých případech ke vzniku prodlení dodavatele dle čl. 9.2, zvyšuje se výše smluvní pokuty stanovená v čl. 9.2 od okamžiku vzniku třetího případu prodlení na 1000 Kč (tisíc korun českých) za každý i započatý den prodlení ve všech případech prodlení po následujících 30 (třicet) dnů. </w:t>
      </w:r>
    </w:p>
    <w:p w:rsidR="00205453" w:rsidRPr="00967BB9" w:rsidRDefault="00205453" w:rsidP="00205453">
      <w:pPr>
        <w:numPr>
          <w:ilvl w:val="0"/>
          <w:numId w:val="13"/>
        </w:numPr>
        <w:tabs>
          <w:tab w:val="clear" w:pos="360"/>
          <w:tab w:val="left" w:pos="540"/>
        </w:tabs>
        <w:spacing w:before="120"/>
        <w:ind w:left="539" w:hanging="539"/>
        <w:rPr>
          <w:sz w:val="24"/>
          <w:szCs w:val="24"/>
        </w:rPr>
      </w:pPr>
      <w:r w:rsidRPr="00967BB9">
        <w:rPr>
          <w:sz w:val="24"/>
          <w:szCs w:val="24"/>
        </w:rPr>
        <w:lastRenderedPageBreak/>
        <w:t>Pokud dodavatel bez zavinění centrálního nebo veřejného zadavatele MV odstoupí od této smlouvy nebo od dílčí smlouvy, uhradí centrálnímu zadavateli smluvní pokutu ve výši 2,5 miliónu Kč.</w:t>
      </w:r>
    </w:p>
    <w:p w:rsidR="00205453" w:rsidRPr="00967BB9" w:rsidRDefault="00205453" w:rsidP="00205453">
      <w:pPr>
        <w:numPr>
          <w:ilvl w:val="0"/>
          <w:numId w:val="13"/>
        </w:numPr>
        <w:tabs>
          <w:tab w:val="clear" w:pos="360"/>
          <w:tab w:val="left" w:pos="540"/>
        </w:tabs>
        <w:spacing w:before="120"/>
        <w:ind w:left="539" w:hanging="539"/>
        <w:rPr>
          <w:sz w:val="24"/>
          <w:szCs w:val="24"/>
        </w:rPr>
      </w:pPr>
      <w:r w:rsidRPr="00967BB9">
        <w:rPr>
          <w:sz w:val="24"/>
          <w:szCs w:val="24"/>
        </w:rPr>
        <w:t>Úrok z prodlení a smluvní pokuta jsou splatné do 30 dní od data, kdy byla povinné straně doručena písemná výzva k jejich zaplacení oprávněnou stranou, a to na účet oprávněné strany uvedený v písemné výzvě. Ustanovením o smluvní pokutě není dotčeno právo oprávněné strany na náhradu škody v plné výši.</w:t>
      </w:r>
    </w:p>
    <w:p w:rsidR="00205453" w:rsidRPr="00967BB9" w:rsidRDefault="00205453" w:rsidP="00205453">
      <w:pPr>
        <w:tabs>
          <w:tab w:val="left" w:pos="540"/>
        </w:tabs>
        <w:spacing w:before="120"/>
        <w:jc w:val="center"/>
        <w:rPr>
          <w:b/>
          <w:sz w:val="24"/>
          <w:szCs w:val="24"/>
        </w:rPr>
      </w:pPr>
    </w:p>
    <w:p w:rsidR="00205453" w:rsidRPr="00967BB9" w:rsidRDefault="00205453" w:rsidP="00205453">
      <w:pPr>
        <w:tabs>
          <w:tab w:val="left" w:pos="540"/>
        </w:tabs>
        <w:spacing w:before="120"/>
        <w:jc w:val="center"/>
        <w:rPr>
          <w:b/>
          <w:sz w:val="24"/>
          <w:szCs w:val="24"/>
        </w:rPr>
      </w:pPr>
      <w:r w:rsidRPr="00967BB9">
        <w:rPr>
          <w:b/>
          <w:sz w:val="24"/>
          <w:szCs w:val="24"/>
        </w:rPr>
        <w:t>Článek 10</w:t>
      </w:r>
    </w:p>
    <w:p w:rsidR="00205453" w:rsidRPr="00967BB9" w:rsidRDefault="00205453" w:rsidP="00205453">
      <w:pPr>
        <w:spacing w:before="120"/>
        <w:jc w:val="center"/>
        <w:rPr>
          <w:b/>
          <w:sz w:val="24"/>
          <w:szCs w:val="24"/>
        </w:rPr>
      </w:pPr>
      <w:r w:rsidRPr="00967BB9">
        <w:rPr>
          <w:b/>
          <w:sz w:val="24"/>
          <w:szCs w:val="24"/>
        </w:rPr>
        <w:t>Komunikace smluvní strany a veřejných zadavatelů</w:t>
      </w:r>
    </w:p>
    <w:p w:rsidR="00205453" w:rsidRPr="00967BB9" w:rsidRDefault="00205453" w:rsidP="00205453">
      <w:pPr>
        <w:numPr>
          <w:ilvl w:val="0"/>
          <w:numId w:val="14"/>
        </w:numPr>
        <w:tabs>
          <w:tab w:val="clear" w:pos="360"/>
          <w:tab w:val="left" w:pos="540"/>
        </w:tabs>
        <w:spacing w:before="120"/>
        <w:ind w:left="539" w:hanging="539"/>
        <w:rPr>
          <w:sz w:val="24"/>
          <w:szCs w:val="24"/>
        </w:rPr>
      </w:pPr>
      <w:r w:rsidRPr="00967BB9">
        <w:rPr>
          <w:sz w:val="24"/>
          <w:szCs w:val="24"/>
        </w:rPr>
        <w:t>Veškeré úkony mezi smluvní stranou a veřejnými zadavateli MV jsou činěny písemně v listinné nebo elektronické podobě, s preferencí elektronické podoby ve smyslu § 211 odst. 3 zákona č. 134/2016 Sb., o zadávání veřejných zakázek.</w:t>
      </w:r>
    </w:p>
    <w:p w:rsidR="00205453" w:rsidRPr="00967BB9" w:rsidRDefault="00205453" w:rsidP="00205453">
      <w:pPr>
        <w:numPr>
          <w:ilvl w:val="0"/>
          <w:numId w:val="14"/>
        </w:numPr>
        <w:tabs>
          <w:tab w:val="clear" w:pos="360"/>
          <w:tab w:val="left" w:pos="540"/>
        </w:tabs>
        <w:spacing w:before="120"/>
        <w:ind w:left="539" w:hanging="539"/>
        <w:rPr>
          <w:sz w:val="24"/>
          <w:szCs w:val="24"/>
        </w:rPr>
      </w:pPr>
      <w:r w:rsidRPr="00967BB9">
        <w:rPr>
          <w:sz w:val="24"/>
          <w:szCs w:val="24"/>
        </w:rPr>
        <w:t>Písemnosti lze doručit elektronickými prostředky, prostřednictvím datové schránky, případně osobně, prostřednictvím osoby, která provádí přepravu zásilek (kurýrní služba), prostřednictvím držitele poštovní licence podle zvláštního právního předpisu, nebo jiným způsobem.</w:t>
      </w:r>
    </w:p>
    <w:p w:rsidR="00205453" w:rsidRPr="00967BB9" w:rsidRDefault="00205453" w:rsidP="00205453">
      <w:pPr>
        <w:numPr>
          <w:ilvl w:val="0"/>
          <w:numId w:val="14"/>
        </w:numPr>
        <w:tabs>
          <w:tab w:val="clear" w:pos="360"/>
          <w:tab w:val="left" w:pos="540"/>
        </w:tabs>
        <w:spacing w:before="120"/>
        <w:ind w:left="539" w:hanging="539"/>
        <w:rPr>
          <w:sz w:val="24"/>
          <w:szCs w:val="24"/>
        </w:rPr>
      </w:pPr>
      <w:r w:rsidRPr="00967BB9">
        <w:rPr>
          <w:sz w:val="24"/>
          <w:szCs w:val="24"/>
        </w:rPr>
        <w:t>Adresa či kontakty uvedené v dílčích pojistných smlouvách mohou být měněny jednostranným písemným oznámením doručeným příslušnou smluvní stranou druhé smluvní straně s tím, že takováto změna se stane účinnou od prvního dne převzetí oznámení druhou smluvní stranou.</w:t>
      </w:r>
    </w:p>
    <w:p w:rsidR="00205453" w:rsidRPr="00967BB9" w:rsidRDefault="00205453" w:rsidP="00205453">
      <w:pPr>
        <w:tabs>
          <w:tab w:val="left" w:pos="426"/>
        </w:tabs>
        <w:spacing w:before="120"/>
        <w:jc w:val="center"/>
        <w:rPr>
          <w:b/>
          <w:sz w:val="24"/>
          <w:szCs w:val="24"/>
        </w:rPr>
      </w:pPr>
    </w:p>
    <w:p w:rsidR="00205453" w:rsidRPr="00967BB9" w:rsidRDefault="00205453" w:rsidP="00205453">
      <w:pPr>
        <w:tabs>
          <w:tab w:val="left" w:pos="426"/>
        </w:tabs>
        <w:spacing w:before="120"/>
        <w:jc w:val="center"/>
        <w:rPr>
          <w:b/>
          <w:sz w:val="24"/>
          <w:szCs w:val="24"/>
        </w:rPr>
      </w:pPr>
      <w:r w:rsidRPr="00967BB9">
        <w:rPr>
          <w:b/>
          <w:sz w:val="24"/>
          <w:szCs w:val="24"/>
        </w:rPr>
        <w:t>Společná ustanovení k Rámcové smlouvě</w:t>
      </w:r>
    </w:p>
    <w:p w:rsidR="00205453" w:rsidRPr="00967BB9" w:rsidRDefault="00205453" w:rsidP="00205453">
      <w:pPr>
        <w:tabs>
          <w:tab w:val="left" w:pos="426"/>
        </w:tabs>
        <w:spacing w:before="120"/>
        <w:jc w:val="center"/>
        <w:rPr>
          <w:b/>
          <w:sz w:val="24"/>
          <w:szCs w:val="24"/>
        </w:rPr>
      </w:pPr>
      <w:r w:rsidRPr="00967BB9">
        <w:rPr>
          <w:b/>
          <w:sz w:val="24"/>
          <w:szCs w:val="24"/>
        </w:rPr>
        <w:t>Článek 11</w:t>
      </w:r>
    </w:p>
    <w:p w:rsidR="00205453" w:rsidRPr="00967BB9" w:rsidRDefault="00205453" w:rsidP="00205453">
      <w:pPr>
        <w:tabs>
          <w:tab w:val="left" w:pos="426"/>
        </w:tabs>
        <w:spacing w:before="120"/>
        <w:jc w:val="center"/>
        <w:rPr>
          <w:b/>
          <w:sz w:val="24"/>
          <w:szCs w:val="24"/>
        </w:rPr>
      </w:pPr>
      <w:r w:rsidRPr="00967BB9">
        <w:rPr>
          <w:b/>
          <w:sz w:val="24"/>
          <w:szCs w:val="24"/>
        </w:rPr>
        <w:t>Doba trvání Rámcové smlouvy</w:t>
      </w:r>
    </w:p>
    <w:p w:rsidR="00205453" w:rsidRPr="00967BB9" w:rsidRDefault="00205453" w:rsidP="00205453">
      <w:pPr>
        <w:numPr>
          <w:ilvl w:val="0"/>
          <w:numId w:val="3"/>
        </w:numPr>
        <w:tabs>
          <w:tab w:val="clear" w:pos="360"/>
          <w:tab w:val="num" w:pos="540"/>
        </w:tabs>
        <w:spacing w:before="120"/>
        <w:ind w:left="539" w:hanging="539"/>
        <w:rPr>
          <w:sz w:val="24"/>
          <w:szCs w:val="24"/>
        </w:rPr>
      </w:pPr>
      <w:r w:rsidRPr="00967BB9">
        <w:rPr>
          <w:sz w:val="24"/>
          <w:szCs w:val="24"/>
        </w:rPr>
        <w:t xml:space="preserve">Tato Rámcová smlouva nabývá účinnosti dnem 1. ledna 2018. Rámcová smlouva se uzavírá na dobu určitou a její účinnost zaniká dne 31. prosince 2018. </w:t>
      </w:r>
    </w:p>
    <w:p w:rsidR="00205453" w:rsidRPr="00967BB9" w:rsidRDefault="00205453" w:rsidP="00205453">
      <w:pPr>
        <w:numPr>
          <w:ilvl w:val="0"/>
          <w:numId w:val="3"/>
        </w:numPr>
        <w:tabs>
          <w:tab w:val="clear" w:pos="360"/>
          <w:tab w:val="num" w:pos="540"/>
        </w:tabs>
        <w:spacing w:before="120"/>
        <w:ind w:left="539" w:hanging="539"/>
        <w:rPr>
          <w:sz w:val="24"/>
          <w:szCs w:val="24"/>
        </w:rPr>
      </w:pPr>
      <w:r w:rsidRPr="00967BB9">
        <w:rPr>
          <w:sz w:val="24"/>
          <w:szCs w:val="24"/>
        </w:rPr>
        <w:t>Po dobu účinnosti této Rámcové smlouvy lze Rámcovou smlouvu zrušit pouze písemnou dohodou smluvních stran.</w:t>
      </w:r>
    </w:p>
    <w:p w:rsidR="00205453" w:rsidRPr="00967BB9" w:rsidRDefault="00205453" w:rsidP="00205453">
      <w:pPr>
        <w:numPr>
          <w:ilvl w:val="0"/>
          <w:numId w:val="3"/>
        </w:numPr>
        <w:tabs>
          <w:tab w:val="clear" w:pos="360"/>
          <w:tab w:val="num" w:pos="540"/>
        </w:tabs>
        <w:spacing w:before="120"/>
        <w:ind w:left="539" w:hanging="539"/>
        <w:rPr>
          <w:sz w:val="24"/>
          <w:szCs w:val="24"/>
        </w:rPr>
      </w:pPr>
      <w:r w:rsidRPr="00967BB9">
        <w:rPr>
          <w:sz w:val="24"/>
          <w:szCs w:val="24"/>
        </w:rPr>
        <w:t>Při splnění podmínek stanovených v občanském zákoníku anebo v této Rámcové smlouvě může centrální zadavatel od této Rámcové smlouvy odstoupit.</w:t>
      </w:r>
    </w:p>
    <w:p w:rsidR="00205453" w:rsidRPr="00967BB9" w:rsidRDefault="00205453" w:rsidP="00205453">
      <w:pPr>
        <w:tabs>
          <w:tab w:val="left" w:pos="540"/>
        </w:tabs>
        <w:spacing w:before="120"/>
        <w:rPr>
          <w:sz w:val="24"/>
          <w:szCs w:val="24"/>
        </w:rPr>
      </w:pPr>
    </w:p>
    <w:p w:rsidR="00205453" w:rsidRPr="00967BB9" w:rsidRDefault="00205453" w:rsidP="00205453">
      <w:pPr>
        <w:tabs>
          <w:tab w:val="left" w:pos="540"/>
        </w:tabs>
        <w:spacing w:before="120"/>
        <w:jc w:val="center"/>
        <w:rPr>
          <w:b/>
          <w:sz w:val="24"/>
          <w:szCs w:val="24"/>
        </w:rPr>
      </w:pPr>
      <w:r w:rsidRPr="00967BB9">
        <w:rPr>
          <w:b/>
          <w:sz w:val="24"/>
          <w:szCs w:val="24"/>
        </w:rPr>
        <w:t>Článek 12</w:t>
      </w:r>
    </w:p>
    <w:p w:rsidR="00205453" w:rsidRPr="00967BB9" w:rsidRDefault="00205453" w:rsidP="00205453">
      <w:pPr>
        <w:tabs>
          <w:tab w:val="left" w:pos="540"/>
        </w:tabs>
        <w:spacing w:before="120"/>
        <w:jc w:val="center"/>
        <w:rPr>
          <w:b/>
          <w:sz w:val="24"/>
          <w:szCs w:val="24"/>
        </w:rPr>
      </w:pPr>
      <w:r w:rsidRPr="00967BB9">
        <w:rPr>
          <w:b/>
          <w:sz w:val="24"/>
          <w:szCs w:val="24"/>
        </w:rPr>
        <w:t>Odstoupení od Rámcové smlouvy</w:t>
      </w:r>
    </w:p>
    <w:p w:rsidR="00205453" w:rsidRPr="00967BB9" w:rsidRDefault="00205453" w:rsidP="00205453">
      <w:pPr>
        <w:numPr>
          <w:ilvl w:val="0"/>
          <w:numId w:val="5"/>
        </w:numPr>
        <w:tabs>
          <w:tab w:val="clear" w:pos="360"/>
          <w:tab w:val="num" w:pos="-5580"/>
        </w:tabs>
        <w:spacing w:before="120"/>
        <w:ind w:left="539" w:hanging="539"/>
        <w:rPr>
          <w:sz w:val="24"/>
          <w:szCs w:val="24"/>
        </w:rPr>
      </w:pPr>
      <w:r w:rsidRPr="00967BB9">
        <w:rPr>
          <w:sz w:val="24"/>
          <w:szCs w:val="24"/>
        </w:rPr>
        <w:t xml:space="preserve">Centrální zadavatel je oprávněn odstoupit od Rámcové smlouvy: </w:t>
      </w:r>
    </w:p>
    <w:p w:rsidR="00205453" w:rsidRPr="00967BB9" w:rsidRDefault="00205453" w:rsidP="00205453">
      <w:pPr>
        <w:numPr>
          <w:ilvl w:val="0"/>
          <w:numId w:val="1"/>
        </w:numPr>
        <w:tabs>
          <w:tab w:val="left" w:pos="180"/>
        </w:tabs>
        <w:spacing w:before="120"/>
        <w:rPr>
          <w:sz w:val="24"/>
          <w:szCs w:val="24"/>
        </w:rPr>
      </w:pPr>
      <w:r w:rsidRPr="00967BB9">
        <w:rPr>
          <w:sz w:val="24"/>
          <w:szCs w:val="24"/>
        </w:rPr>
        <w:t>při podstatném porušení této Rámcové smlouvy dodavatelem nebo,</w:t>
      </w:r>
    </w:p>
    <w:p w:rsidR="00205453" w:rsidRPr="00967BB9" w:rsidRDefault="00205453" w:rsidP="00205453">
      <w:pPr>
        <w:numPr>
          <w:ilvl w:val="0"/>
          <w:numId w:val="1"/>
        </w:numPr>
        <w:rPr>
          <w:sz w:val="24"/>
          <w:szCs w:val="24"/>
        </w:rPr>
      </w:pPr>
      <w:r w:rsidRPr="00967BB9">
        <w:rPr>
          <w:sz w:val="24"/>
          <w:szCs w:val="24"/>
        </w:rPr>
        <w:t>dle § 82 odst. 8 zákona v případě, že dodavatel uvedl v nabídce v zadávacím řízení o tuto Rámcovou smlouvu informace nebo doklady, které neodpovídají skutečnosti a měly nebo mohly mít vliv na výsledek zadávacího řízení.</w:t>
      </w:r>
    </w:p>
    <w:p w:rsidR="00205453" w:rsidRPr="00967BB9" w:rsidRDefault="00205453" w:rsidP="00205453">
      <w:pPr>
        <w:numPr>
          <w:ilvl w:val="0"/>
          <w:numId w:val="5"/>
        </w:numPr>
        <w:tabs>
          <w:tab w:val="clear" w:pos="360"/>
          <w:tab w:val="num" w:pos="-5580"/>
        </w:tabs>
        <w:spacing w:before="120"/>
        <w:ind w:left="539" w:hanging="539"/>
        <w:rPr>
          <w:sz w:val="24"/>
          <w:szCs w:val="24"/>
        </w:rPr>
      </w:pPr>
      <w:r w:rsidRPr="00967BB9">
        <w:rPr>
          <w:sz w:val="24"/>
          <w:szCs w:val="24"/>
        </w:rPr>
        <w:t>Podstatným porušením této Rámcové smlouvy ze strany dodavatele je:</w:t>
      </w:r>
    </w:p>
    <w:p w:rsidR="00205453" w:rsidRPr="00967BB9" w:rsidRDefault="00205453" w:rsidP="00205453">
      <w:pPr>
        <w:numPr>
          <w:ilvl w:val="0"/>
          <w:numId w:val="15"/>
        </w:numPr>
        <w:rPr>
          <w:sz w:val="24"/>
          <w:szCs w:val="24"/>
        </w:rPr>
      </w:pPr>
      <w:r w:rsidRPr="00967BB9">
        <w:rPr>
          <w:sz w:val="24"/>
          <w:szCs w:val="24"/>
        </w:rPr>
        <w:t>pokud dodavatel nezabezpečí plnění ze smlouvy dle čl. 4.8 ve všech sídlech veřejných zadavatelů MV této Rámcové smlouvy,</w:t>
      </w:r>
    </w:p>
    <w:p w:rsidR="00205453" w:rsidRPr="00967BB9" w:rsidRDefault="00205453" w:rsidP="00205453">
      <w:pPr>
        <w:numPr>
          <w:ilvl w:val="0"/>
          <w:numId w:val="15"/>
        </w:numPr>
        <w:rPr>
          <w:sz w:val="24"/>
          <w:szCs w:val="24"/>
        </w:rPr>
      </w:pPr>
      <w:r w:rsidRPr="00967BB9">
        <w:rPr>
          <w:sz w:val="24"/>
          <w:szCs w:val="24"/>
        </w:rPr>
        <w:lastRenderedPageBreak/>
        <w:t>pokud dodavatel požaduje v nabídce pojistné smlouvy pro veřejného zadavatele vyšší cenu pojistného, než kterou nabídl v zadávacím řízení o tuto Rámcovou smlouvu,</w:t>
      </w:r>
    </w:p>
    <w:p w:rsidR="00205453" w:rsidRPr="00967BB9" w:rsidRDefault="00205453" w:rsidP="00205453">
      <w:pPr>
        <w:numPr>
          <w:ilvl w:val="0"/>
          <w:numId w:val="15"/>
        </w:numPr>
        <w:rPr>
          <w:sz w:val="24"/>
          <w:szCs w:val="24"/>
        </w:rPr>
      </w:pPr>
      <w:r w:rsidRPr="00967BB9">
        <w:rPr>
          <w:sz w:val="24"/>
          <w:szCs w:val="24"/>
        </w:rPr>
        <w:t>prodlení dodavatele s dodržením časových limitů dle čl. 9.2 této Rámcové smlouvy, které bude delší než 90 dnů.</w:t>
      </w:r>
      <w:r w:rsidRPr="00967BB9">
        <w:rPr>
          <w:sz w:val="24"/>
          <w:szCs w:val="24"/>
        </w:rPr>
        <w:tab/>
      </w:r>
    </w:p>
    <w:p w:rsidR="00205453" w:rsidRPr="00967BB9" w:rsidRDefault="00205453" w:rsidP="00205453">
      <w:pPr>
        <w:numPr>
          <w:ilvl w:val="0"/>
          <w:numId w:val="5"/>
        </w:numPr>
        <w:tabs>
          <w:tab w:val="clear" w:pos="360"/>
          <w:tab w:val="num" w:pos="-5580"/>
        </w:tabs>
        <w:spacing w:before="120"/>
        <w:ind w:left="539" w:hanging="539"/>
        <w:rPr>
          <w:sz w:val="24"/>
          <w:szCs w:val="24"/>
        </w:rPr>
      </w:pPr>
      <w:r w:rsidRPr="00967BB9">
        <w:rPr>
          <w:sz w:val="24"/>
          <w:szCs w:val="24"/>
        </w:rPr>
        <w:t>V případě, že centrální zadavatel odstoupí od této Rámcové smlouvy, jsou jednotliví veřejní zadavatelé MV oprávněni odstoupit od dílčích pojistných smluv.</w:t>
      </w:r>
    </w:p>
    <w:p w:rsidR="00205453" w:rsidRPr="00967BB9" w:rsidRDefault="00205453" w:rsidP="00205453">
      <w:pPr>
        <w:spacing w:before="120"/>
        <w:jc w:val="center"/>
        <w:rPr>
          <w:b/>
          <w:sz w:val="24"/>
          <w:szCs w:val="24"/>
        </w:rPr>
      </w:pPr>
    </w:p>
    <w:p w:rsidR="00205453" w:rsidRPr="00967BB9" w:rsidRDefault="00205453" w:rsidP="00205453">
      <w:pPr>
        <w:spacing w:before="120"/>
        <w:rPr>
          <w:b/>
          <w:sz w:val="24"/>
          <w:szCs w:val="24"/>
        </w:rPr>
      </w:pPr>
    </w:p>
    <w:p w:rsidR="00205453" w:rsidRPr="00967BB9" w:rsidRDefault="00205453" w:rsidP="00205453">
      <w:pPr>
        <w:spacing w:before="120"/>
        <w:jc w:val="center"/>
        <w:rPr>
          <w:b/>
          <w:sz w:val="24"/>
          <w:szCs w:val="24"/>
        </w:rPr>
      </w:pPr>
      <w:r w:rsidRPr="00967BB9">
        <w:rPr>
          <w:b/>
          <w:sz w:val="24"/>
          <w:szCs w:val="24"/>
        </w:rPr>
        <w:t>Článek 13.</w:t>
      </w:r>
    </w:p>
    <w:p w:rsidR="00205453" w:rsidRPr="00967BB9" w:rsidRDefault="00205453" w:rsidP="00205453">
      <w:pPr>
        <w:spacing w:before="120"/>
        <w:jc w:val="center"/>
        <w:rPr>
          <w:b/>
          <w:sz w:val="24"/>
          <w:szCs w:val="24"/>
        </w:rPr>
      </w:pPr>
      <w:r w:rsidRPr="00967BB9">
        <w:rPr>
          <w:b/>
          <w:sz w:val="24"/>
          <w:szCs w:val="24"/>
        </w:rPr>
        <w:t>Závěrečná ustanovení</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Tato Rámcová smlouva se řídí právním řádem České republiky, zejména příslušnými ustanoveními občanského zákoníku a zákona. Veškeré spory mezi smluvními stranami vzniklé z této Rámcové smlouvy, dílčích pojistných smluv nebo v souvislosti s nimi, budou řešeny pokud možno nejprve smírně. Nebude-li smírného řešení dosaženo, budou spory řešeny v soudním řízení.</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Dodavatel bez jakýchkoliv výhrad</w:t>
      </w:r>
    </w:p>
    <w:p w:rsidR="00205453" w:rsidRPr="00967BB9" w:rsidRDefault="00205453" w:rsidP="00205453">
      <w:pPr>
        <w:numPr>
          <w:ilvl w:val="0"/>
          <w:numId w:val="16"/>
        </w:numPr>
        <w:tabs>
          <w:tab w:val="left" w:pos="-2835"/>
          <w:tab w:val="left" w:pos="900"/>
        </w:tabs>
        <w:spacing w:before="120"/>
        <w:rPr>
          <w:sz w:val="24"/>
          <w:szCs w:val="24"/>
        </w:rPr>
      </w:pPr>
      <w:r w:rsidRPr="00967BB9">
        <w:rPr>
          <w:sz w:val="24"/>
          <w:szCs w:val="24"/>
        </w:rPr>
        <w:t>souhlasí se zveřejněním svých identifikačních údajů a dalších údajů uvedených v této Rámcové smlouvě, včetně ceny za předmět plnění,</w:t>
      </w:r>
    </w:p>
    <w:p w:rsidR="00205453" w:rsidRPr="00967BB9" w:rsidRDefault="00205453" w:rsidP="00205453">
      <w:pPr>
        <w:numPr>
          <w:ilvl w:val="0"/>
          <w:numId w:val="16"/>
        </w:numPr>
        <w:tabs>
          <w:tab w:val="left" w:pos="-2835"/>
          <w:tab w:val="left" w:pos="900"/>
        </w:tabs>
        <w:spacing w:before="120"/>
        <w:rPr>
          <w:sz w:val="24"/>
          <w:szCs w:val="24"/>
        </w:rPr>
      </w:pPr>
      <w:r w:rsidRPr="00967BB9">
        <w:rPr>
          <w:sz w:val="24"/>
          <w:szCs w:val="24"/>
        </w:rPr>
        <w:t xml:space="preserve">výslovně uvádí, že všechny informace, které poskytne centrálnímu zadavateli nebo veřejnému zadavateli v souvislosti s touto Rámcovou smlouvou nebo dílčími pojistnými smlouvami, nejsou informace důvěrné. </w:t>
      </w:r>
    </w:p>
    <w:p w:rsidR="00205453" w:rsidRPr="00967BB9" w:rsidRDefault="00205453" w:rsidP="00205453">
      <w:pPr>
        <w:numPr>
          <w:ilvl w:val="0"/>
          <w:numId w:val="16"/>
        </w:numPr>
        <w:tabs>
          <w:tab w:val="left" w:pos="-2835"/>
          <w:tab w:val="left" w:pos="900"/>
        </w:tabs>
        <w:spacing w:before="120"/>
        <w:rPr>
          <w:sz w:val="24"/>
          <w:szCs w:val="24"/>
        </w:rPr>
      </w:pPr>
      <w:r w:rsidRPr="00967BB9">
        <w:rPr>
          <w:sz w:val="24"/>
          <w:szCs w:val="24"/>
        </w:rPr>
        <w:t>výslovně uvádí, že všechny informace, které poskytne centrálnímu zadavateli nebo veřejnému zadavateli v souvislosti s touto Rámcovou smlouvou nebo dílčími pojistnými smlouvami, nejsou obchodním tajemstvím ve smyslu § 504 občanského zákoníku.</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Centrální zadavatel a veřejní zadavatelé nenesou odpovědnost za jakoukoliv škodu vzniklou v souvislosti s uveřejněním či použitím informací, které byly poskytnuty dodavatelem v souvislosti s touto Rámcovou smlouvou nebo dílčími pojistnými smlouvami.</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Dodavatel prohlašuje, že plněním závazků dle dílčích pojistných smluv nezasahuje do práv duševního vlastnictví třetích osob.</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Tato Rámcová smlouva je vyhotovena v 2 stejnopisech, z nichž každý bude považován za prvopis. Dodavatel i centrální zadavatel obdrží po 1 stejnopisu této Rámcové smlouvy.</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Rámcová smlouva může být doplňována nebo měněna pouze v těch částech, které nemají vliv na podmínky zadávacího řízení. Podstatná změna Rámcové smlouvy není přípustná. Za podstatnou změnu Rámcové smlouvy jsou považovány změny zadávacích podmínek (zejména v předmětu, technické specifikaci nebo obchodních a platebních podmínkách), které by mohly mít vliv na okruh původních uchazečů o veřejnou zakázku.</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t>Na důkaz toho, že smluvní strany s obsahem této Rámcové smlouvy souhlasí, rozumí jí a zavazují se k jejímu plnění, připojují své podpisy a prohlašují, že tato Rámcová smlouva byla uzavřena podle jejich svobodné a vážné vůle prosté tísně.</w:t>
      </w:r>
    </w:p>
    <w:p w:rsidR="00205453" w:rsidRPr="00967BB9" w:rsidRDefault="00205453" w:rsidP="00205453">
      <w:pPr>
        <w:numPr>
          <w:ilvl w:val="0"/>
          <w:numId w:val="4"/>
        </w:numPr>
        <w:tabs>
          <w:tab w:val="clear" w:pos="360"/>
          <w:tab w:val="num" w:pos="540"/>
        </w:tabs>
        <w:spacing w:before="120"/>
        <w:ind w:left="539" w:hanging="539"/>
        <w:rPr>
          <w:sz w:val="24"/>
          <w:szCs w:val="24"/>
        </w:rPr>
      </w:pPr>
      <w:r w:rsidRPr="00967BB9">
        <w:rPr>
          <w:sz w:val="24"/>
          <w:szCs w:val="24"/>
        </w:rPr>
        <w:lastRenderedPageBreak/>
        <w:t>Nedílnou součástí této Rámcové smlouvy jsou Přílohy č. 1 až č. 4.</w:t>
      </w:r>
    </w:p>
    <w:p w:rsidR="00205453" w:rsidRPr="00967BB9" w:rsidRDefault="00205453" w:rsidP="00205453">
      <w:pPr>
        <w:tabs>
          <w:tab w:val="left" w:pos="-2835"/>
          <w:tab w:val="left" w:pos="567"/>
        </w:tabs>
        <w:rPr>
          <w:sz w:val="24"/>
          <w:szCs w:val="24"/>
        </w:rPr>
      </w:pPr>
    </w:p>
    <w:p w:rsidR="00205453" w:rsidRPr="00967BB9" w:rsidRDefault="00205453" w:rsidP="00205453">
      <w:pPr>
        <w:tabs>
          <w:tab w:val="num" w:pos="720"/>
        </w:tabs>
        <w:rPr>
          <w:sz w:val="24"/>
          <w:szCs w:val="24"/>
        </w:rPr>
      </w:pPr>
    </w:p>
    <w:p w:rsidR="00205453" w:rsidRPr="00967BB9" w:rsidRDefault="00205453" w:rsidP="00205453">
      <w:pPr>
        <w:widowControl w:val="0"/>
        <w:autoSpaceDE w:val="0"/>
        <w:autoSpaceDN w:val="0"/>
        <w:adjustRightInd w:val="0"/>
        <w:rPr>
          <w:rFonts w:ascii="Courier" w:hAnsi="Courier" w:cs="Courier"/>
          <w:sz w:val="24"/>
          <w:szCs w:val="24"/>
        </w:rPr>
      </w:pPr>
    </w:p>
    <w:p w:rsidR="00205453" w:rsidRPr="00967BB9" w:rsidRDefault="00205453" w:rsidP="00205453">
      <w:pPr>
        <w:tabs>
          <w:tab w:val="left" w:pos="900"/>
          <w:tab w:val="left" w:pos="7920"/>
        </w:tabs>
        <w:spacing w:before="120"/>
        <w:rPr>
          <w:sz w:val="24"/>
          <w:szCs w:val="24"/>
        </w:rPr>
      </w:pPr>
    </w:p>
    <w:p w:rsidR="00205453" w:rsidRPr="00967BB9" w:rsidRDefault="00205453" w:rsidP="00205453">
      <w:pPr>
        <w:tabs>
          <w:tab w:val="left" w:pos="900"/>
          <w:tab w:val="left" w:pos="7920"/>
        </w:tabs>
        <w:spacing w:before="120"/>
        <w:rPr>
          <w:sz w:val="24"/>
          <w:szCs w:val="24"/>
        </w:rPr>
      </w:pPr>
    </w:p>
    <w:p w:rsidR="00205453" w:rsidRPr="00967BB9" w:rsidRDefault="00205453" w:rsidP="00205453">
      <w:pPr>
        <w:tabs>
          <w:tab w:val="left" w:pos="900"/>
          <w:tab w:val="right" w:pos="9000"/>
        </w:tabs>
        <w:spacing w:before="120"/>
        <w:rPr>
          <w:sz w:val="24"/>
          <w:szCs w:val="24"/>
        </w:rPr>
      </w:pPr>
      <w:r w:rsidRPr="00967BB9">
        <w:rPr>
          <w:sz w:val="24"/>
          <w:szCs w:val="24"/>
        </w:rPr>
        <w:t xml:space="preserve">Příloha </w:t>
      </w:r>
      <w:r w:rsidRPr="00967BB9">
        <w:rPr>
          <w:sz w:val="24"/>
          <w:szCs w:val="24"/>
        </w:rPr>
        <w:tab/>
        <w:t xml:space="preserve">č. 1 -  Předpokládaný počet vozidel – cenová tabulka                           -  1 list </w:t>
      </w:r>
    </w:p>
    <w:p w:rsidR="00205453" w:rsidRPr="00967BB9" w:rsidRDefault="00205453" w:rsidP="00205453">
      <w:pPr>
        <w:tabs>
          <w:tab w:val="left" w:pos="900"/>
          <w:tab w:val="right" w:pos="9000"/>
        </w:tabs>
        <w:spacing w:before="120"/>
        <w:rPr>
          <w:sz w:val="24"/>
          <w:szCs w:val="24"/>
        </w:rPr>
      </w:pPr>
      <w:r w:rsidRPr="00967BB9">
        <w:rPr>
          <w:sz w:val="24"/>
          <w:szCs w:val="24"/>
        </w:rPr>
        <w:tab/>
        <w:t>č. 2 – Seznam veřejných zadavatelů                                                       -  1 list</w:t>
      </w:r>
    </w:p>
    <w:p w:rsidR="00205453" w:rsidRPr="00967BB9" w:rsidRDefault="00205453" w:rsidP="00205453">
      <w:pPr>
        <w:tabs>
          <w:tab w:val="left" w:pos="900"/>
          <w:tab w:val="right" w:pos="9000"/>
        </w:tabs>
        <w:spacing w:before="120"/>
        <w:rPr>
          <w:sz w:val="24"/>
          <w:szCs w:val="24"/>
        </w:rPr>
      </w:pPr>
      <w:r w:rsidRPr="00967BB9">
        <w:rPr>
          <w:sz w:val="24"/>
          <w:szCs w:val="24"/>
        </w:rPr>
        <w:tab/>
        <w:t>č. 3 - Pojistné podmínky k zákonnému pojištění                                    - 8 listů</w:t>
      </w:r>
    </w:p>
    <w:p w:rsidR="00205453" w:rsidRPr="00967BB9" w:rsidRDefault="00205453" w:rsidP="00205453">
      <w:pPr>
        <w:tabs>
          <w:tab w:val="left" w:pos="900"/>
          <w:tab w:val="right" w:pos="9000"/>
        </w:tabs>
        <w:spacing w:before="120"/>
        <w:rPr>
          <w:sz w:val="24"/>
          <w:szCs w:val="24"/>
        </w:rPr>
      </w:pPr>
      <w:r w:rsidRPr="00967BB9">
        <w:rPr>
          <w:sz w:val="24"/>
          <w:szCs w:val="24"/>
        </w:rPr>
        <w:tab/>
        <w:t>č. 4 – Způsob zajištění činností                                                               - 4 listy</w:t>
      </w:r>
    </w:p>
    <w:p w:rsidR="00205453" w:rsidRPr="00967BB9" w:rsidRDefault="00205453" w:rsidP="00205453">
      <w:pPr>
        <w:jc w:val="right"/>
        <w:rPr>
          <w:sz w:val="24"/>
          <w:szCs w:val="24"/>
        </w:rPr>
      </w:pPr>
      <w:r w:rsidRPr="00967BB9">
        <w:rPr>
          <w:sz w:val="24"/>
          <w:szCs w:val="24"/>
        </w:rPr>
        <w:t xml:space="preserve">                        </w:t>
      </w:r>
    </w:p>
    <w:p w:rsidR="00205453" w:rsidRPr="00967BB9" w:rsidRDefault="00205453" w:rsidP="00205453">
      <w:pPr>
        <w:jc w:val="right"/>
        <w:rPr>
          <w:sz w:val="24"/>
          <w:szCs w:val="24"/>
        </w:rPr>
      </w:pPr>
      <w:r w:rsidRPr="00967BB9">
        <w:rPr>
          <w:sz w:val="24"/>
          <w:szCs w:val="24"/>
        </w:rPr>
        <w:tab/>
        <w:t xml:space="preserve">   </w:t>
      </w:r>
    </w:p>
    <w:p w:rsidR="00205453" w:rsidRPr="00967BB9" w:rsidRDefault="00205453" w:rsidP="00205453">
      <w:pPr>
        <w:tabs>
          <w:tab w:val="left" w:pos="567"/>
        </w:tabs>
        <w:spacing w:before="120"/>
        <w:ind w:left="426"/>
        <w:rPr>
          <w:sz w:val="24"/>
          <w:szCs w:val="24"/>
        </w:rPr>
      </w:pPr>
    </w:p>
    <w:p w:rsidR="00205453" w:rsidRPr="00967BB9" w:rsidRDefault="00205453" w:rsidP="00205453">
      <w:pPr>
        <w:tabs>
          <w:tab w:val="left" w:pos="567"/>
        </w:tabs>
        <w:spacing w:before="120"/>
        <w:ind w:left="426"/>
        <w:rPr>
          <w:sz w:val="24"/>
          <w:szCs w:val="24"/>
        </w:rPr>
      </w:pPr>
    </w:p>
    <w:p w:rsidR="00205453" w:rsidRPr="00967BB9" w:rsidRDefault="00205453" w:rsidP="00205453">
      <w:pPr>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819"/>
        <w:gridCol w:w="4820"/>
      </w:tblGrid>
      <w:tr w:rsidR="00205453" w:rsidRPr="00967BB9" w:rsidTr="006F1BFD">
        <w:trPr>
          <w:trHeight w:val="360"/>
        </w:trPr>
        <w:tc>
          <w:tcPr>
            <w:tcW w:w="9639" w:type="dxa"/>
            <w:gridSpan w:val="2"/>
            <w:vAlign w:val="center"/>
          </w:tcPr>
          <w:p w:rsidR="00205453" w:rsidRPr="00967BB9" w:rsidRDefault="00205453" w:rsidP="006F1BFD">
            <w:pPr>
              <w:snapToGrid w:val="0"/>
              <w:rPr>
                <w:sz w:val="24"/>
                <w:szCs w:val="24"/>
              </w:rPr>
            </w:pPr>
            <w:r w:rsidRPr="00967BB9">
              <w:rPr>
                <w:sz w:val="24"/>
                <w:szCs w:val="24"/>
              </w:rPr>
              <w:t>Podpisy smluvních stran</w:t>
            </w:r>
          </w:p>
        </w:tc>
      </w:tr>
      <w:tr w:rsidR="00205453" w:rsidRPr="00967BB9" w:rsidTr="006F1BFD">
        <w:trPr>
          <w:trHeight w:hRule="exact" w:val="360"/>
        </w:trPr>
        <w:tc>
          <w:tcPr>
            <w:tcW w:w="4819" w:type="dxa"/>
            <w:vAlign w:val="center"/>
          </w:tcPr>
          <w:p w:rsidR="00205453" w:rsidRPr="00967BB9" w:rsidRDefault="00205453" w:rsidP="006F1BFD">
            <w:pPr>
              <w:snapToGrid w:val="0"/>
              <w:rPr>
                <w:sz w:val="24"/>
                <w:szCs w:val="24"/>
              </w:rPr>
            </w:pPr>
            <w:r w:rsidRPr="00967BB9">
              <w:rPr>
                <w:sz w:val="24"/>
                <w:szCs w:val="24"/>
              </w:rPr>
              <w:t>V Praze, dne:</w:t>
            </w:r>
            <w:r w:rsidR="008F4488">
              <w:rPr>
                <w:sz w:val="24"/>
                <w:szCs w:val="24"/>
              </w:rPr>
              <w:t xml:space="preserve"> </w:t>
            </w:r>
            <w:proofErr w:type="gramStart"/>
            <w:r w:rsidR="008F4488">
              <w:rPr>
                <w:sz w:val="24"/>
                <w:szCs w:val="24"/>
              </w:rPr>
              <w:t>9.8.2017</w:t>
            </w:r>
            <w:proofErr w:type="gramEnd"/>
          </w:p>
        </w:tc>
        <w:tc>
          <w:tcPr>
            <w:tcW w:w="4820" w:type="dxa"/>
            <w:vAlign w:val="center"/>
          </w:tcPr>
          <w:p w:rsidR="00205453" w:rsidRPr="00967BB9" w:rsidRDefault="00205453" w:rsidP="006F1BFD">
            <w:pPr>
              <w:snapToGrid w:val="0"/>
              <w:rPr>
                <w:sz w:val="24"/>
                <w:szCs w:val="24"/>
              </w:rPr>
            </w:pPr>
            <w:r w:rsidRPr="00967BB9">
              <w:rPr>
                <w:sz w:val="24"/>
                <w:szCs w:val="24"/>
              </w:rPr>
              <w:t xml:space="preserve">   V Praze, dne:</w:t>
            </w:r>
            <w:r w:rsidR="008F4488">
              <w:rPr>
                <w:sz w:val="24"/>
                <w:szCs w:val="24"/>
              </w:rPr>
              <w:t xml:space="preserve"> </w:t>
            </w:r>
            <w:proofErr w:type="gramStart"/>
            <w:r w:rsidR="008F4488">
              <w:rPr>
                <w:sz w:val="24"/>
                <w:szCs w:val="24"/>
              </w:rPr>
              <w:t>9.8.2017</w:t>
            </w:r>
            <w:proofErr w:type="gramEnd"/>
          </w:p>
        </w:tc>
      </w:tr>
    </w:tbl>
    <w:p w:rsidR="00205453" w:rsidRPr="00967BB9" w:rsidRDefault="00205453" w:rsidP="00205453">
      <w:pPr>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820"/>
        <w:gridCol w:w="4829"/>
      </w:tblGrid>
      <w:tr w:rsidR="00205453" w:rsidTr="006F1BFD">
        <w:trPr>
          <w:cantSplit/>
          <w:trHeight w:hRule="exact" w:val="3546"/>
        </w:trPr>
        <w:tc>
          <w:tcPr>
            <w:tcW w:w="4820" w:type="dxa"/>
            <w:tcBorders>
              <w:top w:val="single" w:sz="4" w:space="0" w:color="000000"/>
              <w:left w:val="single" w:sz="4" w:space="0" w:color="000000"/>
              <w:bottom w:val="single" w:sz="4" w:space="0" w:color="000000"/>
              <w:right w:val="nil"/>
            </w:tcBorders>
          </w:tcPr>
          <w:p w:rsidR="00205453" w:rsidRPr="00967BB9" w:rsidRDefault="00205453" w:rsidP="006F1BFD">
            <w:pPr>
              <w:snapToGrid w:val="0"/>
              <w:jc w:val="center"/>
              <w:rPr>
                <w:sz w:val="24"/>
                <w:szCs w:val="24"/>
              </w:rPr>
            </w:pPr>
            <w:r w:rsidRPr="00967BB9">
              <w:rPr>
                <w:sz w:val="24"/>
                <w:szCs w:val="24"/>
              </w:rPr>
              <w:t>Zástupce centrálního zadavatele</w:t>
            </w:r>
          </w:p>
          <w:p w:rsidR="00205453" w:rsidRPr="00967BB9" w:rsidRDefault="00205453" w:rsidP="006F1BFD">
            <w:pPr>
              <w:snapToGrid w:val="0"/>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r w:rsidRPr="00967BB9">
              <w:rPr>
                <w:sz w:val="24"/>
                <w:szCs w:val="24"/>
              </w:rPr>
              <w:t>Ing. Stanislav Loskot</w:t>
            </w:r>
          </w:p>
          <w:p w:rsidR="00205453" w:rsidRPr="00967BB9" w:rsidRDefault="00205453" w:rsidP="006F1BFD">
            <w:pPr>
              <w:jc w:val="center"/>
              <w:rPr>
                <w:sz w:val="24"/>
                <w:szCs w:val="24"/>
              </w:rPr>
            </w:pPr>
            <w:r w:rsidRPr="00967BB9">
              <w:rPr>
                <w:sz w:val="24"/>
                <w:szCs w:val="24"/>
              </w:rPr>
              <w:t>Ředitel odboru veřejných zakázek a centrálních nákupů</w:t>
            </w:r>
          </w:p>
          <w:p w:rsidR="00205453" w:rsidRPr="00967BB9" w:rsidRDefault="00205453" w:rsidP="006F1BFD">
            <w:pPr>
              <w:snapToGrid w:val="0"/>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205453" w:rsidRPr="00967BB9" w:rsidRDefault="00205453" w:rsidP="006F1BFD">
            <w:pPr>
              <w:tabs>
                <w:tab w:val="left" w:pos="1950"/>
              </w:tabs>
              <w:snapToGrid w:val="0"/>
              <w:rPr>
                <w:sz w:val="24"/>
                <w:szCs w:val="24"/>
              </w:rPr>
            </w:pPr>
            <w:r w:rsidRPr="00967BB9">
              <w:rPr>
                <w:sz w:val="24"/>
                <w:szCs w:val="24"/>
              </w:rPr>
              <w:t xml:space="preserve">                                 Dodavatel </w:t>
            </w: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p>
          <w:p w:rsidR="00205453" w:rsidRPr="00967BB9" w:rsidRDefault="00205453" w:rsidP="006F1BFD">
            <w:pPr>
              <w:jc w:val="center"/>
              <w:rPr>
                <w:sz w:val="24"/>
                <w:szCs w:val="24"/>
              </w:rPr>
            </w:pPr>
            <w:r w:rsidRPr="00967BB9">
              <w:rPr>
                <w:sz w:val="24"/>
                <w:szCs w:val="24"/>
              </w:rPr>
              <w:t>Mgr. Irena Löffelmannová</w:t>
            </w:r>
          </w:p>
          <w:p w:rsidR="00205453" w:rsidRPr="00967BB9" w:rsidRDefault="00205453" w:rsidP="006F1BFD">
            <w:pPr>
              <w:jc w:val="center"/>
              <w:rPr>
                <w:sz w:val="24"/>
                <w:szCs w:val="24"/>
              </w:rPr>
            </w:pPr>
            <w:r w:rsidRPr="00967BB9">
              <w:rPr>
                <w:sz w:val="24"/>
                <w:szCs w:val="24"/>
              </w:rPr>
              <w:t xml:space="preserve">Česká podnikatelská pojišťovna </w:t>
            </w:r>
            <w:proofErr w:type="spellStart"/>
            <w:r w:rsidRPr="00967BB9">
              <w:rPr>
                <w:sz w:val="24"/>
                <w:szCs w:val="24"/>
              </w:rPr>
              <w:t>a.s</w:t>
            </w:r>
            <w:proofErr w:type="spellEnd"/>
          </w:p>
          <w:p w:rsidR="00205453" w:rsidRDefault="00205453" w:rsidP="006F1BFD">
            <w:pPr>
              <w:jc w:val="center"/>
              <w:rPr>
                <w:sz w:val="24"/>
                <w:szCs w:val="24"/>
              </w:rPr>
            </w:pPr>
            <w:proofErr w:type="spellStart"/>
            <w:r w:rsidRPr="00967BB9">
              <w:rPr>
                <w:sz w:val="24"/>
                <w:szCs w:val="24"/>
              </w:rPr>
              <w:t>Vienna</w:t>
            </w:r>
            <w:proofErr w:type="spellEnd"/>
            <w:r w:rsidRPr="00967BB9">
              <w:rPr>
                <w:sz w:val="24"/>
                <w:szCs w:val="24"/>
              </w:rPr>
              <w:t xml:space="preserve"> </w:t>
            </w:r>
            <w:proofErr w:type="spellStart"/>
            <w:r w:rsidRPr="00967BB9">
              <w:rPr>
                <w:sz w:val="24"/>
                <w:szCs w:val="24"/>
              </w:rPr>
              <w:t>Insurance</w:t>
            </w:r>
            <w:proofErr w:type="spellEnd"/>
            <w:r w:rsidRPr="00967BB9">
              <w:rPr>
                <w:sz w:val="24"/>
                <w:szCs w:val="24"/>
              </w:rPr>
              <w:t xml:space="preserve"> Group</w:t>
            </w:r>
          </w:p>
          <w:p w:rsidR="00205453" w:rsidRDefault="00205453" w:rsidP="006F1BFD">
            <w:pPr>
              <w:jc w:val="center"/>
              <w:rPr>
                <w:sz w:val="24"/>
                <w:szCs w:val="24"/>
              </w:rPr>
            </w:pPr>
          </w:p>
          <w:p w:rsidR="00205453" w:rsidRPr="00A6169C" w:rsidRDefault="00205453" w:rsidP="006F1BFD">
            <w:pPr>
              <w:jc w:val="left"/>
              <w:rPr>
                <w:sz w:val="24"/>
                <w:szCs w:val="24"/>
              </w:rPr>
            </w:pPr>
          </w:p>
          <w:p w:rsidR="00205453" w:rsidRPr="00260140" w:rsidRDefault="00205453" w:rsidP="006F1BFD">
            <w:pPr>
              <w:jc w:val="left"/>
              <w:rPr>
                <w:sz w:val="24"/>
                <w:szCs w:val="24"/>
              </w:rPr>
            </w:pPr>
          </w:p>
        </w:tc>
      </w:tr>
    </w:tbl>
    <w:p w:rsidR="00205453" w:rsidRDefault="00205453" w:rsidP="00205453"/>
    <w:p w:rsidR="00205453" w:rsidRDefault="00205453" w:rsidP="00205453"/>
    <w:p w:rsidR="00205453" w:rsidRDefault="00205453" w:rsidP="00205453"/>
    <w:p w:rsidR="00205453" w:rsidRDefault="00205453" w:rsidP="00205453"/>
    <w:p w:rsidR="00B04C3F" w:rsidRDefault="00B04C3F"/>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205453"/>
    <w:p w:rsidR="00205453" w:rsidRDefault="008F4488">
      <w:r w:rsidRPr="00967BB9">
        <w:rPr>
          <w:sz w:val="24"/>
          <w:szCs w:val="24"/>
        </w:rPr>
        <w:t xml:space="preserve">Příloha </w:t>
      </w:r>
      <w:r w:rsidRPr="00967BB9">
        <w:rPr>
          <w:sz w:val="24"/>
          <w:szCs w:val="24"/>
        </w:rPr>
        <w:tab/>
        <w:t xml:space="preserve">č. 1 -  Předpokládaný počet vozidel – cenová tabulka                           </w:t>
      </w:r>
    </w:p>
    <w:p w:rsidR="00205453" w:rsidRDefault="00205453"/>
    <w:p w:rsidR="00205453" w:rsidRDefault="00205453">
      <w:r w:rsidRPr="00205453">
        <w:rPr>
          <w:noProof/>
          <w:lang w:eastAsia="cs-CZ"/>
        </w:rPr>
        <w:drawing>
          <wp:inline distT="0" distB="0" distL="0" distR="0" wp14:anchorId="458C5CE2" wp14:editId="34D41AD6">
            <wp:extent cx="5760720" cy="3445511"/>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445511"/>
                    </a:xfrm>
                    <a:prstGeom prst="rect">
                      <a:avLst/>
                    </a:prstGeom>
                    <a:noFill/>
                    <a:ln>
                      <a:noFill/>
                    </a:ln>
                  </pic:spPr>
                </pic:pic>
              </a:graphicData>
            </a:graphic>
          </wp:inline>
        </w:drawing>
      </w:r>
    </w:p>
    <w:sectPr w:rsidR="00205453" w:rsidSect="00B51780">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4F" w:rsidRDefault="00B0344F" w:rsidP="00205453">
      <w:r>
        <w:separator/>
      </w:r>
    </w:p>
  </w:endnote>
  <w:endnote w:type="continuationSeparator" w:id="0">
    <w:p w:rsidR="00B0344F" w:rsidRDefault="00B0344F" w:rsidP="0020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BE" w:rsidRDefault="00151E4F" w:rsidP="00B517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35BE" w:rsidRDefault="00B034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BE" w:rsidRDefault="00151E4F" w:rsidP="00B517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F4488">
      <w:rPr>
        <w:rStyle w:val="slostrnky"/>
        <w:noProof/>
      </w:rPr>
      <w:t>2</w:t>
    </w:r>
    <w:r>
      <w:rPr>
        <w:rStyle w:val="slostrnky"/>
      </w:rPr>
      <w:fldChar w:fldCharType="end"/>
    </w:r>
  </w:p>
  <w:p w:rsidR="007235BE" w:rsidRDefault="00B03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4F" w:rsidRDefault="00B0344F" w:rsidP="00205453">
      <w:r>
        <w:separator/>
      </w:r>
    </w:p>
  </w:footnote>
  <w:footnote w:type="continuationSeparator" w:id="0">
    <w:p w:rsidR="00B0344F" w:rsidRDefault="00B0344F" w:rsidP="00205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BE" w:rsidRDefault="00B0344F" w:rsidP="008D531B">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BE" w:rsidRDefault="00B0344F" w:rsidP="008D531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C98"/>
    <w:multiLevelType w:val="hybridMultilevel"/>
    <w:tmpl w:val="00120C8E"/>
    <w:lvl w:ilvl="0" w:tplc="BF7CA71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
    <w:nsid w:val="0CBE0E91"/>
    <w:multiLevelType w:val="hybridMultilevel"/>
    <w:tmpl w:val="1474EB28"/>
    <w:lvl w:ilvl="0" w:tplc="98DCBC50">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nsid w:val="0FAD0644"/>
    <w:multiLevelType w:val="hybridMultilevel"/>
    <w:tmpl w:val="F982760A"/>
    <w:lvl w:ilvl="0" w:tplc="D38A107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nsid w:val="124C25B6"/>
    <w:multiLevelType w:val="multilevel"/>
    <w:tmpl w:val="C9DEE188"/>
    <w:lvl w:ilvl="0">
      <w:start w:val="1"/>
      <w:numFmt w:val="decimal"/>
      <w:lvlText w:val="13.%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B9B4E27"/>
    <w:multiLevelType w:val="multilevel"/>
    <w:tmpl w:val="59A44F88"/>
    <w:lvl w:ilvl="0">
      <w:start w:val="1"/>
      <w:numFmt w:val="decimal"/>
      <w:lvlText w:val="9.%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29616D1"/>
    <w:multiLevelType w:val="multilevel"/>
    <w:tmpl w:val="BE94CB88"/>
    <w:lvl w:ilvl="0">
      <w:start w:val="1"/>
      <w:numFmt w:val="decimal"/>
      <w:lvlText w:val="8.%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2972F1E"/>
    <w:multiLevelType w:val="multilevel"/>
    <w:tmpl w:val="B91AA9C2"/>
    <w:lvl w:ilvl="0">
      <w:start w:val="1"/>
      <w:numFmt w:val="decimal"/>
      <w:lvlText w:val="10.%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D0F59C9"/>
    <w:multiLevelType w:val="hybridMultilevel"/>
    <w:tmpl w:val="6E982FF2"/>
    <w:lvl w:ilvl="0" w:tplc="98DCBC50">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nsid w:val="34DD3DAD"/>
    <w:multiLevelType w:val="multilevel"/>
    <w:tmpl w:val="8C9CA312"/>
    <w:lvl w:ilvl="0">
      <w:start w:val="1"/>
      <w:numFmt w:val="decimal"/>
      <w:lvlText w:val="7.%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791001F"/>
    <w:multiLevelType w:val="multilevel"/>
    <w:tmpl w:val="348EADE4"/>
    <w:lvl w:ilvl="0">
      <w:start w:val="1"/>
      <w:numFmt w:val="decimal"/>
      <w:lvlText w:val="12.%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0249A4"/>
    <w:multiLevelType w:val="hybridMultilevel"/>
    <w:tmpl w:val="6BA6608A"/>
    <w:lvl w:ilvl="0" w:tplc="DC1E02B0">
      <w:start w:val="1"/>
      <w:numFmt w:val="lowerLetter"/>
      <w:lvlText w:val="%1)"/>
      <w:lvlJc w:val="left"/>
      <w:pPr>
        <w:tabs>
          <w:tab w:val="num" w:pos="900"/>
        </w:tabs>
        <w:ind w:left="900" w:hanging="360"/>
      </w:p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abstractNum w:abstractNumId="11">
    <w:nsid w:val="412E550E"/>
    <w:multiLevelType w:val="multilevel"/>
    <w:tmpl w:val="B7581D12"/>
    <w:lvl w:ilvl="0">
      <w:start w:val="1"/>
      <w:numFmt w:val="decimal"/>
      <w:lvlText w:val="3.%1"/>
      <w:lvlJc w:val="left"/>
      <w:pPr>
        <w:tabs>
          <w:tab w:val="num" w:pos="360"/>
        </w:tabs>
        <w:ind w:left="360" w:hanging="360"/>
      </w:pPr>
      <w:rPr>
        <w:rFonts w:hint="default"/>
        <w:b w:val="0"/>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92A0E94"/>
    <w:multiLevelType w:val="multilevel"/>
    <w:tmpl w:val="D89A3C58"/>
    <w:lvl w:ilvl="0">
      <w:start w:val="1"/>
      <w:numFmt w:val="decimal"/>
      <w:lvlText w:val="2.%1"/>
      <w:lvlJc w:val="left"/>
      <w:pPr>
        <w:tabs>
          <w:tab w:val="num" w:pos="360"/>
        </w:tabs>
        <w:ind w:left="360" w:hanging="360"/>
      </w:pPr>
      <w:rPr>
        <w:rFonts w:hint="default"/>
        <w:b w:val="0"/>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F7510DB"/>
    <w:multiLevelType w:val="hybridMultilevel"/>
    <w:tmpl w:val="F4723ACA"/>
    <w:lvl w:ilvl="0" w:tplc="98DCBC50">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nsid w:val="68000857"/>
    <w:multiLevelType w:val="multilevel"/>
    <w:tmpl w:val="8444B21E"/>
    <w:lvl w:ilvl="0">
      <w:start w:val="1"/>
      <w:numFmt w:val="decimal"/>
      <w:lvlText w:val="5.%1"/>
      <w:lvlJc w:val="left"/>
      <w:pPr>
        <w:tabs>
          <w:tab w:val="num" w:pos="360"/>
        </w:tabs>
        <w:ind w:left="360" w:hanging="360"/>
      </w:pPr>
      <w:rPr>
        <w:rFonts w:hint="default"/>
        <w:b w:val="0"/>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75F5BD1"/>
    <w:multiLevelType w:val="multilevel"/>
    <w:tmpl w:val="F1A27576"/>
    <w:lvl w:ilvl="0">
      <w:start w:val="1"/>
      <w:numFmt w:val="decimal"/>
      <w:lvlText w:val="1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861771B"/>
    <w:multiLevelType w:val="multilevel"/>
    <w:tmpl w:val="2974BEB0"/>
    <w:lvl w:ilvl="0">
      <w:start w:val="1"/>
      <w:numFmt w:val="decimal"/>
      <w:lvlText w:val="4.%1"/>
      <w:lvlJc w:val="left"/>
      <w:pPr>
        <w:tabs>
          <w:tab w:val="num" w:pos="360"/>
        </w:tabs>
        <w:ind w:left="360" w:hanging="360"/>
      </w:pPr>
      <w:rPr>
        <w:rFonts w:hint="default"/>
        <w:b w:val="0"/>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3"/>
  </w:num>
  <w:num w:numId="5">
    <w:abstractNumId w:val="9"/>
  </w:num>
  <w:num w:numId="6">
    <w:abstractNumId w:val="8"/>
  </w:num>
  <w:num w:numId="7">
    <w:abstractNumId w:val="14"/>
  </w:num>
  <w:num w:numId="8">
    <w:abstractNumId w:val="11"/>
  </w:num>
  <w:num w:numId="9">
    <w:abstractNumId w:val="16"/>
  </w:num>
  <w:num w:numId="10">
    <w:abstractNumId w:val="2"/>
  </w:num>
  <w:num w:numId="11">
    <w:abstractNumId w:val="13"/>
  </w:num>
  <w:num w:numId="12">
    <w:abstractNumId w:val="5"/>
  </w:num>
  <w:num w:numId="13">
    <w:abstractNumId w:val="4"/>
  </w:num>
  <w:num w:numId="14">
    <w:abstractNumId w:val="6"/>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53"/>
    <w:rsid w:val="00151E4F"/>
    <w:rsid w:val="00205453"/>
    <w:rsid w:val="008F4488"/>
    <w:rsid w:val="00B0344F"/>
    <w:rsid w:val="00B04C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5453"/>
    <w:pPr>
      <w:suppressAutoHyphens/>
      <w:spacing w:after="0" w:line="240" w:lineRule="auto"/>
      <w:jc w:val="both"/>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205453"/>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5453"/>
    <w:rPr>
      <w:rFonts w:ascii="Times New Roman" w:eastAsia="Times New Roman" w:hAnsi="Times New Roman" w:cs="Times New Roman"/>
      <w:b/>
      <w:sz w:val="20"/>
      <w:szCs w:val="20"/>
      <w:lang w:eastAsia="ar-SA"/>
    </w:rPr>
  </w:style>
  <w:style w:type="paragraph" w:styleId="Zhlav">
    <w:name w:val="header"/>
    <w:basedOn w:val="Normln"/>
    <w:link w:val="ZhlavChar"/>
    <w:uiPriority w:val="99"/>
    <w:unhideWhenUsed/>
    <w:rsid w:val="00205453"/>
    <w:pPr>
      <w:tabs>
        <w:tab w:val="center" w:pos="4536"/>
        <w:tab w:val="right" w:pos="9072"/>
      </w:tabs>
    </w:pPr>
  </w:style>
  <w:style w:type="character" w:customStyle="1" w:styleId="ZhlavChar">
    <w:name w:val="Záhlaví Char"/>
    <w:basedOn w:val="Standardnpsmoodstavce"/>
    <w:link w:val="Zhlav"/>
    <w:uiPriority w:val="99"/>
    <w:rsid w:val="00205453"/>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05453"/>
    <w:pPr>
      <w:suppressAutoHyphens w:val="0"/>
      <w:ind w:firstLine="708"/>
    </w:pPr>
    <w:rPr>
      <w:sz w:val="22"/>
      <w:lang w:eastAsia="cs-CZ"/>
    </w:rPr>
  </w:style>
  <w:style w:type="character" w:customStyle="1" w:styleId="ZkladntextodsazenChar">
    <w:name w:val="Základní text odsazený Char"/>
    <w:basedOn w:val="Standardnpsmoodstavce"/>
    <w:link w:val="Zkladntextodsazen"/>
    <w:rsid w:val="00205453"/>
    <w:rPr>
      <w:rFonts w:ascii="Times New Roman" w:eastAsia="Times New Roman" w:hAnsi="Times New Roman" w:cs="Times New Roman"/>
      <w:szCs w:val="20"/>
      <w:lang w:eastAsia="cs-CZ"/>
    </w:rPr>
  </w:style>
  <w:style w:type="paragraph" w:styleId="Zpat">
    <w:name w:val="footer"/>
    <w:basedOn w:val="Normln"/>
    <w:link w:val="ZpatChar"/>
    <w:rsid w:val="00205453"/>
    <w:pPr>
      <w:tabs>
        <w:tab w:val="center" w:pos="4536"/>
        <w:tab w:val="right" w:pos="9072"/>
      </w:tabs>
    </w:pPr>
  </w:style>
  <w:style w:type="character" w:customStyle="1" w:styleId="ZpatChar">
    <w:name w:val="Zápatí Char"/>
    <w:basedOn w:val="Standardnpsmoodstavce"/>
    <w:link w:val="Zpat"/>
    <w:rsid w:val="00205453"/>
    <w:rPr>
      <w:rFonts w:ascii="Times New Roman" w:eastAsia="Times New Roman" w:hAnsi="Times New Roman" w:cs="Times New Roman"/>
      <w:sz w:val="20"/>
      <w:szCs w:val="20"/>
      <w:lang w:eastAsia="ar-SA"/>
    </w:rPr>
  </w:style>
  <w:style w:type="character" w:styleId="slostrnky">
    <w:name w:val="page number"/>
    <w:basedOn w:val="Standardnpsmoodstavce"/>
    <w:rsid w:val="00205453"/>
  </w:style>
  <w:style w:type="character" w:styleId="Hypertextovodkaz">
    <w:name w:val="Hyperlink"/>
    <w:uiPriority w:val="99"/>
    <w:unhideWhenUsed/>
    <w:rsid w:val="00205453"/>
    <w:rPr>
      <w:color w:val="0000FF"/>
      <w:u w:val="single"/>
    </w:rPr>
  </w:style>
  <w:style w:type="paragraph" w:styleId="Textbubliny">
    <w:name w:val="Balloon Text"/>
    <w:basedOn w:val="Normln"/>
    <w:link w:val="TextbublinyChar"/>
    <w:uiPriority w:val="99"/>
    <w:semiHidden/>
    <w:unhideWhenUsed/>
    <w:rsid w:val="00205453"/>
    <w:rPr>
      <w:rFonts w:ascii="Tahoma" w:hAnsi="Tahoma" w:cs="Tahoma"/>
      <w:sz w:val="16"/>
      <w:szCs w:val="16"/>
    </w:rPr>
  </w:style>
  <w:style w:type="character" w:customStyle="1" w:styleId="TextbublinyChar">
    <w:name w:val="Text bubliny Char"/>
    <w:basedOn w:val="Standardnpsmoodstavce"/>
    <w:link w:val="Textbubliny"/>
    <w:uiPriority w:val="99"/>
    <w:semiHidden/>
    <w:rsid w:val="0020545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5453"/>
    <w:pPr>
      <w:suppressAutoHyphens/>
      <w:spacing w:after="0" w:line="240" w:lineRule="auto"/>
      <w:jc w:val="both"/>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205453"/>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5453"/>
    <w:rPr>
      <w:rFonts w:ascii="Times New Roman" w:eastAsia="Times New Roman" w:hAnsi="Times New Roman" w:cs="Times New Roman"/>
      <w:b/>
      <w:sz w:val="20"/>
      <w:szCs w:val="20"/>
      <w:lang w:eastAsia="ar-SA"/>
    </w:rPr>
  </w:style>
  <w:style w:type="paragraph" w:styleId="Zhlav">
    <w:name w:val="header"/>
    <w:basedOn w:val="Normln"/>
    <w:link w:val="ZhlavChar"/>
    <w:uiPriority w:val="99"/>
    <w:unhideWhenUsed/>
    <w:rsid w:val="00205453"/>
    <w:pPr>
      <w:tabs>
        <w:tab w:val="center" w:pos="4536"/>
        <w:tab w:val="right" w:pos="9072"/>
      </w:tabs>
    </w:pPr>
  </w:style>
  <w:style w:type="character" w:customStyle="1" w:styleId="ZhlavChar">
    <w:name w:val="Záhlaví Char"/>
    <w:basedOn w:val="Standardnpsmoodstavce"/>
    <w:link w:val="Zhlav"/>
    <w:uiPriority w:val="99"/>
    <w:rsid w:val="00205453"/>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05453"/>
    <w:pPr>
      <w:suppressAutoHyphens w:val="0"/>
      <w:ind w:firstLine="708"/>
    </w:pPr>
    <w:rPr>
      <w:sz w:val="22"/>
      <w:lang w:eastAsia="cs-CZ"/>
    </w:rPr>
  </w:style>
  <w:style w:type="character" w:customStyle="1" w:styleId="ZkladntextodsazenChar">
    <w:name w:val="Základní text odsazený Char"/>
    <w:basedOn w:val="Standardnpsmoodstavce"/>
    <w:link w:val="Zkladntextodsazen"/>
    <w:rsid w:val="00205453"/>
    <w:rPr>
      <w:rFonts w:ascii="Times New Roman" w:eastAsia="Times New Roman" w:hAnsi="Times New Roman" w:cs="Times New Roman"/>
      <w:szCs w:val="20"/>
      <w:lang w:eastAsia="cs-CZ"/>
    </w:rPr>
  </w:style>
  <w:style w:type="paragraph" w:styleId="Zpat">
    <w:name w:val="footer"/>
    <w:basedOn w:val="Normln"/>
    <w:link w:val="ZpatChar"/>
    <w:rsid w:val="00205453"/>
    <w:pPr>
      <w:tabs>
        <w:tab w:val="center" w:pos="4536"/>
        <w:tab w:val="right" w:pos="9072"/>
      </w:tabs>
    </w:pPr>
  </w:style>
  <w:style w:type="character" w:customStyle="1" w:styleId="ZpatChar">
    <w:name w:val="Zápatí Char"/>
    <w:basedOn w:val="Standardnpsmoodstavce"/>
    <w:link w:val="Zpat"/>
    <w:rsid w:val="00205453"/>
    <w:rPr>
      <w:rFonts w:ascii="Times New Roman" w:eastAsia="Times New Roman" w:hAnsi="Times New Roman" w:cs="Times New Roman"/>
      <w:sz w:val="20"/>
      <w:szCs w:val="20"/>
      <w:lang w:eastAsia="ar-SA"/>
    </w:rPr>
  </w:style>
  <w:style w:type="character" w:styleId="slostrnky">
    <w:name w:val="page number"/>
    <w:basedOn w:val="Standardnpsmoodstavce"/>
    <w:rsid w:val="00205453"/>
  </w:style>
  <w:style w:type="character" w:styleId="Hypertextovodkaz">
    <w:name w:val="Hyperlink"/>
    <w:uiPriority w:val="99"/>
    <w:unhideWhenUsed/>
    <w:rsid w:val="00205453"/>
    <w:rPr>
      <w:color w:val="0000FF"/>
      <w:u w:val="single"/>
    </w:rPr>
  </w:style>
  <w:style w:type="paragraph" w:styleId="Textbubliny">
    <w:name w:val="Balloon Text"/>
    <w:basedOn w:val="Normln"/>
    <w:link w:val="TextbublinyChar"/>
    <w:uiPriority w:val="99"/>
    <w:semiHidden/>
    <w:unhideWhenUsed/>
    <w:rsid w:val="00205453"/>
    <w:rPr>
      <w:rFonts w:ascii="Tahoma" w:hAnsi="Tahoma" w:cs="Tahoma"/>
      <w:sz w:val="16"/>
      <w:szCs w:val="16"/>
    </w:rPr>
  </w:style>
  <w:style w:type="character" w:customStyle="1" w:styleId="TextbublinyChar">
    <w:name w:val="Text bubliny Char"/>
    <w:basedOn w:val="Standardnpsmoodstavce"/>
    <w:link w:val="Textbubliny"/>
    <w:uiPriority w:val="99"/>
    <w:semiHidden/>
    <w:rsid w:val="002054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loskot@mvcr.cz"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skalicka@cp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ena.loffelmannova@cpp.cz" TargetMode="External"/><Relationship Id="rId4" Type="http://schemas.openxmlformats.org/officeDocument/2006/relationships/settings" Target="settings.xml"/><Relationship Id="rId9" Type="http://schemas.openxmlformats.org/officeDocument/2006/relationships/hyperlink" Target="mailto:krystof.mencl@mvcr.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2778</Words>
  <Characters>16396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3</cp:revision>
  <dcterms:created xsi:type="dcterms:W3CDTF">2017-09-01T06:33:00Z</dcterms:created>
  <dcterms:modified xsi:type="dcterms:W3CDTF">2017-09-01T06:40:00Z</dcterms:modified>
</cp:coreProperties>
</file>