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181BC8FA"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7701F9" w:rsidRPr="00F001FE">
            <w:rPr>
              <w:rFonts w:ascii="Arial" w:hAnsi="Arial" w:cs="Arial"/>
              <w:b/>
              <w:bCs/>
              <w:sz w:val="44"/>
              <w:szCs w:val="44"/>
            </w:rPr>
            <w:t>2</w:t>
          </w:r>
          <w:r w:rsidR="00696CF6">
            <w:rPr>
              <w:rFonts w:ascii="Arial" w:hAnsi="Arial" w:cs="Arial"/>
              <w:b/>
              <w:bCs/>
              <w:sz w:val="44"/>
              <w:szCs w:val="44"/>
            </w:rPr>
            <w:t>5</w:t>
          </w:r>
          <w:r w:rsidR="007701F9" w:rsidRPr="00F001FE">
            <w:rPr>
              <w:rFonts w:ascii="Arial" w:hAnsi="Arial" w:cs="Arial"/>
              <w:b/>
              <w:bCs/>
              <w:sz w:val="44"/>
              <w:szCs w:val="44"/>
            </w:rPr>
            <w:t>/</w:t>
          </w:r>
          <w:r w:rsidR="00E6433B">
            <w:rPr>
              <w:rFonts w:ascii="Arial" w:hAnsi="Arial" w:cs="Arial"/>
              <w:b/>
              <w:bCs/>
              <w:sz w:val="44"/>
              <w:szCs w:val="44"/>
            </w:rPr>
            <w:t>34</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3FC4F187"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E6522A">
        <w:rPr>
          <w:rFonts w:eastAsia="MS Mincho"/>
        </w:rPr>
        <w:t>XXX</w:t>
      </w:r>
      <w:r w:rsidRPr="007A77C6">
        <w:rPr>
          <w:rFonts w:eastAsia="MS Mincho"/>
        </w:rPr>
        <w:t xml:space="preserve"> </w:t>
      </w:r>
    </w:p>
    <w:p w14:paraId="584F0CF4" w14:textId="0CCBF1F5"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E6522A">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w:t>
      </w:r>
      <w:proofErr w:type="gramStart"/>
      <w:r w:rsidRPr="007A77C6">
        <w:rPr>
          <w:rFonts w:eastAsia="MS Mincho"/>
        </w:rPr>
        <w:t>a</w:t>
      </w:r>
      <w:r w:rsidRPr="007A77C6">
        <w:rPr>
          <w:rFonts w:eastAsia="MS Mincho"/>
          <w:bCs/>
        </w:rPr>
        <w:t xml:space="preserve"> ,</w:t>
      </w:r>
      <w:proofErr w:type="gramEnd"/>
      <w:r w:rsidRPr="007A77C6">
        <w:rPr>
          <w:rFonts w:eastAsia="MS Mincho"/>
          <w:bCs/>
        </w:rPr>
        <w:t xml:space="preserve">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779097F5" w:rsidR="00BE4E7A" w:rsidRPr="006C2A4B" w:rsidRDefault="00000000"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proofErr w:type="spellStart"/>
          <w:r w:rsidR="003F746A">
            <w:rPr>
              <w:rFonts w:ascii="Arial" w:hAnsi="Arial" w:cs="Arial"/>
              <w:b/>
              <w:i w:val="0"/>
              <w:iCs w:val="0"/>
              <w:sz w:val="22"/>
              <w:szCs w:val="22"/>
            </w:rPr>
            <w:t>ArtibaStav</w:t>
          </w:r>
          <w:proofErr w:type="spellEnd"/>
          <w:r w:rsidR="003F746A">
            <w:rPr>
              <w:rFonts w:ascii="Arial" w:hAnsi="Arial" w:cs="Arial"/>
              <w:b/>
              <w:i w:val="0"/>
              <w:iCs w:val="0"/>
              <w:sz w:val="22"/>
              <w:szCs w:val="22"/>
            </w:rPr>
            <w:t xml:space="preserve"> s.r.o.</w:t>
          </w:r>
        </w:sdtContent>
      </w:sdt>
      <w:r w:rsidR="00BE4E7A" w:rsidRPr="006C2A4B">
        <w:rPr>
          <w:rFonts w:ascii="Arial" w:hAnsi="Arial" w:cs="Arial"/>
          <w:b/>
          <w:i w:val="0"/>
          <w:iCs w:val="0"/>
          <w:sz w:val="22"/>
          <w:szCs w:val="22"/>
        </w:rPr>
        <w:tab/>
        <w:t xml:space="preserve"> </w:t>
      </w:r>
    </w:p>
    <w:p w14:paraId="7D125907" w14:textId="473E9E84"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6C70A8">
            <w:rPr>
              <w:rFonts w:ascii="Arial" w:hAnsi="Arial" w:cs="Arial"/>
              <w:i w:val="0"/>
              <w:iCs w:val="0"/>
              <w:sz w:val="22"/>
              <w:szCs w:val="22"/>
            </w:rPr>
            <w:t>Podhajská pole 771/2 108 00 Praha 8</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79E76279"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6C70A8">
            <w:rPr>
              <w:rFonts w:ascii="Arial" w:hAnsi="Arial" w:cs="Arial"/>
              <w:i w:val="0"/>
              <w:iCs w:val="0"/>
              <w:sz w:val="22"/>
              <w:szCs w:val="22"/>
            </w:rPr>
            <w:t>Ing. Daniel Šindelář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11157874"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Content>
          <w:r w:rsidRPr="00BE4E7A">
            <w:rPr>
              <w:rFonts w:ascii="Arial" w:hAnsi="Arial" w:cs="Arial"/>
              <w:i w:val="0"/>
              <w:iCs w:val="0"/>
              <w:sz w:val="22"/>
              <w:szCs w:val="22"/>
            </w:rPr>
            <w:t>Městským soudem v Praze vložka</w:t>
          </w:r>
          <w:r w:rsidR="006C70A8">
            <w:rPr>
              <w:rFonts w:ascii="Arial" w:hAnsi="Arial" w:cs="Arial"/>
              <w:i w:val="0"/>
              <w:iCs w:val="0"/>
              <w:sz w:val="22"/>
              <w:szCs w:val="22"/>
            </w:rPr>
            <w:t xml:space="preserve"> 347880</w:t>
          </w:r>
        </w:sdtContent>
      </w:sdt>
      <w:r w:rsidR="006C08C2">
        <w:rPr>
          <w:rFonts w:ascii="Arial" w:hAnsi="Arial" w:cs="Arial"/>
          <w:i w:val="0"/>
          <w:iCs w:val="0"/>
          <w:sz w:val="22"/>
          <w:szCs w:val="22"/>
        </w:rPr>
        <w:t xml:space="preserve"> </w:t>
      </w:r>
    </w:p>
    <w:p w14:paraId="2721FDCF" w14:textId="0E7D7B3A"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6C70A8">
            <w:rPr>
              <w:rFonts w:ascii="Arial" w:hAnsi="Arial" w:cs="Arial"/>
              <w:i w:val="0"/>
              <w:iCs w:val="0"/>
              <w:sz w:val="22"/>
              <w:szCs w:val="22"/>
            </w:rPr>
            <w:t>10755039</w:t>
          </w:r>
        </w:sdtContent>
      </w:sdt>
      <w:r w:rsidRPr="00BE4E7A">
        <w:rPr>
          <w:rFonts w:ascii="Arial" w:hAnsi="Arial" w:cs="Arial"/>
          <w:i w:val="0"/>
          <w:iCs w:val="0"/>
          <w:sz w:val="22"/>
          <w:szCs w:val="22"/>
        </w:rPr>
        <w:tab/>
      </w:r>
    </w:p>
    <w:p w14:paraId="5E12BE25" w14:textId="54596883" w:rsidR="00BE4E7A" w:rsidRPr="00BE4E7A" w:rsidRDefault="00000000"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Content>
          <w:r w:rsidR="00BE4E7A" w:rsidRPr="00BE4E7A">
            <w:rPr>
              <w:rFonts w:ascii="Arial" w:hAnsi="Arial" w:cs="Arial"/>
              <w:i w:val="0"/>
              <w:iCs w:val="0"/>
              <w:sz w:val="22"/>
              <w:szCs w:val="22"/>
            </w:rPr>
            <w:t>DIČ: C</w:t>
          </w:r>
          <w:r w:rsidR="007701F9">
            <w:rPr>
              <w:rFonts w:ascii="Arial" w:hAnsi="Arial" w:cs="Arial"/>
              <w:i w:val="0"/>
              <w:iCs w:val="0"/>
              <w:sz w:val="22"/>
              <w:szCs w:val="22"/>
            </w:rPr>
            <w:t>Z</w:t>
          </w:r>
          <w:r w:rsidR="006C70A8">
            <w:rPr>
              <w:rFonts w:ascii="Arial" w:hAnsi="Arial" w:cs="Arial"/>
              <w:i w:val="0"/>
              <w:iCs w:val="0"/>
              <w:sz w:val="22"/>
              <w:szCs w:val="22"/>
            </w:rPr>
            <w:t>10755039</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6A5B455E"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i w:val="0"/>
            <w:iCs w:val="0"/>
            <w:sz w:val="22"/>
            <w:szCs w:val="22"/>
          </w:rPr>
          <w:id w:val="-1046056173"/>
          <w:placeholder>
            <w:docPart w:val="DefaultPlaceholder_-1854013440"/>
          </w:placeholder>
          <w:text/>
        </w:sdtPr>
        <w:sdtContent>
          <w:r w:rsidR="00E6522A">
            <w:rPr>
              <w:rFonts w:ascii="Arial" w:hAnsi="Arial" w:cs="Arial"/>
              <w:i w:val="0"/>
              <w:iCs w:val="0"/>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4F21A03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Content>
          <w:r w:rsidR="00E6522A">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7E9A18E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r w:rsidR="00E6522A">
        <w:rPr>
          <w:rFonts w:ascii="Arial" w:hAnsi="Arial" w:cs="Arial"/>
          <w:i w:val="0"/>
          <w:iCs w:val="0"/>
          <w:sz w:val="22"/>
          <w:szCs w:val="22"/>
        </w:rPr>
        <w:t>XXX</w:t>
      </w:r>
      <w:r w:rsidRPr="00BE4E7A">
        <w:rPr>
          <w:rFonts w:ascii="Arial" w:hAnsi="Arial" w:cs="Arial"/>
          <w:i w:val="0"/>
          <w:iCs w:val="0"/>
          <w:sz w:val="22"/>
          <w:szCs w:val="22"/>
        </w:rPr>
        <w:tab/>
      </w:r>
    </w:p>
    <w:p w14:paraId="18CBFF4C" w14:textId="1BC33E67"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Content>
          <w:r w:rsidR="00E6522A">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158B3656"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Pr>
          <w:rFonts w:ascii="Arial" w:hAnsi="Arial" w:cs="Arial"/>
          <w:b/>
          <w:sz w:val="22"/>
          <w:szCs w:val="22"/>
        </w:rPr>
        <w:t xml:space="preserve">Oprava </w:t>
      </w:r>
      <w:sdt>
        <w:sdtPr>
          <w:rPr>
            <w:rFonts w:ascii="Arial" w:hAnsi="Arial" w:cs="Arial"/>
            <w:b/>
            <w:sz w:val="22"/>
            <w:szCs w:val="22"/>
          </w:rPr>
          <w:id w:val="-479620647"/>
          <w:placeholder>
            <w:docPart w:val="DefaultPlaceholder_-1854013440"/>
          </w:placeholder>
          <w:text/>
        </w:sdtPr>
        <w:sdtContent>
          <w:r w:rsidR="009A38DE">
            <w:rPr>
              <w:rFonts w:ascii="Arial" w:hAnsi="Arial" w:cs="Arial"/>
              <w:b/>
              <w:sz w:val="22"/>
              <w:szCs w:val="22"/>
            </w:rPr>
            <w:t>nebytového prostoru č. 103</w:t>
          </w:r>
          <w:r w:rsidR="001620C0">
            <w:rPr>
              <w:rFonts w:ascii="Arial" w:hAnsi="Arial" w:cs="Arial"/>
              <w:b/>
              <w:sz w:val="22"/>
              <w:szCs w:val="22"/>
            </w:rPr>
            <w:t xml:space="preserve">, Čechova 236/17 Praha 7 </w:t>
          </w:r>
        </w:sdtContent>
      </w:sdt>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r w:rsidR="00696CF6" w:rsidRPr="00A13A9E">
        <w:rPr>
          <w:rFonts w:ascii="Arial" w:hAnsi="Arial" w:cs="Arial"/>
          <w:sz w:val="22"/>
          <w:szCs w:val="22"/>
        </w:rPr>
        <w:t>nabídky – Oznámením</w:t>
      </w:r>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5-08-25T00:00:00Z">
            <w:dateFormat w:val="dd.MM.yyyy"/>
            <w:lid w:val="cs-CZ"/>
            <w:storeMappedDataAs w:val="dateTime"/>
            <w:calendar w:val="gregorian"/>
          </w:date>
        </w:sdtPr>
        <w:sdtContent>
          <w:r w:rsidR="00404BC1">
            <w:rPr>
              <w:rFonts w:ascii="Arial" w:hAnsi="Arial" w:cs="Arial"/>
              <w:sz w:val="22"/>
              <w:szCs w:val="22"/>
            </w:rPr>
            <w:t>25.08.2025</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5-09-02T00:00:00Z">
            <w:dateFormat w:val="dd.MM.yyyy"/>
            <w:lid w:val="cs-CZ"/>
            <w:storeMappedDataAs w:val="dateTime"/>
            <w:calendar w:val="gregorian"/>
          </w:date>
        </w:sdtPr>
        <w:sdtContent>
          <w:r w:rsidR="00604CD1">
            <w:rPr>
              <w:rFonts w:ascii="Arial" w:hAnsi="Arial" w:cs="Arial"/>
              <w:sz w:val="22"/>
              <w:szCs w:val="22"/>
            </w:rPr>
            <w:t>02.09.2025</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6B2F5233"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721C50">
            <w:rPr>
              <w:rFonts w:ascii="Arial" w:hAnsi="Arial" w:cs="Arial"/>
              <w:sz w:val="22"/>
              <w:szCs w:val="22"/>
            </w:rPr>
            <w:t>nebytového prostoru</w:t>
          </w:r>
          <w:r w:rsidR="00293259">
            <w:rPr>
              <w:rFonts w:ascii="Arial" w:hAnsi="Arial" w:cs="Arial"/>
              <w:sz w:val="22"/>
              <w:szCs w:val="22"/>
            </w:rPr>
            <w:t xml:space="preserve"> č. </w:t>
          </w:r>
          <w:r w:rsidR="00721C50">
            <w:rPr>
              <w:rFonts w:ascii="Arial" w:hAnsi="Arial" w:cs="Arial"/>
              <w:sz w:val="22"/>
              <w:szCs w:val="22"/>
            </w:rPr>
            <w:t>103</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1620C0">
            <w:rPr>
              <w:rFonts w:ascii="Arial" w:hAnsi="Arial" w:cs="Arial"/>
              <w:sz w:val="22"/>
              <w:szCs w:val="22"/>
            </w:rPr>
            <w:t>7.</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054B49">
            <w:rPr>
              <w:rFonts w:ascii="Arial" w:hAnsi="Arial" w:cs="Arial"/>
              <w:sz w:val="22"/>
              <w:szCs w:val="22"/>
            </w:rPr>
            <w:t>236</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E450F1">
            <w:rPr>
              <w:rFonts w:ascii="Arial" w:hAnsi="Arial" w:cs="Arial"/>
              <w:sz w:val="22"/>
              <w:szCs w:val="22"/>
            </w:rPr>
            <w:t>Čechova</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973BBB">
            <w:rPr>
              <w:rFonts w:ascii="Arial" w:hAnsi="Arial" w:cs="Arial"/>
              <w:sz w:val="22"/>
              <w:szCs w:val="22"/>
            </w:rPr>
            <w:t>341</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00973BBB">
            <w:rPr>
              <w:rFonts w:ascii="Arial" w:hAnsi="Arial" w:cs="Arial"/>
              <w:sz w:val="22"/>
              <w:szCs w:val="22"/>
            </w:rPr>
            <w:t>Bubeneč</w:t>
          </w:r>
        </w:sdtContent>
      </w:sdt>
      <w:r w:rsidRPr="00BE4E7A">
        <w:rPr>
          <w:rFonts w:ascii="Arial" w:hAnsi="Arial" w:cs="Arial"/>
          <w:sz w:val="22"/>
          <w:szCs w:val="22"/>
        </w:rPr>
        <w:t>, Praha 7 (</w:t>
      </w:r>
      <w:proofErr w:type="spellStart"/>
      <w:sdt>
        <w:sdtPr>
          <w:rPr>
            <w:rFonts w:ascii="Arial" w:hAnsi="Arial" w:cs="Arial"/>
            <w:sz w:val="22"/>
            <w:szCs w:val="22"/>
          </w:rPr>
          <w:id w:val="-521091313"/>
          <w:placeholder>
            <w:docPart w:val="DefaultPlaceholder_-1854013440"/>
          </w:placeholder>
          <w:text/>
        </w:sdtPr>
        <w:sdtContent>
          <w:proofErr w:type="gramStart"/>
          <w:r w:rsidR="00973BBB">
            <w:rPr>
              <w:rFonts w:ascii="Arial" w:hAnsi="Arial" w:cs="Arial"/>
              <w:sz w:val="22"/>
              <w:szCs w:val="22"/>
            </w:rPr>
            <w:t>nebyt.</w:t>
          </w:r>
          <w:r w:rsidRPr="00BE4E7A">
            <w:rPr>
              <w:rFonts w:ascii="Arial" w:hAnsi="Arial" w:cs="Arial"/>
              <w:sz w:val="22"/>
              <w:szCs w:val="22"/>
            </w:rPr>
            <w:t>č</w:t>
          </w:r>
          <w:proofErr w:type="spellEnd"/>
          <w:proofErr w:type="gramEnd"/>
          <w:r w:rsidR="001620C0">
            <w:rPr>
              <w:rFonts w:ascii="Arial" w:hAnsi="Arial" w:cs="Arial"/>
              <w:sz w:val="22"/>
              <w:szCs w:val="22"/>
            </w:rPr>
            <w:t xml:space="preserve"> 236/</w:t>
          </w:r>
          <w:r w:rsidR="00973BBB">
            <w:rPr>
              <w:rFonts w:ascii="Arial" w:hAnsi="Arial" w:cs="Arial"/>
              <w:sz w:val="22"/>
              <w:szCs w:val="22"/>
            </w:rPr>
            <w:t>103</w:t>
          </w:r>
          <w:r w:rsidRPr="00BE4E7A">
            <w:rPr>
              <w:rFonts w:ascii="Arial" w:hAnsi="Arial" w:cs="Arial"/>
              <w:sz w:val="22"/>
              <w:szCs w:val="22"/>
            </w:rPr>
            <w:t xml:space="preserve">. </w:t>
          </w:r>
        </w:sdtContent>
      </w:sdt>
      <w:r w:rsidRPr="00BE4E7A">
        <w:rPr>
          <w:rFonts w:ascii="Arial" w:hAnsi="Arial" w:cs="Arial"/>
          <w:sz w:val="22"/>
          <w:szCs w:val="22"/>
        </w:rPr>
        <w:t>)</w:t>
      </w:r>
      <w:bookmarkEnd w:id="1"/>
      <w:r w:rsidRPr="00BE4E7A">
        <w:rPr>
          <w:rFonts w:ascii="Arial" w:hAnsi="Arial" w:cs="Arial"/>
          <w:sz w:val="22"/>
          <w:szCs w:val="22"/>
        </w:rPr>
        <w:t xml:space="preserve"> a slouží k pronájmu.</w:t>
      </w:r>
    </w:p>
    <w:p w14:paraId="6A8C6337" w14:textId="77AB0F80"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00973BBB">
            <w:rPr>
              <w:rFonts w:ascii="Arial" w:hAnsi="Arial" w:cs="Arial"/>
              <w:sz w:val="22"/>
              <w:szCs w:val="22"/>
            </w:rPr>
            <w:t>nebytového prostoru</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00BD0A83">
            <w:rPr>
              <w:rFonts w:ascii="Arial" w:hAnsi="Arial" w:cs="Arial"/>
              <w:sz w:val="22"/>
              <w:szCs w:val="22"/>
            </w:rPr>
            <w:t xml:space="preserve">osekání </w:t>
          </w:r>
          <w:proofErr w:type="spellStart"/>
          <w:r w:rsidR="00BD0A83">
            <w:rPr>
              <w:rFonts w:ascii="Arial" w:hAnsi="Arial" w:cs="Arial"/>
              <w:sz w:val="22"/>
              <w:szCs w:val="22"/>
            </w:rPr>
            <w:t>nesoudružných</w:t>
          </w:r>
          <w:proofErr w:type="spellEnd"/>
          <w:r w:rsidR="00BD0A83">
            <w:rPr>
              <w:rFonts w:ascii="Arial" w:hAnsi="Arial" w:cs="Arial"/>
              <w:sz w:val="22"/>
              <w:szCs w:val="22"/>
            </w:rPr>
            <w:t xml:space="preserve"> </w:t>
          </w:r>
          <w:proofErr w:type="spellStart"/>
          <w:proofErr w:type="gramStart"/>
          <w:r w:rsidR="00BD0A83">
            <w:rPr>
              <w:rFonts w:ascii="Arial" w:hAnsi="Arial" w:cs="Arial"/>
              <w:sz w:val="22"/>
              <w:szCs w:val="22"/>
            </w:rPr>
            <w:t>omítek,</w:t>
          </w:r>
          <w:r w:rsidR="00E601C8">
            <w:rPr>
              <w:rFonts w:ascii="Arial" w:hAnsi="Arial" w:cs="Arial"/>
              <w:sz w:val="22"/>
              <w:szCs w:val="22"/>
            </w:rPr>
            <w:t>vysekání</w:t>
          </w:r>
          <w:proofErr w:type="spellEnd"/>
          <w:proofErr w:type="gramEnd"/>
          <w:r w:rsidR="00E601C8">
            <w:rPr>
              <w:rFonts w:ascii="Arial" w:hAnsi="Arial" w:cs="Arial"/>
              <w:sz w:val="22"/>
              <w:szCs w:val="22"/>
            </w:rPr>
            <w:t xml:space="preserve"> </w:t>
          </w:r>
          <w:proofErr w:type="gramStart"/>
          <w:r w:rsidR="00E601C8">
            <w:rPr>
              <w:rFonts w:ascii="Arial" w:hAnsi="Arial" w:cs="Arial"/>
              <w:sz w:val="22"/>
              <w:szCs w:val="22"/>
            </w:rPr>
            <w:t>tras  pro</w:t>
          </w:r>
          <w:proofErr w:type="gramEnd"/>
          <w:r w:rsidR="00E601C8">
            <w:rPr>
              <w:rFonts w:ascii="Arial" w:hAnsi="Arial" w:cs="Arial"/>
              <w:sz w:val="22"/>
              <w:szCs w:val="22"/>
            </w:rPr>
            <w:t xml:space="preserve"> silnoproud a slaboproud,</w:t>
          </w:r>
          <w:r w:rsidR="009C0CED">
            <w:rPr>
              <w:rFonts w:ascii="Arial" w:hAnsi="Arial" w:cs="Arial"/>
              <w:sz w:val="22"/>
              <w:szCs w:val="22"/>
            </w:rPr>
            <w:t xml:space="preserve"> demontáž </w:t>
          </w:r>
          <w:proofErr w:type="spellStart"/>
          <w:r w:rsidR="009C0CED">
            <w:rPr>
              <w:rFonts w:ascii="Arial" w:hAnsi="Arial" w:cs="Arial"/>
              <w:sz w:val="22"/>
              <w:szCs w:val="22"/>
            </w:rPr>
            <w:t>stávajicí</w:t>
          </w:r>
          <w:proofErr w:type="spellEnd"/>
          <w:r w:rsidR="009C0CED">
            <w:rPr>
              <w:rFonts w:ascii="Arial" w:hAnsi="Arial" w:cs="Arial"/>
              <w:sz w:val="22"/>
              <w:szCs w:val="22"/>
            </w:rPr>
            <w:t xml:space="preserve"> podlahy a dodání nové podlahy, dodání </w:t>
          </w:r>
          <w:proofErr w:type="spellStart"/>
          <w:r w:rsidR="009C0CED">
            <w:rPr>
              <w:rFonts w:ascii="Arial" w:hAnsi="Arial" w:cs="Arial"/>
              <w:sz w:val="22"/>
              <w:szCs w:val="22"/>
            </w:rPr>
            <w:t>kuchynské</w:t>
          </w:r>
          <w:proofErr w:type="spellEnd"/>
          <w:r w:rsidR="009C0CED">
            <w:rPr>
              <w:rFonts w:ascii="Arial" w:hAnsi="Arial" w:cs="Arial"/>
              <w:sz w:val="22"/>
              <w:szCs w:val="22"/>
            </w:rPr>
            <w:t xml:space="preserve"> linky </w:t>
          </w:r>
          <w:proofErr w:type="spellStart"/>
          <w:proofErr w:type="gramStart"/>
          <w:r w:rsidR="009C0CED">
            <w:rPr>
              <w:rFonts w:ascii="Arial" w:hAnsi="Arial" w:cs="Arial"/>
              <w:sz w:val="22"/>
              <w:szCs w:val="22"/>
            </w:rPr>
            <w:t>nové,</w:t>
          </w:r>
          <w:r w:rsidR="004A1C59">
            <w:rPr>
              <w:rFonts w:ascii="Arial" w:hAnsi="Arial" w:cs="Arial"/>
              <w:sz w:val="22"/>
              <w:szCs w:val="22"/>
            </w:rPr>
            <w:t>vytvoření</w:t>
          </w:r>
          <w:proofErr w:type="spellEnd"/>
          <w:proofErr w:type="gramEnd"/>
          <w:r w:rsidR="004A1C59">
            <w:rPr>
              <w:rFonts w:ascii="Arial" w:hAnsi="Arial" w:cs="Arial"/>
              <w:sz w:val="22"/>
              <w:szCs w:val="22"/>
            </w:rPr>
            <w:t xml:space="preserve"> </w:t>
          </w:r>
          <w:proofErr w:type="spellStart"/>
          <w:r w:rsidR="004A1C59">
            <w:rPr>
              <w:rFonts w:ascii="Arial" w:hAnsi="Arial" w:cs="Arial"/>
              <w:sz w:val="22"/>
              <w:szCs w:val="22"/>
            </w:rPr>
            <w:t>sprchohévo</w:t>
          </w:r>
          <w:proofErr w:type="spellEnd"/>
          <w:r w:rsidR="004A1C59">
            <w:rPr>
              <w:rFonts w:ascii="Arial" w:hAnsi="Arial" w:cs="Arial"/>
              <w:sz w:val="22"/>
              <w:szCs w:val="22"/>
            </w:rPr>
            <w:t xml:space="preserve"> koutu vč. </w:t>
          </w:r>
          <w:r w:rsidR="001620C0">
            <w:rPr>
              <w:rFonts w:ascii="Arial" w:hAnsi="Arial" w:cs="Arial"/>
              <w:sz w:val="22"/>
              <w:szCs w:val="22"/>
            </w:rPr>
            <w:t>z</w:t>
          </w:r>
          <w:r w:rsidR="004A1C59">
            <w:rPr>
              <w:rFonts w:ascii="Arial" w:hAnsi="Arial" w:cs="Arial"/>
              <w:sz w:val="22"/>
              <w:szCs w:val="22"/>
            </w:rPr>
            <w:t>ařizovacích předmětů, komplet výmalba celého prostoru, seřízení a oprava dveří</w:t>
          </w:r>
          <w:r w:rsidR="001620C0">
            <w:rPr>
              <w:rFonts w:ascii="Arial" w:hAnsi="Arial" w:cs="Arial"/>
              <w:sz w:val="22"/>
              <w:szCs w:val="22"/>
            </w:rPr>
            <w:t>.</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63118E84"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6B615C">
            <w:rPr>
              <w:rFonts w:ascii="Arial" w:eastAsia="Calibri" w:hAnsi="Arial" w:cs="Arial"/>
              <w:sz w:val="22"/>
              <w:szCs w:val="22"/>
            </w:rPr>
            <w:t>103</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1620C0">
            <w:rPr>
              <w:rFonts w:ascii="Arial" w:eastAsia="Calibri" w:hAnsi="Arial" w:cs="Arial"/>
              <w:sz w:val="22"/>
              <w:szCs w:val="22"/>
            </w:rPr>
            <w:t>7.</w:t>
          </w:r>
          <w:r w:rsidR="006B615C">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6B615C">
            <w:rPr>
              <w:rFonts w:ascii="Arial" w:eastAsia="Calibri" w:hAnsi="Arial" w:cs="Arial"/>
              <w:sz w:val="22"/>
              <w:szCs w:val="22"/>
            </w:rPr>
            <w:t>231</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6B615C">
            <w:rPr>
              <w:rFonts w:ascii="Arial" w:eastAsia="Calibri" w:hAnsi="Arial" w:cs="Arial"/>
              <w:sz w:val="22"/>
              <w:szCs w:val="22"/>
            </w:rPr>
            <w:t>Čechova</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6B615C">
            <w:rPr>
              <w:rFonts w:ascii="Arial" w:eastAsia="Calibri" w:hAnsi="Arial" w:cs="Arial"/>
              <w:sz w:val="22"/>
              <w:szCs w:val="22"/>
            </w:rPr>
            <w:t>341</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6B615C">
            <w:rPr>
              <w:rFonts w:ascii="Arial" w:eastAsia="Calibri" w:hAnsi="Arial" w:cs="Arial"/>
              <w:sz w:val="22"/>
              <w:szCs w:val="22"/>
            </w:rPr>
            <w:t>Bubeneč</w:t>
          </w:r>
        </w:sdtContent>
      </w:sdt>
      <w:r w:rsidR="00697B56" w:rsidRPr="00697B56">
        <w:rPr>
          <w:rFonts w:ascii="Arial" w:eastAsia="Calibri" w:hAnsi="Arial" w:cs="Arial"/>
          <w:sz w:val="22"/>
          <w:szCs w:val="22"/>
        </w:rPr>
        <w:t>, Praha 7 (</w:t>
      </w:r>
      <w:proofErr w:type="spellStart"/>
      <w:sdt>
        <w:sdtPr>
          <w:rPr>
            <w:rFonts w:ascii="Arial" w:eastAsia="Calibri" w:hAnsi="Arial" w:cs="Arial"/>
            <w:sz w:val="22"/>
            <w:szCs w:val="22"/>
          </w:rPr>
          <w:id w:val="-234560614"/>
          <w:placeholder>
            <w:docPart w:val="DefaultPlaceholder_-1854013440"/>
          </w:placeholder>
          <w:text/>
        </w:sdtPr>
        <w:sdtContent>
          <w:r w:rsidR="006B615C">
            <w:rPr>
              <w:rFonts w:ascii="Arial" w:eastAsia="Calibri" w:hAnsi="Arial" w:cs="Arial"/>
              <w:sz w:val="22"/>
              <w:szCs w:val="22"/>
            </w:rPr>
            <w:t>nebyt</w:t>
          </w:r>
          <w:proofErr w:type="spellEnd"/>
          <w:r w:rsidR="00697B56" w:rsidRPr="00697B56">
            <w:rPr>
              <w:rFonts w:ascii="Arial" w:eastAsia="Calibri" w:hAnsi="Arial" w:cs="Arial"/>
              <w:sz w:val="22"/>
              <w:szCs w:val="22"/>
            </w:rPr>
            <w:t xml:space="preserve"> č. </w:t>
          </w:r>
          <w:r w:rsidR="001620C0">
            <w:rPr>
              <w:rFonts w:ascii="Arial" w:eastAsia="Calibri" w:hAnsi="Arial" w:cs="Arial"/>
              <w:sz w:val="22"/>
              <w:szCs w:val="22"/>
            </w:rPr>
            <w:t>236/</w:t>
          </w:r>
          <w:r w:rsidR="006B615C">
            <w:rPr>
              <w:rFonts w:ascii="Arial" w:eastAsia="Calibri" w:hAnsi="Arial" w:cs="Arial"/>
              <w:sz w:val="22"/>
              <w:szCs w:val="22"/>
            </w:rPr>
            <w:t>103</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lastRenderedPageBreak/>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4F6009F8"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6B615C">
            <w:rPr>
              <w:rFonts w:ascii="Arial" w:hAnsi="Arial" w:cs="Arial"/>
              <w:sz w:val="22"/>
              <w:szCs w:val="22"/>
            </w:rPr>
            <w:t>65</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33954175"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DA45DC">
                  <w:rPr>
                    <w:rFonts w:ascii="Arial" w:hAnsi="Arial" w:cs="Arial"/>
                    <w:b/>
                    <w:bCs/>
                    <w:sz w:val="22"/>
                    <w:szCs w:val="22"/>
                  </w:rPr>
                  <w:t>777</w:t>
                </w:r>
                <w:r w:rsidR="001620C0">
                  <w:rPr>
                    <w:rFonts w:ascii="Arial" w:hAnsi="Arial" w:cs="Arial"/>
                    <w:b/>
                    <w:bCs/>
                    <w:sz w:val="22"/>
                    <w:szCs w:val="22"/>
                  </w:rPr>
                  <w:t xml:space="preserve"> </w:t>
                </w:r>
                <w:r w:rsidR="00DA45DC">
                  <w:rPr>
                    <w:rFonts w:ascii="Arial" w:hAnsi="Arial" w:cs="Arial"/>
                    <w:b/>
                    <w:bCs/>
                    <w:sz w:val="22"/>
                    <w:szCs w:val="22"/>
                  </w:rPr>
                  <w:t>035,37</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291E9628"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7309E3" w:rsidRPr="007309E3">
                  <w:rPr>
                    <w:rFonts w:ascii="Arial" w:hAnsi="Arial" w:cs="Arial"/>
                    <w:b/>
                    <w:bCs/>
                    <w:sz w:val="22"/>
                    <w:szCs w:val="22"/>
                  </w:rPr>
                  <w:t>1</w:t>
                </w:r>
                <w:r w:rsidR="001620C0">
                  <w:rPr>
                    <w:rFonts w:ascii="Arial" w:hAnsi="Arial" w:cs="Arial"/>
                    <w:b/>
                    <w:bCs/>
                    <w:sz w:val="22"/>
                    <w:szCs w:val="22"/>
                  </w:rPr>
                  <w:t>2</w:t>
                </w:r>
              </w:sdtContent>
            </w:sdt>
            <w:r w:rsidR="007309E3" w:rsidRPr="007309E3">
              <w:rPr>
                <w:rFonts w:ascii="Arial" w:hAnsi="Arial" w:cs="Arial"/>
                <w:b/>
                <w:bCs/>
                <w:sz w:val="22"/>
                <w:szCs w:val="22"/>
              </w:rPr>
              <w:t xml:space="preserve"> %</w:t>
            </w:r>
          </w:p>
        </w:tc>
        <w:tc>
          <w:tcPr>
            <w:tcW w:w="3640" w:type="dxa"/>
          </w:tcPr>
          <w:p w14:paraId="3CCF5F34" w14:textId="157354E0"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5A4A89">
                  <w:rPr>
                    <w:rFonts w:ascii="Arial" w:hAnsi="Arial" w:cs="Arial"/>
                    <w:b/>
                    <w:bCs/>
                    <w:sz w:val="22"/>
                    <w:szCs w:val="22"/>
                  </w:rPr>
                  <w:t>93</w:t>
                </w:r>
                <w:r w:rsidR="001620C0">
                  <w:rPr>
                    <w:rFonts w:ascii="Arial" w:hAnsi="Arial" w:cs="Arial"/>
                    <w:b/>
                    <w:bCs/>
                    <w:sz w:val="22"/>
                    <w:szCs w:val="22"/>
                  </w:rPr>
                  <w:t xml:space="preserve"> </w:t>
                </w:r>
                <w:r w:rsidR="005A4A89">
                  <w:rPr>
                    <w:rFonts w:ascii="Arial" w:hAnsi="Arial" w:cs="Arial"/>
                    <w:b/>
                    <w:bCs/>
                    <w:sz w:val="22"/>
                    <w:szCs w:val="22"/>
                  </w:rPr>
                  <w:t>244,24</w:t>
                </w:r>
              </w:sdtContent>
            </w:sdt>
            <w:r w:rsidR="007309E3" w:rsidRPr="00F001FE">
              <w:rPr>
                <w:rFonts w:ascii="Arial" w:hAnsi="Arial" w:cs="Arial"/>
                <w:b/>
                <w:bCs/>
                <w:sz w:val="22"/>
                <w:szCs w:val="22"/>
              </w:rPr>
              <w:t>,- Kč</w:t>
            </w:r>
          </w:p>
        </w:tc>
      </w:tr>
      <w:tr w:rsidR="007309E3" w:rsidRPr="007309E3" w14:paraId="062F64F8" w14:textId="77777777" w:rsidTr="00B8395D">
        <w:tc>
          <w:tcPr>
            <w:tcW w:w="3222"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01"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Pr>
          <w:p w14:paraId="3C683E6B" w14:textId="02883AA8"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7B6EB7">
                  <w:rPr>
                    <w:rFonts w:ascii="Arial" w:hAnsi="Arial" w:cs="Arial"/>
                    <w:b/>
                    <w:bCs/>
                    <w:sz w:val="22"/>
                    <w:szCs w:val="22"/>
                  </w:rPr>
                  <w:t>870</w:t>
                </w:r>
                <w:r w:rsidR="001620C0">
                  <w:rPr>
                    <w:rFonts w:ascii="Arial" w:hAnsi="Arial" w:cs="Arial"/>
                    <w:b/>
                    <w:bCs/>
                    <w:sz w:val="22"/>
                    <w:szCs w:val="22"/>
                  </w:rPr>
                  <w:t xml:space="preserve"> </w:t>
                </w:r>
                <w:r w:rsidR="007B6EB7">
                  <w:rPr>
                    <w:rFonts w:ascii="Arial" w:hAnsi="Arial" w:cs="Arial"/>
                    <w:b/>
                    <w:bCs/>
                    <w:sz w:val="22"/>
                    <w:szCs w:val="22"/>
                  </w:rPr>
                  <w:t>279,6</w:t>
                </w:r>
                <w:r w:rsidR="001620C0">
                  <w:rPr>
                    <w:rFonts w:ascii="Arial" w:hAnsi="Arial" w:cs="Arial"/>
                    <w:b/>
                    <w:bCs/>
                    <w:sz w:val="22"/>
                    <w:szCs w:val="22"/>
                  </w:rPr>
                  <w:t>1</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Cena je podrobně specifikována v nabídkovém rozpočtu (oceněném soupisu stavebních prací, dodávek a služeb), který tvoří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lastRenderedPageBreak/>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55C44D9A" w14:textId="360DCEDC"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r w:rsidR="00B145D6" w:rsidRPr="007A3FF7">
        <w:rPr>
          <w:rFonts w:ascii="Arial" w:hAnsi="Arial" w:cs="Arial"/>
          <w:sz w:val="22"/>
          <w:szCs w:val="22"/>
        </w:rPr>
        <w:t>faktury – daňového</w:t>
      </w:r>
      <w:r w:rsidRPr="00B63F18">
        <w:rPr>
          <w:rFonts w:ascii="Arial" w:hAnsi="Arial" w:cs="Arial"/>
          <w:sz w:val="22"/>
          <w:szCs w:val="22"/>
        </w:rPr>
        <w:t xml:space="preserve"> </w:t>
      </w:r>
      <w:r w:rsidR="00B145D6" w:rsidRPr="00B63F18">
        <w:rPr>
          <w:rFonts w:ascii="Arial" w:hAnsi="Arial" w:cs="Arial"/>
          <w:sz w:val="22"/>
          <w:szCs w:val="22"/>
        </w:rPr>
        <w:t>dokladu – jsou</w:t>
      </w:r>
      <w:r w:rsidRPr="00B63F18">
        <w:rPr>
          <w:rFonts w:ascii="Arial" w:hAnsi="Arial" w:cs="Arial"/>
          <w:sz w:val="22"/>
          <w:szCs w:val="22"/>
        </w:rPr>
        <w:t xml:space="preserve">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w:t>
      </w:r>
      <w:r>
        <w:rPr>
          <w:rFonts w:ascii="Arial" w:hAnsi="Arial" w:cs="Arial"/>
          <w:sz w:val="22"/>
          <w:szCs w:val="22"/>
        </w:rPr>
        <w:t>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 xml:space="preserve">bjednatele k odsouhlasení. </w:t>
      </w:r>
    </w:p>
    <w:p w14:paraId="66E2014F" w14:textId="4AC5B16D"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 xml:space="preserve">jako příloha č. </w:t>
      </w:r>
      <w:r w:rsidR="00696CF6">
        <w:rPr>
          <w:rFonts w:ascii="Arial" w:hAnsi="Arial" w:cs="Arial"/>
          <w:sz w:val="22"/>
          <w:szCs w:val="22"/>
        </w:rPr>
        <w:t>2</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5471C52C"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 xml:space="preserve">počet měrných jednotek celkem (podle přílohy č. </w:t>
      </w:r>
      <w:r w:rsidR="00696CF6">
        <w:rPr>
          <w:rFonts w:ascii="Arial" w:hAnsi="Arial" w:cs="Arial"/>
          <w:sz w:val="22"/>
          <w:szCs w:val="22"/>
        </w:rPr>
        <w:t>2</w:t>
      </w:r>
      <w:r w:rsidRPr="00F51BEA">
        <w:rPr>
          <w:rFonts w:ascii="Arial" w:hAnsi="Arial" w:cs="Arial"/>
          <w:sz w:val="22"/>
          <w:szCs w:val="22"/>
        </w:rPr>
        <w:t>),</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02D897E1"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xml:space="preserve">, který je uveden v příloze č. </w:t>
      </w:r>
      <w:r w:rsidR="00B145D6">
        <w:rPr>
          <w:rFonts w:ascii="Arial" w:hAnsi="Arial" w:cs="Arial"/>
          <w:sz w:val="22"/>
          <w:szCs w:val="22"/>
        </w:rPr>
        <w:t>2</w:t>
      </w:r>
      <w:r>
        <w:rPr>
          <w:rFonts w:ascii="Arial" w:hAnsi="Arial" w:cs="Arial"/>
          <w:sz w:val="22"/>
          <w:szCs w:val="22"/>
        </w:rPr>
        <w:t xml:space="preserve">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lastRenderedPageBreak/>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hotoviteli. Po opravě faktury předloží</w:t>
      </w:r>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předloží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itel přeruší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w:t>
      </w:r>
      <w:r w:rsidRPr="007A3FF7">
        <w:rPr>
          <w:rFonts w:ascii="Arial" w:hAnsi="Arial" w:cs="Arial"/>
          <w:sz w:val="22"/>
          <w:szCs w:val="22"/>
        </w:rPr>
        <w:lastRenderedPageBreak/>
        <w:t>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w:t>
      </w:r>
      <w:r w:rsidRPr="00E268AF">
        <w:rPr>
          <w:rFonts w:ascii="Arial" w:hAnsi="Arial" w:cs="Arial"/>
          <w:sz w:val="22"/>
          <w:szCs w:val="22"/>
        </w:rPr>
        <w:lastRenderedPageBreak/>
        <w:t xml:space="preserve">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lastRenderedPageBreak/>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lastRenderedPageBreak/>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2CE07144"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r w:rsidR="00696CF6" w:rsidRPr="007A3FF7">
        <w:rPr>
          <w:rFonts w:ascii="Arial" w:hAnsi="Arial" w:cs="Arial"/>
          <w:sz w:val="22"/>
          <w:szCs w:val="22"/>
        </w:rPr>
        <w:t>vyzkoušení,</w:t>
      </w:r>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18CAED66"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r w:rsidR="00696CF6" w:rsidRPr="00AE6A4C">
        <w:rPr>
          <w:rFonts w:ascii="Arial" w:hAnsi="Arial" w:cs="Arial"/>
          <w:sz w:val="22"/>
          <w:szCs w:val="22"/>
        </w:rPr>
        <w:t>NOZ předvedena</w:t>
      </w:r>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lastRenderedPageBreak/>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3B2E23F8"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r w:rsidR="00696CF6" w:rsidRPr="003A50B7">
        <w:rPr>
          <w:rFonts w:ascii="Arial" w:hAnsi="Arial" w:cs="Arial"/>
          <w:sz w:val="22"/>
          <w:szCs w:val="22"/>
        </w:rPr>
        <w:t>částích součástích</w:t>
      </w:r>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4B6A8FFF"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r w:rsidR="00696CF6" w:rsidRPr="007A3FF7">
        <w:rPr>
          <w:rFonts w:ascii="Arial" w:hAnsi="Arial" w:cs="Arial"/>
          <w:sz w:val="22"/>
          <w:szCs w:val="22"/>
        </w:rPr>
        <w:t>uvést,</w:t>
      </w:r>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098830F6"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r w:rsidR="00696CF6" w:rsidRPr="00AE6A4C">
        <w:rPr>
          <w:rFonts w:ascii="Arial" w:hAnsi="Arial" w:cs="Arial"/>
          <w:sz w:val="22"/>
          <w:szCs w:val="22"/>
        </w:rPr>
        <w:t>prodlení,</w:t>
      </w:r>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w:t>
      </w:r>
      <w:r w:rsidRPr="00AE6A4C">
        <w:rPr>
          <w:rFonts w:ascii="Arial" w:hAnsi="Arial" w:cs="Arial"/>
          <w:sz w:val="22"/>
          <w:szCs w:val="22"/>
        </w:rPr>
        <w:lastRenderedPageBreak/>
        <w:t>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6B4B8DE6"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r w:rsidR="00696CF6" w:rsidRPr="007A3FF7">
        <w:rPr>
          <w:rFonts w:ascii="Arial" w:hAnsi="Arial" w:cs="Arial"/>
          <w:sz w:val="22"/>
          <w:szCs w:val="22"/>
        </w:rPr>
        <w:t>základě,</w:t>
      </w:r>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05909757"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r w:rsidR="00696CF6" w:rsidRPr="007A3FF7">
        <w:rPr>
          <w:rFonts w:ascii="Arial" w:hAnsi="Arial" w:cs="Arial"/>
          <w:sz w:val="22"/>
          <w:szCs w:val="22"/>
        </w:rPr>
        <w:t>činností,</w:t>
      </w:r>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EA3ADD0" w:rsidR="002902EB" w:rsidRPr="002902EB" w:rsidRDefault="002902EB" w:rsidP="002902EB">
      <w:pPr>
        <w:numPr>
          <w:ilvl w:val="1"/>
          <w:numId w:val="21"/>
        </w:numPr>
        <w:spacing w:after="240"/>
        <w:ind w:left="567" w:hanging="567"/>
        <w:jc w:val="both"/>
        <w:rPr>
          <w:rFonts w:ascii="Arial" w:hAnsi="Arial" w:cs="Arial"/>
          <w:sz w:val="22"/>
          <w:szCs w:val="22"/>
        </w:rPr>
      </w:pPr>
      <w:bookmarkStart w:id="3" w:name="_Hlk189664970"/>
      <w:r w:rsidRPr="002902EB">
        <w:rPr>
          <w:rFonts w:ascii="Arial" w:hAnsi="Arial" w:cs="Arial"/>
          <w:sz w:val="22"/>
          <w:szCs w:val="22"/>
        </w:rPr>
        <w:t xml:space="preserve">Smlouva </w:t>
      </w:r>
      <w:r w:rsidR="00696CF6" w:rsidRPr="002902EB">
        <w:rPr>
          <w:rFonts w:ascii="Arial" w:hAnsi="Arial" w:cs="Arial"/>
          <w:sz w:val="22"/>
          <w:szCs w:val="22"/>
        </w:rPr>
        <w:t>nabývá platnosti</w:t>
      </w:r>
      <w:r w:rsidRPr="002902EB">
        <w:rPr>
          <w:rFonts w:ascii="Arial" w:hAnsi="Arial" w:cs="Arial"/>
          <w:sz w:val="22"/>
          <w:szCs w:val="22"/>
        </w:rPr>
        <w:t xml:space="preserve"> dnem podpisu oběma smluvními stranami </w:t>
      </w:r>
      <w:r w:rsidR="00696CF6" w:rsidRPr="002902EB">
        <w:rPr>
          <w:rFonts w:ascii="Arial" w:hAnsi="Arial" w:cs="Arial"/>
          <w:sz w:val="22"/>
          <w:szCs w:val="22"/>
        </w:rPr>
        <w:t>a účinnosti</w:t>
      </w:r>
      <w:r w:rsidRPr="002902EB">
        <w:rPr>
          <w:rFonts w:ascii="Arial" w:hAnsi="Arial" w:cs="Arial"/>
          <w:sz w:val="22"/>
          <w:szCs w:val="22"/>
        </w:rPr>
        <w:t xml:space="preserve"> dnem uveřejnění v registru smluv dle zák. č. 340/2015 Sb., o zvláštních podmínkách účinnosti </w:t>
      </w:r>
      <w:r w:rsidRPr="002902EB">
        <w:rPr>
          <w:rFonts w:ascii="Arial" w:hAnsi="Arial" w:cs="Arial"/>
          <w:sz w:val="22"/>
          <w:szCs w:val="22"/>
        </w:rPr>
        <w:lastRenderedPageBreak/>
        <w:t xml:space="preserve">některých smluv, uveřejňování těchto smluv a registru smluv, (zákon o registru smluv) v platném znění. </w:t>
      </w:r>
    </w:p>
    <w:p w14:paraId="4B596DF8" w14:textId="7FDEBFA0" w:rsidR="002902EB" w:rsidRPr="002902EB" w:rsidRDefault="002902EB" w:rsidP="002902EB">
      <w:pPr>
        <w:numPr>
          <w:ilvl w:val="1"/>
          <w:numId w:val="21"/>
        </w:numPr>
        <w:spacing w:after="240"/>
        <w:ind w:left="567" w:hanging="567"/>
        <w:jc w:val="both"/>
        <w:rPr>
          <w:rFonts w:ascii="Arial" w:hAnsi="Arial" w:cs="Arial"/>
          <w:sz w:val="22"/>
          <w:szCs w:val="22"/>
        </w:rPr>
      </w:pPr>
      <w:bookmarkStart w:id="4" w:name="_Hlk189665004"/>
      <w:bookmarkEnd w:id="3"/>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sidR="00696CF6">
        <w:rPr>
          <w:rFonts w:ascii="Arial" w:hAnsi="Arial" w:cs="Arial"/>
          <w:sz w:val="22"/>
          <w:szCs w:val="22"/>
        </w:rPr>
        <w:t>Městská část Praha 7</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bookmarkStart w:id="5" w:name="_Hlk189665065"/>
      <w:bookmarkEnd w:id="4"/>
      <w:r w:rsidRPr="002902EB">
        <w:rPr>
          <w:rFonts w:ascii="Arial" w:hAnsi="Arial" w:cs="Arial"/>
          <w:sz w:val="22"/>
          <w:szCs w:val="22"/>
        </w:rPr>
        <w:t>Veškeré změny a doplňky této Smlouvy lze činit pouze písemnou formou vzestupně číslovaných dodatků podepsaných oprávněnými zástupci smluvních stran.</w:t>
      </w:r>
    </w:p>
    <w:bookmarkEnd w:id="5"/>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lastRenderedPageBreak/>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4AE93DF5"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1E4D06">
            <w:rPr>
              <w:rFonts w:ascii="Arial" w:hAnsi="Arial" w:cs="Arial"/>
              <w:sz w:val="22"/>
              <w:szCs w:val="22"/>
            </w:rPr>
            <w:t>XXX</w:t>
          </w:r>
          <w:r w:rsidR="00C1212F" w:rsidRPr="00C1212F">
            <w:rPr>
              <w:rFonts w:ascii="Arial" w:hAnsi="Arial" w:cs="Arial"/>
              <w:sz w:val="22"/>
              <w:szCs w:val="22"/>
            </w:rPr>
            <w:t xml:space="preserve">, e-mail: </w:t>
          </w:r>
          <w:r w:rsidR="001E4D06">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57FE250D"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1E4D06">
            <w:rPr>
              <w:rFonts w:ascii="Arial" w:hAnsi="Arial" w:cs="Arial"/>
              <w:sz w:val="22"/>
              <w:szCs w:val="22"/>
            </w:rPr>
            <w:t>XXX</w:t>
          </w:r>
          <w:r w:rsidR="007B6EB7" w:rsidRPr="007B6EB7">
            <w:rPr>
              <w:rFonts w:ascii="Arial" w:hAnsi="Arial" w:cs="Arial"/>
              <w:sz w:val="22"/>
              <w:szCs w:val="22"/>
            </w:rPr>
            <w:t xml:space="preserve"> 7U s.r.o. tel</w:t>
          </w:r>
          <w:r w:rsidR="0057511A">
            <w:rPr>
              <w:rFonts w:ascii="Arial" w:hAnsi="Arial" w:cs="Arial"/>
              <w:sz w:val="22"/>
              <w:szCs w:val="22"/>
            </w:rPr>
            <w:t>.:</w:t>
          </w:r>
          <w:r w:rsidR="007B6EB7" w:rsidRPr="007B6EB7">
            <w:rPr>
              <w:rFonts w:ascii="Arial" w:hAnsi="Arial" w:cs="Arial"/>
              <w:sz w:val="22"/>
              <w:szCs w:val="22"/>
            </w:rPr>
            <w:t xml:space="preserve"> </w:t>
          </w:r>
          <w:r w:rsidR="001E4D06">
            <w:rPr>
              <w:rFonts w:ascii="Arial" w:hAnsi="Arial" w:cs="Arial"/>
              <w:sz w:val="22"/>
              <w:szCs w:val="22"/>
            </w:rPr>
            <w:t>XXX</w:t>
          </w:r>
          <w:r w:rsidR="007B6EB7" w:rsidRPr="007B6EB7">
            <w:rPr>
              <w:rFonts w:ascii="Arial" w:hAnsi="Arial" w:cs="Arial"/>
              <w:sz w:val="22"/>
              <w:szCs w:val="22"/>
            </w:rPr>
            <w:t xml:space="preserve"> email: </w:t>
          </w:r>
          <w:r w:rsidR="001E4D06">
            <w:rPr>
              <w:rFonts w:ascii="Arial" w:hAnsi="Arial" w:cs="Arial"/>
              <w:sz w:val="22"/>
              <w:szCs w:val="22"/>
            </w:rPr>
            <w:t>XXX</w:t>
          </w:r>
        </w:sdtContent>
      </w:sdt>
      <w:hyperlink r:id="rId9" w:history="1"/>
    </w:p>
    <w:p w14:paraId="5E6E6A53" w14:textId="5AEF7188"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proofErr w:type="gramStart"/>
          <w:r w:rsidR="00AB491C">
            <w:rPr>
              <w:rFonts w:ascii="Arial" w:hAnsi="Arial" w:cs="Arial"/>
              <w:sz w:val="22"/>
              <w:szCs w:val="22"/>
            </w:rPr>
            <w:t>XXX</w:t>
          </w:r>
          <w:r w:rsidR="00B211C4">
            <w:rPr>
              <w:rFonts w:ascii="Arial" w:hAnsi="Arial" w:cs="Arial"/>
              <w:sz w:val="22"/>
              <w:szCs w:val="22"/>
            </w:rPr>
            <w:t xml:space="preserve">  tel.</w:t>
          </w:r>
          <w:proofErr w:type="gramEnd"/>
          <w:r w:rsidR="00B211C4">
            <w:rPr>
              <w:rFonts w:ascii="Arial" w:hAnsi="Arial" w:cs="Arial"/>
              <w:sz w:val="22"/>
              <w:szCs w:val="22"/>
            </w:rPr>
            <w:t>:</w:t>
          </w:r>
          <w:r w:rsidR="00AB491C">
            <w:rPr>
              <w:rFonts w:ascii="Arial" w:hAnsi="Arial" w:cs="Arial"/>
              <w:sz w:val="22"/>
              <w:szCs w:val="22"/>
            </w:rPr>
            <w:t xml:space="preserve"> XXX</w:t>
          </w:r>
          <w:r w:rsidR="00B211C4">
            <w:rPr>
              <w:rFonts w:ascii="Arial" w:hAnsi="Arial" w:cs="Arial"/>
              <w:sz w:val="22"/>
              <w:szCs w:val="22"/>
            </w:rPr>
            <w:t xml:space="preserve"> email: </w:t>
          </w:r>
          <w:r w:rsidR="00AB491C">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B2E5F52"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proofErr w:type="spellStart"/>
          <w:r w:rsidR="00FF259E">
            <w:rPr>
              <w:rFonts w:ascii="Arial" w:hAnsi="Arial" w:cs="Arial"/>
              <w:sz w:val="22"/>
              <w:szCs w:val="22"/>
            </w:rPr>
            <w:t>Ing.Daniel</w:t>
          </w:r>
          <w:proofErr w:type="spellEnd"/>
          <w:r w:rsidR="00FF259E">
            <w:rPr>
              <w:rFonts w:ascii="Arial" w:hAnsi="Arial" w:cs="Arial"/>
              <w:sz w:val="22"/>
              <w:szCs w:val="22"/>
            </w:rPr>
            <w:t xml:space="preserve"> </w:t>
          </w:r>
          <w:proofErr w:type="gramStart"/>
          <w:r w:rsidR="00FF259E">
            <w:rPr>
              <w:rFonts w:ascii="Arial" w:hAnsi="Arial" w:cs="Arial"/>
              <w:sz w:val="22"/>
              <w:szCs w:val="22"/>
            </w:rPr>
            <w:t>Šindelář  tel</w:t>
          </w:r>
          <w:proofErr w:type="gramEnd"/>
          <w:r w:rsidR="00FF259E">
            <w:rPr>
              <w:rFonts w:ascii="Arial" w:hAnsi="Arial" w:cs="Arial"/>
              <w:sz w:val="22"/>
              <w:szCs w:val="22"/>
            </w:rPr>
            <w:t>:</w:t>
          </w:r>
          <w:r w:rsidR="00AB491C">
            <w:rPr>
              <w:rFonts w:ascii="Arial" w:hAnsi="Arial" w:cs="Arial"/>
              <w:sz w:val="22"/>
              <w:szCs w:val="22"/>
            </w:rPr>
            <w:t xml:space="preserve"> XXX</w:t>
          </w:r>
          <w:r w:rsidR="00FF259E">
            <w:rPr>
              <w:rFonts w:ascii="Arial" w:hAnsi="Arial" w:cs="Arial"/>
              <w:sz w:val="22"/>
              <w:szCs w:val="22"/>
            </w:rPr>
            <w:t xml:space="preserve"> email:</w:t>
          </w:r>
          <w:r w:rsidR="00AB491C">
            <w:rPr>
              <w:rFonts w:ascii="Arial" w:hAnsi="Arial" w:cs="Arial"/>
              <w:sz w:val="22"/>
              <w:szCs w:val="22"/>
            </w:rPr>
            <w:t xml:space="preserve"> 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793DCD15"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proofErr w:type="spellStart"/>
          <w:r w:rsidR="00FF259E" w:rsidRPr="004E15B2">
            <w:rPr>
              <w:rFonts w:ascii="Arial" w:hAnsi="Arial" w:cs="Arial"/>
              <w:sz w:val="22"/>
              <w:szCs w:val="22"/>
            </w:rPr>
            <w:t>Ing.Daniel</w:t>
          </w:r>
          <w:proofErr w:type="spellEnd"/>
          <w:r w:rsidR="00FF259E" w:rsidRPr="004E15B2">
            <w:rPr>
              <w:rFonts w:ascii="Arial" w:hAnsi="Arial" w:cs="Arial"/>
              <w:sz w:val="22"/>
              <w:szCs w:val="22"/>
            </w:rPr>
            <w:t xml:space="preserve"> </w:t>
          </w:r>
          <w:proofErr w:type="gramStart"/>
          <w:r w:rsidR="00FF259E" w:rsidRPr="004E15B2">
            <w:rPr>
              <w:rFonts w:ascii="Arial" w:hAnsi="Arial" w:cs="Arial"/>
              <w:sz w:val="22"/>
              <w:szCs w:val="22"/>
            </w:rPr>
            <w:t>Šindelář  tel</w:t>
          </w:r>
          <w:proofErr w:type="gramEnd"/>
          <w:r w:rsidR="00FF259E" w:rsidRPr="004E15B2">
            <w:rPr>
              <w:rFonts w:ascii="Arial" w:hAnsi="Arial" w:cs="Arial"/>
              <w:sz w:val="22"/>
              <w:szCs w:val="22"/>
            </w:rPr>
            <w:t>:</w:t>
          </w:r>
          <w:r w:rsidR="00AB491C">
            <w:rPr>
              <w:rFonts w:ascii="Arial" w:hAnsi="Arial" w:cs="Arial"/>
              <w:sz w:val="22"/>
              <w:szCs w:val="22"/>
            </w:rPr>
            <w:t xml:space="preserve"> XXX</w:t>
          </w:r>
          <w:r w:rsidR="00FF259E" w:rsidRPr="004E15B2">
            <w:rPr>
              <w:rFonts w:ascii="Arial" w:hAnsi="Arial" w:cs="Arial"/>
              <w:sz w:val="22"/>
              <w:szCs w:val="22"/>
            </w:rPr>
            <w:t xml:space="preserve"> email:</w:t>
          </w:r>
          <w:r w:rsidR="00AB491C">
            <w:rPr>
              <w:rFonts w:ascii="Arial" w:hAnsi="Arial" w:cs="Arial"/>
              <w:sz w:val="22"/>
              <w:szCs w:val="22"/>
            </w:rPr>
            <w:t xml:space="preserve"> 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0C3B371D"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r w:rsidR="00696CF6" w:rsidRPr="002902EB">
        <w:rPr>
          <w:rFonts w:ascii="Arial" w:hAnsi="Arial" w:cs="Arial"/>
          <w:sz w:val="22"/>
          <w:szCs w:val="22"/>
        </w:rPr>
        <w:t>zpracovatel je</w:t>
      </w:r>
      <w:r w:rsidRPr="002902EB">
        <w:rPr>
          <w:rFonts w:ascii="Arial" w:hAnsi="Arial" w:cs="Arial"/>
          <w:sz w:val="22"/>
          <w:szCs w:val="22"/>
        </w:rPr>
        <w:t xml:space="preserve"> oprávněn ke zpracování osobních údajů zaměstnanců Zhotovitele (správce), a to identifikační </w:t>
      </w:r>
      <w:proofErr w:type="gramStart"/>
      <w:r w:rsidRPr="002902EB">
        <w:rPr>
          <w:rFonts w:ascii="Arial" w:hAnsi="Arial" w:cs="Arial"/>
          <w:sz w:val="22"/>
          <w:szCs w:val="22"/>
        </w:rPr>
        <w:t>údaje - jméno</w:t>
      </w:r>
      <w:proofErr w:type="gramEnd"/>
      <w:r w:rsidRPr="002902EB">
        <w:rPr>
          <w:rFonts w:ascii="Arial" w:hAnsi="Arial" w:cs="Arial"/>
          <w:sz w:val="22"/>
          <w:szCs w:val="22"/>
        </w:rPr>
        <w:t xml:space="preserve">, příjmení, kontaktní údaje, a </w:t>
      </w:r>
      <w:r w:rsidR="00696CF6" w:rsidRPr="002902EB">
        <w:rPr>
          <w:rFonts w:ascii="Arial" w:hAnsi="Arial" w:cs="Arial"/>
          <w:sz w:val="22"/>
          <w:szCs w:val="22"/>
        </w:rPr>
        <w:t>to kontaktní</w:t>
      </w:r>
      <w:r w:rsidRPr="002902EB">
        <w:rPr>
          <w:rFonts w:ascii="Arial" w:hAnsi="Arial" w:cs="Arial"/>
          <w:sz w:val="22"/>
          <w:szCs w:val="22"/>
        </w:rPr>
        <w:t xml:space="preserve">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osobních údajů po dobu 10 let od ukončení zadávacího řízení nebo od změny závazku ze Smlouvy na veřejnou zakázku. V souladu </w:t>
      </w:r>
      <w:r w:rsidR="00696CF6" w:rsidRPr="002902EB">
        <w:rPr>
          <w:rFonts w:ascii="Arial" w:hAnsi="Arial" w:cs="Arial"/>
          <w:sz w:val="22"/>
          <w:szCs w:val="22"/>
        </w:rPr>
        <w:t>s §</w:t>
      </w:r>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52F4B1B3"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r w:rsidR="00696CF6" w:rsidRPr="002902EB">
        <w:rPr>
          <w:rFonts w:ascii="Arial" w:hAnsi="Arial" w:cs="Arial"/>
          <w:sz w:val="22"/>
          <w:szCs w:val="22"/>
        </w:rPr>
        <w:t>strany souhlasí</w:t>
      </w:r>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w:t>
      </w:r>
      <w:proofErr w:type="gramStart"/>
      <w:r w:rsidRPr="002902EB">
        <w:rPr>
          <w:rFonts w:ascii="Arial" w:hAnsi="Arial" w:cs="Arial"/>
          <w:sz w:val="22"/>
          <w:szCs w:val="22"/>
        </w:rPr>
        <w:t>znění  a</w:t>
      </w:r>
      <w:proofErr w:type="gramEnd"/>
      <w:r w:rsidRPr="002902EB">
        <w:rPr>
          <w:rFonts w:ascii="Arial" w:hAnsi="Arial" w:cs="Arial"/>
          <w:sz w:val="22"/>
          <w:szCs w:val="22"/>
        </w:rPr>
        <w:t xml:space="preserve">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lastRenderedPageBreak/>
        <w:t>Přílohy, které tvoří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2F63F34D"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5-09-18T00:00:00Z">
            <w:dateFormat w:val="dd.MM.yyyy"/>
            <w:lid w:val="cs-CZ"/>
            <w:storeMappedDataAs w:val="dateTime"/>
            <w:calendar w:val="gregorian"/>
          </w:date>
        </w:sdtPr>
        <w:sdtContent>
          <w:r w:rsidR="00174DAE">
            <w:rPr>
              <w:rFonts w:ascii="Arial" w:hAnsi="Arial" w:cs="Arial"/>
              <w:sz w:val="22"/>
              <w:szCs w:val="22"/>
            </w:rPr>
            <w:t>18.09.2025</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25-09-16T00:00:00Z">
            <w:dateFormat w:val="dd.MM.yyyy"/>
            <w:lid w:val="cs-CZ"/>
            <w:storeMappedDataAs w:val="dateTime"/>
            <w:calendar w:val="gregorian"/>
          </w:date>
        </w:sdtPr>
        <w:sdtContent>
          <w:r w:rsidR="00174DAE">
            <w:rPr>
              <w:rFonts w:ascii="Arial" w:hAnsi="Arial" w:cs="Arial"/>
              <w:sz w:val="22"/>
              <w:szCs w:val="22"/>
            </w:rPr>
            <w:t>16.09.2025</w:t>
          </w:r>
        </w:sdtContent>
      </w:sdt>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5C66B2A2" w:rsidR="007233C6" w:rsidRPr="007A3FF7" w:rsidRDefault="004A1EC3"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2FF7F412"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proofErr w:type="spellStart"/>
          <w:r w:rsidR="00FF259E">
            <w:rPr>
              <w:rFonts w:ascii="Arial" w:hAnsi="Arial" w:cs="Arial"/>
              <w:b/>
              <w:sz w:val="22"/>
              <w:szCs w:val="22"/>
            </w:rPr>
            <w:t>Artibastav</w:t>
          </w:r>
          <w:proofErr w:type="spellEnd"/>
          <w:r w:rsidR="00FF259E">
            <w:rPr>
              <w:rFonts w:ascii="Arial" w:hAnsi="Arial" w:cs="Arial"/>
              <w:b/>
              <w:sz w:val="22"/>
              <w:szCs w:val="22"/>
            </w:rPr>
            <w:t xml:space="preserve"> s.r.o.</w:t>
          </w:r>
        </w:sdtContent>
      </w:sdt>
    </w:p>
    <w:p w14:paraId="5A1DF6AD" w14:textId="1315BF0F"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FF259E">
            <w:rPr>
              <w:rFonts w:ascii="Arial" w:hAnsi="Arial" w:cs="Arial"/>
              <w:sz w:val="22"/>
              <w:szCs w:val="22"/>
            </w:rPr>
            <w:t>Ing. Daniel Šindelář</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7CB6" w14:textId="77777777" w:rsidR="00FC0B0B" w:rsidRDefault="00FC0B0B">
      <w:r>
        <w:separator/>
      </w:r>
    </w:p>
  </w:endnote>
  <w:endnote w:type="continuationSeparator" w:id="0">
    <w:p w14:paraId="7E3082D5" w14:textId="77777777" w:rsidR="00FC0B0B" w:rsidRDefault="00FC0B0B">
      <w:r>
        <w:continuationSeparator/>
      </w:r>
    </w:p>
  </w:endnote>
  <w:endnote w:type="continuationNotice" w:id="1">
    <w:p w14:paraId="04CBB4E2" w14:textId="77777777" w:rsidR="00FC0B0B" w:rsidRDefault="00FC0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F3CBB" w14:textId="77777777" w:rsidR="00FC0B0B" w:rsidRDefault="00FC0B0B">
      <w:r>
        <w:separator/>
      </w:r>
    </w:p>
  </w:footnote>
  <w:footnote w:type="continuationSeparator" w:id="0">
    <w:p w14:paraId="07BF9674" w14:textId="77777777" w:rsidR="00FC0B0B" w:rsidRDefault="00FC0B0B">
      <w:r>
        <w:continuationSeparator/>
      </w:r>
    </w:p>
  </w:footnote>
  <w:footnote w:type="continuationNotice" w:id="1">
    <w:p w14:paraId="5F12B248" w14:textId="77777777" w:rsidR="00FC0B0B" w:rsidRDefault="00FC0B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ocumentProtection w:edit="forms" w:enforcement="1" w:cryptProviderType="rsaAES" w:cryptAlgorithmClass="hash" w:cryptAlgorithmType="typeAny" w:cryptAlgorithmSid="14" w:cryptSpinCount="100000" w:hash="PVaq2Nm+1z8//HbcNPz2yZ/i7tjRXrkDe5rwQe7nEO8jDJh4gbRrBiJO3L366f3Sko0AudzKT56oBJirkkENFQ==" w:salt="IvW5p6sicEAeOHztkDLjdQ=="/>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163E7"/>
    <w:rsid w:val="00024AA9"/>
    <w:rsid w:val="00025EAE"/>
    <w:rsid w:val="00026422"/>
    <w:rsid w:val="00032A13"/>
    <w:rsid w:val="00033591"/>
    <w:rsid w:val="00034B06"/>
    <w:rsid w:val="00037CF5"/>
    <w:rsid w:val="00043367"/>
    <w:rsid w:val="000530D1"/>
    <w:rsid w:val="0005395F"/>
    <w:rsid w:val="000548CA"/>
    <w:rsid w:val="00054B49"/>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D7E04"/>
    <w:rsid w:val="000E0391"/>
    <w:rsid w:val="000E4ED2"/>
    <w:rsid w:val="000E525C"/>
    <w:rsid w:val="000F7464"/>
    <w:rsid w:val="000F760E"/>
    <w:rsid w:val="001003F7"/>
    <w:rsid w:val="00100FDA"/>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20C0"/>
    <w:rsid w:val="00164184"/>
    <w:rsid w:val="00165C48"/>
    <w:rsid w:val="00165EE7"/>
    <w:rsid w:val="00166292"/>
    <w:rsid w:val="001666EE"/>
    <w:rsid w:val="001672CE"/>
    <w:rsid w:val="0017079D"/>
    <w:rsid w:val="00172C55"/>
    <w:rsid w:val="00174DAE"/>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4D06"/>
    <w:rsid w:val="001E65B7"/>
    <w:rsid w:val="001F1A73"/>
    <w:rsid w:val="001F258C"/>
    <w:rsid w:val="001F2D63"/>
    <w:rsid w:val="001F6023"/>
    <w:rsid w:val="001F70EC"/>
    <w:rsid w:val="001F71B8"/>
    <w:rsid w:val="0020031E"/>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2EB"/>
    <w:rsid w:val="00293259"/>
    <w:rsid w:val="002941D7"/>
    <w:rsid w:val="0029709B"/>
    <w:rsid w:val="002974CB"/>
    <w:rsid w:val="002A09B9"/>
    <w:rsid w:val="002A0C69"/>
    <w:rsid w:val="002A0DC8"/>
    <w:rsid w:val="002A2521"/>
    <w:rsid w:val="002A2691"/>
    <w:rsid w:val="002A71F9"/>
    <w:rsid w:val="002C2146"/>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0CC"/>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3F746A"/>
    <w:rsid w:val="0040323C"/>
    <w:rsid w:val="00404BC1"/>
    <w:rsid w:val="00406BAB"/>
    <w:rsid w:val="004119E3"/>
    <w:rsid w:val="00413CA6"/>
    <w:rsid w:val="004149A9"/>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1C59"/>
    <w:rsid w:val="004A1EC3"/>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36AEC"/>
    <w:rsid w:val="00545454"/>
    <w:rsid w:val="00547FA7"/>
    <w:rsid w:val="00550116"/>
    <w:rsid w:val="0055177C"/>
    <w:rsid w:val="00551B58"/>
    <w:rsid w:val="00556899"/>
    <w:rsid w:val="0055797A"/>
    <w:rsid w:val="00565D6E"/>
    <w:rsid w:val="0056660E"/>
    <w:rsid w:val="00567AC3"/>
    <w:rsid w:val="00567C58"/>
    <w:rsid w:val="00567D9C"/>
    <w:rsid w:val="00570F92"/>
    <w:rsid w:val="005747B8"/>
    <w:rsid w:val="0057511A"/>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4A89"/>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CD1"/>
    <w:rsid w:val="00604EF4"/>
    <w:rsid w:val="0060726B"/>
    <w:rsid w:val="00610FD4"/>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6CF6"/>
    <w:rsid w:val="00697B56"/>
    <w:rsid w:val="006A2B68"/>
    <w:rsid w:val="006A7B8D"/>
    <w:rsid w:val="006B2308"/>
    <w:rsid w:val="006B2510"/>
    <w:rsid w:val="006B615C"/>
    <w:rsid w:val="006B61C3"/>
    <w:rsid w:val="006B672C"/>
    <w:rsid w:val="006C07F7"/>
    <w:rsid w:val="006C08C2"/>
    <w:rsid w:val="006C0D58"/>
    <w:rsid w:val="006C1675"/>
    <w:rsid w:val="006C2A4B"/>
    <w:rsid w:val="006C5A0A"/>
    <w:rsid w:val="006C70A8"/>
    <w:rsid w:val="006C76E2"/>
    <w:rsid w:val="006D2EEA"/>
    <w:rsid w:val="006E017A"/>
    <w:rsid w:val="006E28F9"/>
    <w:rsid w:val="006E514B"/>
    <w:rsid w:val="006E679F"/>
    <w:rsid w:val="006F2960"/>
    <w:rsid w:val="006F5147"/>
    <w:rsid w:val="006F5988"/>
    <w:rsid w:val="006F7E9E"/>
    <w:rsid w:val="00702E95"/>
    <w:rsid w:val="00705455"/>
    <w:rsid w:val="007062EE"/>
    <w:rsid w:val="0070772A"/>
    <w:rsid w:val="00711EE5"/>
    <w:rsid w:val="0071272F"/>
    <w:rsid w:val="00717D1B"/>
    <w:rsid w:val="00720C50"/>
    <w:rsid w:val="00721708"/>
    <w:rsid w:val="00721C50"/>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B6EB7"/>
    <w:rsid w:val="007C0E61"/>
    <w:rsid w:val="007C1978"/>
    <w:rsid w:val="007C2CE8"/>
    <w:rsid w:val="007C392D"/>
    <w:rsid w:val="007C4802"/>
    <w:rsid w:val="007C56F8"/>
    <w:rsid w:val="007C5B2D"/>
    <w:rsid w:val="007C62D0"/>
    <w:rsid w:val="007D007A"/>
    <w:rsid w:val="007D1423"/>
    <w:rsid w:val="007E05DE"/>
    <w:rsid w:val="007E2C59"/>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21D6"/>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3BBB"/>
    <w:rsid w:val="00974A45"/>
    <w:rsid w:val="00977B22"/>
    <w:rsid w:val="00983799"/>
    <w:rsid w:val="00991F1E"/>
    <w:rsid w:val="009937BA"/>
    <w:rsid w:val="00995332"/>
    <w:rsid w:val="0099576D"/>
    <w:rsid w:val="00996938"/>
    <w:rsid w:val="009A0BFF"/>
    <w:rsid w:val="009A38DE"/>
    <w:rsid w:val="009A54E5"/>
    <w:rsid w:val="009B2CD3"/>
    <w:rsid w:val="009B3917"/>
    <w:rsid w:val="009B7AA7"/>
    <w:rsid w:val="009C0CED"/>
    <w:rsid w:val="009C108F"/>
    <w:rsid w:val="009C35F5"/>
    <w:rsid w:val="009C45AA"/>
    <w:rsid w:val="009C5603"/>
    <w:rsid w:val="009D3E1A"/>
    <w:rsid w:val="009D5380"/>
    <w:rsid w:val="009D66C2"/>
    <w:rsid w:val="009E0850"/>
    <w:rsid w:val="009E11ED"/>
    <w:rsid w:val="009E5A4F"/>
    <w:rsid w:val="009F1322"/>
    <w:rsid w:val="009F454F"/>
    <w:rsid w:val="009F484E"/>
    <w:rsid w:val="009F67DD"/>
    <w:rsid w:val="009F68DA"/>
    <w:rsid w:val="00A012BC"/>
    <w:rsid w:val="00A01F03"/>
    <w:rsid w:val="00A03BCF"/>
    <w:rsid w:val="00A04D88"/>
    <w:rsid w:val="00A05837"/>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430D"/>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491C"/>
    <w:rsid w:val="00AB5377"/>
    <w:rsid w:val="00AC0A60"/>
    <w:rsid w:val="00AC0AB1"/>
    <w:rsid w:val="00AC2178"/>
    <w:rsid w:val="00AC6117"/>
    <w:rsid w:val="00AC6492"/>
    <w:rsid w:val="00AD091C"/>
    <w:rsid w:val="00AD59EC"/>
    <w:rsid w:val="00AE3690"/>
    <w:rsid w:val="00AE6A4C"/>
    <w:rsid w:val="00AF0454"/>
    <w:rsid w:val="00AF2553"/>
    <w:rsid w:val="00AF4F00"/>
    <w:rsid w:val="00B01E65"/>
    <w:rsid w:val="00B02601"/>
    <w:rsid w:val="00B03143"/>
    <w:rsid w:val="00B145D6"/>
    <w:rsid w:val="00B16296"/>
    <w:rsid w:val="00B2003C"/>
    <w:rsid w:val="00B211C4"/>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395D"/>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0A83"/>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A45DC"/>
    <w:rsid w:val="00DB2C43"/>
    <w:rsid w:val="00DB3599"/>
    <w:rsid w:val="00DC4444"/>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CAC"/>
    <w:rsid w:val="00E268AF"/>
    <w:rsid w:val="00E26FF9"/>
    <w:rsid w:val="00E4231E"/>
    <w:rsid w:val="00E450F1"/>
    <w:rsid w:val="00E52FD4"/>
    <w:rsid w:val="00E53741"/>
    <w:rsid w:val="00E54A8C"/>
    <w:rsid w:val="00E567CD"/>
    <w:rsid w:val="00E57FE4"/>
    <w:rsid w:val="00E601C8"/>
    <w:rsid w:val="00E606E9"/>
    <w:rsid w:val="00E6433B"/>
    <w:rsid w:val="00E6522A"/>
    <w:rsid w:val="00E71542"/>
    <w:rsid w:val="00E86DEC"/>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C0B0B"/>
    <w:rsid w:val="00FD502C"/>
    <w:rsid w:val="00FE0733"/>
    <w:rsid w:val="00FE17BD"/>
    <w:rsid w:val="00FE305E"/>
    <w:rsid w:val="00FE61F0"/>
    <w:rsid w:val="00FF035E"/>
    <w:rsid w:val="00FF259E"/>
    <w:rsid w:val="00FF41E3"/>
    <w:rsid w:val="00FF55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20031E"/>
    <w:rsid w:val="003610CC"/>
    <w:rsid w:val="00536AEC"/>
    <w:rsid w:val="00747AB9"/>
    <w:rsid w:val="007E2C59"/>
    <w:rsid w:val="0083643B"/>
    <w:rsid w:val="008A02B8"/>
    <w:rsid w:val="00A8430D"/>
    <w:rsid w:val="00DC4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customXml/itemProps2.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6383</Words>
  <Characters>37661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2025-09-08T19:39:00Z</dcterms:created>
  <dcterms:modified xsi:type="dcterms:W3CDTF">2025-09-18T12:23:00Z</dcterms:modified>
</cp:coreProperties>
</file>