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65533545" name="Picture">
</wp:docPr>
                  <a:graphic>
                    <a:graphicData uri="http://schemas.openxmlformats.org/drawingml/2006/picture">
                      <pic:pic>
                        <pic:nvPicPr>
                          <pic:cNvPr id="365533545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0025030060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25030060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82972959" name="Picture">
</wp:docPr>
                  <a:graphic>
                    <a:graphicData uri="http://schemas.openxmlformats.org/drawingml/2006/picture">
                      <pic:pic>
                        <pic:nvPicPr>
                          <pic:cNvPr id="882972959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Ossila B.V.</w:t>
              <w:br/>
              <w:t xml:space="preserve">Leiden BioScience Park,BioPartner 3</w:t>
              <w:br/>
              <w:t xml:space="preserve">Galileïweg 8</w:t>
              <w:br/>
              <w:t xml:space="preserve">2333 BD Leiden</w:t>
              <w:br/>
              <w:t xml:space="preserve">Nizozemsko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863097182B01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30.09.2025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Institute of Inorganic Chemistry of the Czech Academy of Sciences, Husinec - Rez 1001, Building 273, 250 68  Husinec - Rez, Czech Republic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Invoice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FedEx, DHL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Dip Coater - EU plug, L2006A2-EU, HS: 8443194000 according to the Quote no.: Q-SO-NL-012599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pcs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2 300,00 EUR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2 300,00 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2 300,00 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17.09.2025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742501 \ 120 \ 410240 Kirakci \ 0410   Deník: 3 \ Neinvestice - zahraniční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