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3EC1" w14:textId="77777777" w:rsidR="0009727C" w:rsidRDefault="009E05E8">
      <w:pPr>
        <w:pStyle w:val="Nadpis1"/>
        <w:spacing w:before="41"/>
        <w:ind w:right="3345"/>
      </w:pPr>
      <w:r>
        <w:t>Dodatek č. 1 ke Smlouvě</w:t>
      </w:r>
    </w:p>
    <w:p w14:paraId="03883EC2" w14:textId="77777777" w:rsidR="0009727C" w:rsidRDefault="009E05E8">
      <w:pPr>
        <w:spacing w:line="341" w:lineRule="exact"/>
        <w:ind w:left="337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3883EC3" w14:textId="77777777" w:rsidR="0009727C" w:rsidRDefault="009E05E8">
      <w:pPr>
        <w:pStyle w:val="Zkladntext"/>
        <w:spacing w:before="148"/>
        <w:ind w:left="3370" w:right="3344"/>
        <w:jc w:val="center"/>
      </w:pPr>
      <w:r>
        <w:t>(dále jen „Dodatek“)</w:t>
      </w:r>
    </w:p>
    <w:p w14:paraId="03883EC4" w14:textId="77777777" w:rsidR="0009727C" w:rsidRDefault="0009727C">
      <w:pPr>
        <w:pStyle w:val="Zkladntext"/>
        <w:rPr>
          <w:sz w:val="20"/>
        </w:rPr>
      </w:pPr>
    </w:p>
    <w:p w14:paraId="03883EC5" w14:textId="77777777" w:rsidR="0009727C" w:rsidRDefault="0009727C">
      <w:pPr>
        <w:pStyle w:val="Zkladntext"/>
        <w:spacing w:before="9"/>
        <w:rPr>
          <w:sz w:val="21"/>
        </w:rPr>
      </w:pPr>
    </w:p>
    <w:p w14:paraId="03883EC6" w14:textId="77777777" w:rsidR="0009727C" w:rsidRDefault="009E05E8">
      <w:pPr>
        <w:pStyle w:val="Nadpis2"/>
        <w:spacing w:before="52"/>
      </w:pPr>
      <w:r>
        <w:rPr>
          <w:u w:val="single"/>
        </w:rPr>
        <w:t>Poskytovatel podpory:</w:t>
      </w:r>
    </w:p>
    <w:p w14:paraId="03883EC7" w14:textId="77777777" w:rsidR="0009727C" w:rsidRDefault="0009727C">
      <w:pPr>
        <w:pStyle w:val="Zkladntext"/>
        <w:spacing w:before="9"/>
        <w:rPr>
          <w:b/>
          <w:sz w:val="19"/>
        </w:rPr>
      </w:pPr>
    </w:p>
    <w:p w14:paraId="03883EC8" w14:textId="77777777" w:rsidR="0009727C" w:rsidRDefault="009E05E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3883EC9" w14:textId="77777777" w:rsidR="0009727C" w:rsidRDefault="009E05E8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3883ECA" w14:textId="77777777" w:rsidR="0009727C" w:rsidRDefault="009E05E8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03883ECB" w14:textId="77777777" w:rsidR="0009727C" w:rsidRDefault="009E05E8">
      <w:pPr>
        <w:pStyle w:val="Zkladntext"/>
        <w:ind w:left="138"/>
      </w:pPr>
      <w:r>
        <w:t>Zastoupený (na základě</w:t>
      </w:r>
    </w:p>
    <w:p w14:paraId="03883ECC" w14:textId="77777777" w:rsidR="0009727C" w:rsidRDefault="009E05E8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03883ECD" w14:textId="7AE0F79A" w:rsidR="0009727C" w:rsidRDefault="009E05E8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08094F">
        <w:rPr>
          <w:sz w:val="24"/>
        </w:rPr>
        <w:t>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3883ECE" w14:textId="77777777" w:rsidR="0009727C" w:rsidRDefault="0009727C">
      <w:pPr>
        <w:pStyle w:val="Zkladntext"/>
      </w:pPr>
    </w:p>
    <w:p w14:paraId="03883ECF" w14:textId="77777777" w:rsidR="0009727C" w:rsidRDefault="0009727C">
      <w:pPr>
        <w:pStyle w:val="Zkladntext"/>
        <w:spacing w:before="2"/>
      </w:pPr>
    </w:p>
    <w:p w14:paraId="03883ED0" w14:textId="77777777" w:rsidR="0009727C" w:rsidRDefault="009E05E8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3883ED1" w14:textId="77777777" w:rsidR="0009727C" w:rsidRDefault="0009727C">
      <w:pPr>
        <w:pStyle w:val="Zkladntext"/>
        <w:spacing w:before="9"/>
        <w:rPr>
          <w:b/>
          <w:sz w:val="19"/>
        </w:rPr>
      </w:pPr>
    </w:p>
    <w:p w14:paraId="03883ED2" w14:textId="77777777" w:rsidR="0009727C" w:rsidRDefault="009E05E8">
      <w:pPr>
        <w:pStyle w:val="Zkladntext"/>
        <w:tabs>
          <w:tab w:val="left" w:pos="3679"/>
        </w:tabs>
        <w:spacing w:before="52"/>
        <w:ind w:left="194"/>
      </w:pPr>
      <w:r>
        <w:t>Název:</w:t>
      </w:r>
      <w:r>
        <w:tab/>
        <w:t xml:space="preserve">Urszula </w:t>
      </w:r>
      <w:proofErr w:type="spellStart"/>
      <w:r>
        <w:t>Kurzyszová</w:t>
      </w:r>
      <w:proofErr w:type="spellEnd"/>
    </w:p>
    <w:p w14:paraId="03883ED3" w14:textId="77777777" w:rsidR="0009727C" w:rsidRDefault="009E05E8">
      <w:pPr>
        <w:pStyle w:val="Zkladntext"/>
        <w:tabs>
          <w:tab w:val="left" w:pos="3679"/>
        </w:tabs>
        <w:ind w:left="138"/>
      </w:pPr>
      <w:r>
        <w:t>Sídlo:</w:t>
      </w:r>
      <w:r>
        <w:tab/>
        <w:t>Písek 47, Písek,</w:t>
      </w:r>
      <w:r>
        <w:rPr>
          <w:spacing w:val="-4"/>
        </w:rPr>
        <w:t xml:space="preserve"> </w:t>
      </w:r>
      <w:r>
        <w:t>73984</w:t>
      </w:r>
    </w:p>
    <w:p w14:paraId="03883ED4" w14:textId="77777777" w:rsidR="0009727C" w:rsidRDefault="009E05E8">
      <w:pPr>
        <w:pStyle w:val="Zkladntext"/>
        <w:tabs>
          <w:tab w:val="right" w:pos="4654"/>
        </w:tabs>
        <w:ind w:left="138"/>
      </w:pPr>
      <w:r>
        <w:t>IČO:</w:t>
      </w:r>
      <w:r>
        <w:tab/>
        <w:t>87833000</w:t>
      </w:r>
    </w:p>
    <w:p w14:paraId="03883ED5" w14:textId="77777777" w:rsidR="0009727C" w:rsidRDefault="009E05E8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Urszula </w:t>
      </w:r>
      <w:proofErr w:type="spellStart"/>
      <w:r>
        <w:t>Kurzyszová</w:t>
      </w:r>
      <w:proofErr w:type="spellEnd"/>
      <w:r>
        <w:t>,</w:t>
      </w:r>
      <w:r>
        <w:rPr>
          <w:spacing w:val="1"/>
        </w:rPr>
        <w:t xml:space="preserve"> </w:t>
      </w:r>
      <w:r>
        <w:t>Jednatelka</w:t>
      </w:r>
    </w:p>
    <w:p w14:paraId="03883ED6" w14:textId="77777777" w:rsidR="0009727C" w:rsidRDefault="009E05E8">
      <w:pPr>
        <w:pStyle w:val="Zkladntext"/>
        <w:tabs>
          <w:tab w:val="left" w:pos="3679"/>
        </w:tabs>
        <w:ind w:left="138" w:right="4070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Urszula </w:t>
      </w:r>
      <w:proofErr w:type="spellStart"/>
      <w:r>
        <w:t>Kurzyszová</w:t>
      </w:r>
      <w:proofErr w:type="spellEnd"/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3883ED7" w14:textId="77777777" w:rsidR="0009727C" w:rsidRDefault="0009727C">
      <w:pPr>
        <w:pStyle w:val="Zkladntext"/>
      </w:pPr>
    </w:p>
    <w:p w14:paraId="03883ED8" w14:textId="77777777" w:rsidR="0009727C" w:rsidRDefault="0009727C">
      <w:pPr>
        <w:pStyle w:val="Zkladntext"/>
        <w:spacing w:before="11"/>
        <w:rPr>
          <w:sz w:val="23"/>
        </w:rPr>
      </w:pPr>
    </w:p>
    <w:p w14:paraId="03883ED9" w14:textId="77777777" w:rsidR="0009727C" w:rsidRDefault="009E05E8">
      <w:pPr>
        <w:pStyle w:val="Nadpis2"/>
      </w:pPr>
      <w:r>
        <w:rPr>
          <w:u w:val="single"/>
        </w:rPr>
        <w:t>Expert:</w:t>
      </w:r>
    </w:p>
    <w:p w14:paraId="03883EDA" w14:textId="77777777" w:rsidR="0009727C" w:rsidRDefault="0009727C">
      <w:pPr>
        <w:pStyle w:val="Zkladntext"/>
        <w:spacing w:before="9"/>
        <w:rPr>
          <w:b/>
          <w:sz w:val="19"/>
        </w:rPr>
      </w:pPr>
    </w:p>
    <w:p w14:paraId="03883EDB" w14:textId="77777777" w:rsidR="0009727C" w:rsidRDefault="009E05E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03883EDC" w14:textId="77777777" w:rsidR="0009727C" w:rsidRDefault="009E05E8">
      <w:pPr>
        <w:pStyle w:val="Zkladntext"/>
        <w:tabs>
          <w:tab w:val="left" w:pos="3679"/>
        </w:tabs>
        <w:ind w:left="138"/>
      </w:pPr>
      <w:r>
        <w:t>Sídlo:</w:t>
      </w:r>
      <w:r>
        <w:tab/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03883EDD" w14:textId="77777777" w:rsidR="0009727C" w:rsidRDefault="009E05E8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03883EDE" w14:textId="0F40A1F9" w:rsidR="0009727C" w:rsidRDefault="009E05E8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</w:r>
      <w:proofErr w:type="spellStart"/>
      <w:r w:rsidR="0008094F">
        <w:t>xxx</w:t>
      </w:r>
      <w:proofErr w:type="spellEnd"/>
    </w:p>
    <w:p w14:paraId="480ABBB3" w14:textId="77777777" w:rsidR="0008094F" w:rsidRDefault="009E05E8">
      <w:pPr>
        <w:pStyle w:val="Zkladntext"/>
        <w:tabs>
          <w:tab w:val="left" w:pos="3679"/>
        </w:tabs>
        <w:ind w:left="138" w:right="469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08094F">
        <w:t>xxx</w:t>
      </w:r>
      <w:proofErr w:type="spellEnd"/>
    </w:p>
    <w:p w14:paraId="03883EDF" w14:textId="1549B754" w:rsidR="0009727C" w:rsidRDefault="009E05E8">
      <w:pPr>
        <w:pStyle w:val="Zkladntext"/>
        <w:tabs>
          <w:tab w:val="left" w:pos="3679"/>
        </w:tabs>
        <w:ind w:left="138" w:right="4695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3883EE0" w14:textId="77777777" w:rsidR="0009727C" w:rsidRDefault="0009727C">
      <w:pPr>
        <w:pStyle w:val="Zkladntext"/>
      </w:pPr>
    </w:p>
    <w:p w14:paraId="03883EE1" w14:textId="77777777" w:rsidR="0009727C" w:rsidRDefault="0009727C">
      <w:pPr>
        <w:pStyle w:val="Zkladntext"/>
      </w:pPr>
    </w:p>
    <w:p w14:paraId="03883EE2" w14:textId="77777777" w:rsidR="0009727C" w:rsidRDefault="0009727C">
      <w:pPr>
        <w:pStyle w:val="Zkladntext"/>
        <w:spacing w:before="11"/>
        <w:rPr>
          <w:sz w:val="23"/>
        </w:rPr>
      </w:pPr>
    </w:p>
    <w:p w14:paraId="03883EE3" w14:textId="77777777" w:rsidR="0009727C" w:rsidRDefault="009E05E8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03883EE4" w14:textId="77777777" w:rsidR="0009727C" w:rsidRDefault="0009727C">
      <w:pPr>
        <w:pStyle w:val="Zkladntext"/>
        <w:rPr>
          <w:b/>
        </w:rPr>
      </w:pPr>
    </w:p>
    <w:p w14:paraId="03883EE5" w14:textId="77777777" w:rsidR="0009727C" w:rsidRDefault="009E05E8">
      <w:pPr>
        <w:pStyle w:val="Zkladntext"/>
        <w:ind w:left="858" w:right="109" w:hanging="360"/>
        <w:jc w:val="both"/>
      </w:pPr>
      <w:r>
        <w:t>1. Smluvní strany uzavřely dne 24. 7. 2025 Smlouvu o konzultační podpoře – DIGI Sken, na základě které, se Poskytovatel podpory zavázal poskytnout Příjemci prostřednictvím Experta konzultační služby týkající se podnikání Příjemce.</w:t>
      </w:r>
    </w:p>
    <w:p w14:paraId="03883EE6" w14:textId="77777777" w:rsidR="0009727C" w:rsidRDefault="0009727C">
      <w:pPr>
        <w:jc w:val="both"/>
        <w:sectPr w:rsidR="0009727C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3883EE7" w14:textId="77777777" w:rsidR="0009727C" w:rsidRDefault="009E05E8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03883EE8" w14:textId="77777777" w:rsidR="0009727C" w:rsidRDefault="0009727C">
      <w:pPr>
        <w:pStyle w:val="Zkladntext"/>
        <w:rPr>
          <w:b/>
        </w:rPr>
      </w:pPr>
    </w:p>
    <w:p w14:paraId="03883EE9" w14:textId="77777777" w:rsidR="0009727C" w:rsidRDefault="009E05E8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03883EEA" w14:textId="77777777" w:rsidR="0009727C" w:rsidRDefault="0009727C">
      <w:pPr>
        <w:pStyle w:val="Zkladntext"/>
      </w:pPr>
    </w:p>
    <w:p w14:paraId="03883EEB" w14:textId="77777777" w:rsidR="0009727C" w:rsidRDefault="009E05E8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3883EEC" w14:textId="77777777" w:rsidR="0009727C" w:rsidRDefault="0009727C">
      <w:pPr>
        <w:pStyle w:val="Zkladntext"/>
        <w:spacing w:before="11"/>
        <w:rPr>
          <w:b/>
          <w:sz w:val="23"/>
        </w:rPr>
      </w:pPr>
    </w:p>
    <w:p w14:paraId="03883EED" w14:textId="77777777" w:rsidR="0009727C" w:rsidRDefault="009E05E8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03883EEE" w14:textId="77777777" w:rsidR="0009727C" w:rsidRDefault="009E05E8">
      <w:pPr>
        <w:pStyle w:val="Zkladntext"/>
        <w:ind w:left="846"/>
      </w:pPr>
      <w:r>
        <w:t>bez DPH. Daň z přidané hodnoty bude účtována dle platných právních předpisů. Dále jen</w:t>
      </w:r>
    </w:p>
    <w:p w14:paraId="03883EEF" w14:textId="77777777" w:rsidR="0009727C" w:rsidRDefault="009E05E8">
      <w:pPr>
        <w:pStyle w:val="Zkladntext"/>
        <w:ind w:left="846"/>
      </w:pPr>
      <w:r>
        <w:t>„Odměna Poskytovatele“.</w:t>
      </w:r>
    </w:p>
    <w:p w14:paraId="03883EF0" w14:textId="77777777" w:rsidR="0009727C" w:rsidRDefault="0009727C">
      <w:pPr>
        <w:pStyle w:val="Zkladntext"/>
        <w:spacing w:before="1"/>
      </w:pPr>
    </w:p>
    <w:p w14:paraId="03883EF1" w14:textId="77777777" w:rsidR="0009727C" w:rsidRDefault="009E05E8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3883EF2" w14:textId="77777777" w:rsidR="0009727C" w:rsidRDefault="0009727C">
      <w:pPr>
        <w:pStyle w:val="Zkladntext"/>
        <w:spacing w:before="11"/>
        <w:rPr>
          <w:sz w:val="25"/>
        </w:rPr>
      </w:pPr>
    </w:p>
    <w:p w14:paraId="03883EF3" w14:textId="77777777" w:rsidR="0009727C" w:rsidRDefault="009E05E8">
      <w:pPr>
        <w:pStyle w:val="Odstavecseseznamem"/>
        <w:numPr>
          <w:ilvl w:val="1"/>
          <w:numId w:val="1"/>
        </w:numPr>
        <w:tabs>
          <w:tab w:val="left" w:pos="84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03883EF4" w14:textId="77777777" w:rsidR="0009727C" w:rsidRDefault="0009727C">
      <w:pPr>
        <w:pStyle w:val="Zkladntext"/>
        <w:spacing w:before="11"/>
        <w:rPr>
          <w:sz w:val="25"/>
        </w:rPr>
      </w:pPr>
    </w:p>
    <w:p w14:paraId="03883EF5" w14:textId="77777777" w:rsidR="0009727C" w:rsidRDefault="009E05E8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</w:t>
      </w:r>
      <w:r>
        <w:rPr>
          <w:sz w:val="24"/>
        </w:rPr>
        <w:t>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4"/>
          <w:sz w:val="24"/>
        </w:rPr>
        <w:t xml:space="preserve"> </w:t>
      </w:r>
      <w:r>
        <w:rPr>
          <w:sz w:val="24"/>
        </w:rPr>
        <w:t>podpory.</w:t>
      </w:r>
    </w:p>
    <w:p w14:paraId="03883EF6" w14:textId="77777777" w:rsidR="0009727C" w:rsidRDefault="0009727C">
      <w:pPr>
        <w:pStyle w:val="Zkladntext"/>
        <w:spacing w:before="10"/>
        <w:rPr>
          <w:sz w:val="25"/>
        </w:rPr>
      </w:pPr>
    </w:p>
    <w:p w14:paraId="03883EF7" w14:textId="77777777" w:rsidR="0009727C" w:rsidRDefault="009E05E8">
      <w:pPr>
        <w:pStyle w:val="Odstavecseseznamem"/>
        <w:numPr>
          <w:ilvl w:val="1"/>
          <w:numId w:val="1"/>
        </w:numPr>
        <w:tabs>
          <w:tab w:val="left" w:pos="847"/>
        </w:tabs>
        <w:spacing w:line="242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03883EF8" w14:textId="77777777" w:rsidR="0009727C" w:rsidRDefault="0009727C">
      <w:pPr>
        <w:spacing w:line="242" w:lineRule="auto"/>
        <w:jc w:val="both"/>
        <w:rPr>
          <w:sz w:val="24"/>
        </w:rPr>
        <w:sectPr w:rsidR="0009727C">
          <w:pgSz w:w="11910" w:h="16840"/>
          <w:pgMar w:top="1360" w:right="1020" w:bottom="1020" w:left="1280" w:header="303" w:footer="828" w:gutter="0"/>
          <w:cols w:space="708"/>
        </w:sectPr>
      </w:pPr>
    </w:p>
    <w:p w14:paraId="03883EF9" w14:textId="77777777" w:rsidR="0009727C" w:rsidRDefault="009E05E8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03883EFA" w14:textId="77777777" w:rsidR="0009727C" w:rsidRDefault="0009727C">
      <w:pPr>
        <w:pStyle w:val="Zkladntext"/>
        <w:rPr>
          <w:b/>
        </w:rPr>
      </w:pPr>
    </w:p>
    <w:p w14:paraId="03883EFB" w14:textId="77777777" w:rsidR="0009727C" w:rsidRDefault="0009727C">
      <w:pPr>
        <w:pStyle w:val="Zkladntext"/>
        <w:rPr>
          <w:b/>
        </w:rPr>
      </w:pPr>
    </w:p>
    <w:p w14:paraId="03883EFC" w14:textId="77777777" w:rsidR="0009727C" w:rsidRDefault="009E05E8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03883EFD" w14:textId="77777777" w:rsidR="0009727C" w:rsidRDefault="009E05E8">
      <w:pPr>
        <w:ind w:left="858"/>
        <w:rPr>
          <w:sz w:val="23"/>
        </w:rPr>
      </w:pPr>
      <w:r>
        <w:rPr>
          <w:sz w:val="23"/>
        </w:rPr>
        <w:t>stejnopisu.</w:t>
      </w:r>
    </w:p>
    <w:p w14:paraId="03883EFE" w14:textId="77777777" w:rsidR="0009727C" w:rsidRDefault="009E05E8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03883EFF" w14:textId="77777777" w:rsidR="0009727C" w:rsidRDefault="0009727C">
      <w:pPr>
        <w:pStyle w:val="Zkladntext"/>
        <w:rPr>
          <w:sz w:val="22"/>
        </w:rPr>
      </w:pPr>
    </w:p>
    <w:p w14:paraId="03883F00" w14:textId="77777777" w:rsidR="0009727C" w:rsidRDefault="0009727C">
      <w:pPr>
        <w:pStyle w:val="Zkladntext"/>
        <w:rPr>
          <w:sz w:val="22"/>
        </w:rPr>
      </w:pPr>
    </w:p>
    <w:p w14:paraId="03883F01" w14:textId="77777777" w:rsidR="0009727C" w:rsidRDefault="0009727C">
      <w:pPr>
        <w:pStyle w:val="Zkladntext"/>
        <w:rPr>
          <w:sz w:val="22"/>
        </w:rPr>
      </w:pPr>
    </w:p>
    <w:p w14:paraId="03883F02" w14:textId="77777777" w:rsidR="0009727C" w:rsidRDefault="0009727C">
      <w:pPr>
        <w:pStyle w:val="Zkladntext"/>
        <w:spacing w:before="7"/>
        <w:rPr>
          <w:sz w:val="18"/>
        </w:rPr>
      </w:pPr>
    </w:p>
    <w:p w14:paraId="03883F03" w14:textId="67A01B6F" w:rsidR="0009727C" w:rsidRDefault="009E05E8">
      <w:pPr>
        <w:ind w:left="138"/>
        <w:rPr>
          <w:sz w:val="23"/>
        </w:rPr>
      </w:pP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</w:t>
      </w:r>
      <w:r>
        <w:rPr>
          <w:spacing w:val="-37"/>
          <w:sz w:val="23"/>
        </w:rPr>
        <w:t>…</w:t>
      </w:r>
      <w:r>
        <w:rPr>
          <w:spacing w:val="-89"/>
          <w:w w:val="118"/>
          <w:position w:val="11"/>
          <w:sz w:val="21"/>
        </w:rPr>
        <w:t>1</w:t>
      </w:r>
      <w:r>
        <w:rPr>
          <w:spacing w:val="-71"/>
          <w:sz w:val="23"/>
        </w:rPr>
        <w:t>…</w:t>
      </w:r>
      <w:proofErr w:type="gramStart"/>
      <w:r>
        <w:rPr>
          <w:spacing w:val="-57"/>
          <w:w w:val="118"/>
          <w:position w:val="11"/>
          <w:sz w:val="21"/>
        </w:rPr>
        <w:t>7</w:t>
      </w:r>
      <w:r>
        <w:rPr>
          <w:spacing w:val="-103"/>
          <w:sz w:val="23"/>
        </w:rPr>
        <w:t>…</w:t>
      </w:r>
      <w:r>
        <w:rPr>
          <w:w w:val="107"/>
          <w:position w:val="11"/>
          <w:sz w:val="21"/>
        </w:rPr>
        <w:t>.</w:t>
      </w:r>
      <w:r>
        <w:rPr>
          <w:spacing w:val="-81"/>
          <w:w w:val="118"/>
          <w:position w:val="11"/>
          <w:sz w:val="21"/>
        </w:rPr>
        <w:t>9</w:t>
      </w:r>
      <w:r>
        <w:rPr>
          <w:spacing w:val="-79"/>
          <w:sz w:val="23"/>
        </w:rPr>
        <w:t>…</w:t>
      </w:r>
      <w:r>
        <w:rPr>
          <w:w w:val="107"/>
          <w:position w:val="11"/>
          <w:sz w:val="21"/>
        </w:rPr>
        <w:t>.</w:t>
      </w:r>
      <w:proofErr w:type="gramEnd"/>
      <w:r>
        <w:rPr>
          <w:spacing w:val="-106"/>
          <w:w w:val="118"/>
          <w:position w:val="11"/>
          <w:sz w:val="21"/>
        </w:rPr>
        <w:t>2</w:t>
      </w:r>
      <w:r>
        <w:rPr>
          <w:spacing w:val="-54"/>
          <w:sz w:val="23"/>
        </w:rPr>
        <w:t>…</w:t>
      </w:r>
      <w:r>
        <w:rPr>
          <w:spacing w:val="-73"/>
          <w:w w:val="118"/>
          <w:position w:val="11"/>
          <w:sz w:val="21"/>
        </w:rPr>
        <w:t>0</w:t>
      </w:r>
      <w:r>
        <w:rPr>
          <w:spacing w:val="-87"/>
          <w:sz w:val="23"/>
        </w:rPr>
        <w:t>…</w:t>
      </w:r>
      <w:r>
        <w:rPr>
          <w:spacing w:val="-42"/>
          <w:w w:val="118"/>
          <w:position w:val="11"/>
          <w:sz w:val="21"/>
        </w:rPr>
        <w:t>2</w:t>
      </w:r>
      <w:r>
        <w:rPr>
          <w:spacing w:val="-118"/>
          <w:sz w:val="23"/>
        </w:rPr>
        <w:t>…</w:t>
      </w:r>
      <w:proofErr w:type="gramStart"/>
      <w:r>
        <w:rPr>
          <w:spacing w:val="-7"/>
          <w:w w:val="118"/>
          <w:position w:val="11"/>
          <w:sz w:val="21"/>
        </w:rPr>
        <w:t>5</w:t>
      </w:r>
      <w:r>
        <w:rPr>
          <w:spacing w:val="-1"/>
          <w:sz w:val="23"/>
        </w:rPr>
        <w:t>..</w:t>
      </w:r>
      <w:proofErr w:type="gramEnd"/>
    </w:p>
    <w:p w14:paraId="03883F04" w14:textId="77777777" w:rsidR="0009727C" w:rsidRDefault="0009727C">
      <w:pPr>
        <w:pStyle w:val="Zkladntext"/>
        <w:rPr>
          <w:sz w:val="20"/>
        </w:rPr>
      </w:pPr>
    </w:p>
    <w:p w14:paraId="03883F05" w14:textId="77777777" w:rsidR="0009727C" w:rsidRDefault="0009727C">
      <w:pPr>
        <w:pStyle w:val="Zkladntext"/>
        <w:spacing w:before="11"/>
        <w:rPr>
          <w:sz w:val="14"/>
        </w:rPr>
      </w:pPr>
    </w:p>
    <w:p w14:paraId="03883F06" w14:textId="4B5A9C27" w:rsidR="0009727C" w:rsidRDefault="009E05E8">
      <w:pPr>
        <w:ind w:left="-100"/>
        <w:rPr>
          <w:rFonts w:ascii="Times New Roman"/>
          <w:spacing w:val="135"/>
          <w:position w:val="2"/>
          <w:sz w:val="20"/>
        </w:rPr>
      </w:pPr>
      <w:r>
        <w:rPr>
          <w:rFonts w:ascii="Times New Roman"/>
          <w:spacing w:val="135"/>
          <w:position w:val="2"/>
          <w:sz w:val="20"/>
        </w:rPr>
        <w:t xml:space="preserve"> </w:t>
      </w:r>
    </w:p>
    <w:p w14:paraId="1D3B22A3" w14:textId="77777777" w:rsidR="009E05E8" w:rsidRDefault="009E05E8">
      <w:pPr>
        <w:ind w:left="-100"/>
        <w:rPr>
          <w:rFonts w:ascii="Times New Roman"/>
          <w:spacing w:val="135"/>
          <w:position w:val="2"/>
          <w:sz w:val="20"/>
        </w:rPr>
      </w:pPr>
    </w:p>
    <w:p w14:paraId="77894054" w14:textId="77777777" w:rsidR="009E05E8" w:rsidRDefault="009E05E8">
      <w:pPr>
        <w:ind w:left="-100"/>
        <w:rPr>
          <w:sz w:val="20"/>
        </w:rPr>
      </w:pPr>
    </w:p>
    <w:p w14:paraId="03883F07" w14:textId="77777777" w:rsidR="0009727C" w:rsidRDefault="0009727C">
      <w:pPr>
        <w:pStyle w:val="Zkladntext"/>
        <w:spacing w:before="2" w:after="1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38"/>
        <w:gridCol w:w="3112"/>
        <w:gridCol w:w="2218"/>
      </w:tblGrid>
      <w:tr w:rsidR="0009727C" w14:paraId="03883F10" w14:textId="77777777">
        <w:trPr>
          <w:trHeight w:val="828"/>
        </w:trPr>
        <w:tc>
          <w:tcPr>
            <w:tcW w:w="3338" w:type="dxa"/>
          </w:tcPr>
          <w:p w14:paraId="03883F08" w14:textId="77777777" w:rsidR="0009727C" w:rsidRDefault="009E05E8">
            <w:pPr>
              <w:pStyle w:val="TableParagraph"/>
              <w:spacing w:line="247" w:lineRule="exact"/>
              <w:ind w:right="332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3883F09" w14:textId="77777777" w:rsidR="0009727C" w:rsidRDefault="009E05E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3883F0A" w14:textId="77777777" w:rsidR="0009727C" w:rsidRDefault="009E05E8">
            <w:pPr>
              <w:pStyle w:val="TableParagraph"/>
              <w:spacing w:line="268" w:lineRule="exact"/>
              <w:ind w:right="327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112" w:type="dxa"/>
          </w:tcPr>
          <w:p w14:paraId="03883F0B" w14:textId="77777777" w:rsidR="0009727C" w:rsidRDefault="009E05E8">
            <w:pPr>
              <w:pStyle w:val="TableParagraph"/>
              <w:spacing w:line="235" w:lineRule="exact"/>
              <w:ind w:left="336" w:right="707"/>
              <w:rPr>
                <w:sz w:val="23"/>
              </w:rPr>
            </w:pPr>
            <w:r>
              <w:rPr>
                <w:sz w:val="23"/>
              </w:rPr>
              <w:t xml:space="preserve">za Urszula </w:t>
            </w:r>
            <w:proofErr w:type="spellStart"/>
            <w:r>
              <w:rPr>
                <w:sz w:val="23"/>
              </w:rPr>
              <w:t>Kurzyszová</w:t>
            </w:r>
            <w:proofErr w:type="spellEnd"/>
          </w:p>
          <w:p w14:paraId="03883F0C" w14:textId="77777777" w:rsidR="0009727C" w:rsidRDefault="009E05E8">
            <w:pPr>
              <w:pStyle w:val="TableParagraph"/>
              <w:ind w:left="336" w:right="705"/>
              <w:rPr>
                <w:sz w:val="23"/>
              </w:rPr>
            </w:pPr>
            <w:r>
              <w:rPr>
                <w:sz w:val="23"/>
              </w:rPr>
              <w:t xml:space="preserve">Urszula </w:t>
            </w:r>
            <w:proofErr w:type="spellStart"/>
            <w:r>
              <w:rPr>
                <w:sz w:val="23"/>
              </w:rPr>
              <w:t>Kurzyszová</w:t>
            </w:r>
            <w:proofErr w:type="spellEnd"/>
          </w:p>
        </w:tc>
        <w:tc>
          <w:tcPr>
            <w:tcW w:w="2218" w:type="dxa"/>
          </w:tcPr>
          <w:p w14:paraId="03883F0D" w14:textId="77777777" w:rsidR="0009727C" w:rsidRDefault="009E05E8">
            <w:pPr>
              <w:pStyle w:val="TableParagraph"/>
              <w:spacing w:line="235" w:lineRule="exact"/>
              <w:ind w:left="707" w:right="180"/>
              <w:rPr>
                <w:sz w:val="23"/>
              </w:rPr>
            </w:pPr>
            <w:r>
              <w:rPr>
                <w:sz w:val="23"/>
              </w:rPr>
              <w:t xml:space="preserve">za </w:t>
            </w:r>
            <w:proofErr w:type="spellStart"/>
            <w:r>
              <w:rPr>
                <w:sz w:val="23"/>
              </w:rPr>
              <w:t>Inove</w:t>
            </w:r>
            <w:proofErr w:type="spellEnd"/>
            <w:r>
              <w:rPr>
                <w:sz w:val="23"/>
              </w:rPr>
              <w:t xml:space="preserve"> s.r.o.</w:t>
            </w:r>
          </w:p>
          <w:p w14:paraId="03883F0E" w14:textId="77777777" w:rsidR="0009727C" w:rsidRDefault="009E05E8">
            <w:pPr>
              <w:pStyle w:val="TableParagraph"/>
              <w:ind w:left="707"/>
              <w:rPr>
                <w:sz w:val="23"/>
              </w:rPr>
            </w:pPr>
            <w:proofErr w:type="spellStart"/>
            <w:r>
              <w:rPr>
                <w:sz w:val="23"/>
              </w:rPr>
              <w:t>Inove</w:t>
            </w:r>
            <w:proofErr w:type="spellEnd"/>
            <w:r>
              <w:rPr>
                <w:sz w:val="23"/>
              </w:rPr>
              <w:t xml:space="preserve"> s.r.o.</w:t>
            </w:r>
          </w:p>
          <w:p w14:paraId="03883F0F" w14:textId="51B3CBCB" w:rsidR="0009727C" w:rsidRDefault="009E05E8">
            <w:pPr>
              <w:pStyle w:val="TableParagraph"/>
              <w:spacing w:line="293" w:lineRule="exact"/>
              <w:ind w:left="707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xxx</w:t>
            </w:r>
            <w:proofErr w:type="spellEnd"/>
          </w:p>
        </w:tc>
      </w:tr>
    </w:tbl>
    <w:p w14:paraId="03883F11" w14:textId="77777777" w:rsidR="0009727C" w:rsidRDefault="009E05E8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3883F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5pt;width:143.4pt;height:12pt;z-index:-251864064;mso-position-horizontal-relative:page;mso-position-vertical-relative:text" filled="f" stroked="f">
            <v:textbox inset="0,0,0,0">
              <w:txbxContent>
                <w:p w14:paraId="03883F35" w14:textId="77777777" w:rsidR="0009727C" w:rsidRDefault="009E05E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883F1E">
          <v:shape id="_x0000_s2051" type="#_x0000_t202" style="position:absolute;left:0;text-align:left;margin-left:389.25pt;margin-top:-56.45pt;width:143.4pt;height:12pt;z-index:-251863040;mso-position-horizontal-relative:page;mso-position-vertical-relative:text" filled="f" stroked="f">
            <v:textbox inset="0,0,0,0">
              <w:txbxContent>
                <w:p w14:paraId="03883F36" w14:textId="77777777" w:rsidR="0009727C" w:rsidRDefault="009E05E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883F1F">
          <v:shape id="_x0000_s2050" type="#_x0000_t202" style="position:absolute;left:0;text-align:left;margin-left:70.95pt;margin-top:-56.45pt;width:143.4pt;height:12pt;z-index:-251862016;mso-position-horizontal-relative:page;mso-position-vertical-relative:text" filled="f" stroked="f">
            <v:textbox inset="0,0,0,0">
              <w:txbxContent>
                <w:p w14:paraId="03883F37" w14:textId="77777777" w:rsidR="0009727C" w:rsidRDefault="009E05E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3883F12" w14:textId="77777777" w:rsidR="0009727C" w:rsidRDefault="0009727C">
      <w:pPr>
        <w:sectPr w:rsidR="0009727C">
          <w:pgSz w:w="11910" w:h="16840"/>
          <w:pgMar w:top="1360" w:right="1020" w:bottom="1020" w:left="1280" w:header="303" w:footer="828" w:gutter="0"/>
          <w:cols w:space="708"/>
        </w:sectPr>
      </w:pPr>
    </w:p>
    <w:p w14:paraId="03883F13" w14:textId="77777777" w:rsidR="0009727C" w:rsidRDefault="0009727C">
      <w:pPr>
        <w:pStyle w:val="Zkladntext"/>
        <w:rPr>
          <w:i/>
          <w:sz w:val="20"/>
        </w:rPr>
      </w:pPr>
    </w:p>
    <w:p w14:paraId="03883F14" w14:textId="77777777" w:rsidR="0009727C" w:rsidRDefault="0009727C">
      <w:pPr>
        <w:pStyle w:val="Zkladntext"/>
        <w:rPr>
          <w:i/>
          <w:sz w:val="20"/>
        </w:rPr>
      </w:pPr>
    </w:p>
    <w:p w14:paraId="03883F15" w14:textId="77777777" w:rsidR="0009727C" w:rsidRDefault="0009727C">
      <w:pPr>
        <w:pStyle w:val="Zkladntext"/>
        <w:spacing w:before="9"/>
        <w:rPr>
          <w:i/>
          <w:sz w:val="12"/>
        </w:rPr>
      </w:pPr>
    </w:p>
    <w:p w14:paraId="03883F16" w14:textId="799E14B1" w:rsidR="0009727C" w:rsidRDefault="0009727C">
      <w:pPr>
        <w:pStyle w:val="Zkladntext"/>
        <w:ind w:left="431"/>
        <w:rPr>
          <w:sz w:val="20"/>
        </w:rPr>
      </w:pPr>
    </w:p>
    <w:sectPr w:rsidR="0009727C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3F28" w14:textId="77777777" w:rsidR="009E05E8" w:rsidRDefault="009E05E8">
      <w:r>
        <w:separator/>
      </w:r>
    </w:p>
  </w:endnote>
  <w:endnote w:type="continuationSeparator" w:id="0">
    <w:p w14:paraId="03883F2A" w14:textId="77777777" w:rsidR="009E05E8" w:rsidRDefault="009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3F23" w14:textId="77777777" w:rsidR="0009727C" w:rsidRDefault="009E05E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8320" behindDoc="1" locked="0" layoutInCell="1" allowOverlap="1" wp14:anchorId="03883F27" wp14:editId="03883F2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49344" behindDoc="1" locked="0" layoutInCell="1" allowOverlap="1" wp14:anchorId="03883F29" wp14:editId="03883F2A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883F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6112;mso-position-horizontal-relative:page;mso-position-vertical-relative:page" filled="f" stroked="f">
          <v:textbox inset="0,0,0,0">
            <w:txbxContent>
              <w:p w14:paraId="03883F39" w14:textId="77777777" w:rsidR="0009727C" w:rsidRDefault="009E05E8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3F24" w14:textId="77777777" w:rsidR="009E05E8" w:rsidRDefault="009E05E8">
      <w:r>
        <w:separator/>
      </w:r>
    </w:p>
  </w:footnote>
  <w:footnote w:type="continuationSeparator" w:id="0">
    <w:p w14:paraId="03883F26" w14:textId="77777777" w:rsidR="009E05E8" w:rsidRDefault="009E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3F22" w14:textId="77777777" w:rsidR="0009727C" w:rsidRDefault="009E05E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6272" behindDoc="1" locked="0" layoutInCell="1" allowOverlap="1" wp14:anchorId="03883F24" wp14:editId="03883F2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883F2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2pt;margin-top:14.15pt;width:187.15pt;height:8.75pt;z-index:-251869184;mso-position-horizontal-relative:page;mso-position-vertical-relative:page" filled="f" stroked="f">
          <v:textbox inset="0,0,0,0">
            <w:txbxContent>
              <w:p w14:paraId="03883F38" w14:textId="77777777" w:rsidR="0009727C" w:rsidRDefault="009E05E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0199561e-2b50-71d3-b487-69170ab24378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4629"/>
    <w:multiLevelType w:val="multilevel"/>
    <w:tmpl w:val="B4187CF2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DA01498"/>
    <w:multiLevelType w:val="hybridMultilevel"/>
    <w:tmpl w:val="7FF0B910"/>
    <w:lvl w:ilvl="0" w:tplc="353C9DC6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4FB68A8A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7BC0E8FC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AE78BA18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9A02AEA6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A4BC3294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DCF42530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F83242D6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65529176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2121759327">
    <w:abstractNumId w:val="0"/>
  </w:num>
  <w:num w:numId="2" w16cid:durableId="52541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27C"/>
    <w:rsid w:val="0008094F"/>
    <w:rsid w:val="0009727C"/>
    <w:rsid w:val="009E05E8"/>
    <w:rsid w:val="00C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03883EC1"/>
  <w15:docId w15:val="{E3B9AF0A-5177-4EAC-A281-9829FD7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7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1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2025-09-17T16:23:00Z</dcterms:created>
  <dcterms:modified xsi:type="dcterms:W3CDTF">2025-09-17T16:25:00Z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