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AAA3" w14:textId="5ABDB6E1" w:rsidR="00B95F37" w:rsidRDefault="00B95F3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9214" w:type="dxa"/>
        <w:tblLook w:val="00A0" w:firstRow="1" w:lastRow="0" w:firstColumn="1" w:lastColumn="0" w:noHBand="0" w:noVBand="0"/>
      </w:tblPr>
      <w:tblGrid>
        <w:gridCol w:w="2552"/>
        <w:gridCol w:w="6662"/>
      </w:tblGrid>
      <w:tr w:rsidR="003F79F5" w:rsidRPr="00D00C78" w14:paraId="101FA366" w14:textId="77777777" w:rsidTr="00E03D98">
        <w:tc>
          <w:tcPr>
            <w:tcW w:w="2552" w:type="dxa"/>
          </w:tcPr>
          <w:p w14:paraId="05C1FC6F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62" w:type="dxa"/>
          </w:tcPr>
          <w:p w14:paraId="7DFDE3F8" w14:textId="76E8C05D" w:rsidR="003F79F5" w:rsidRPr="00E03D98" w:rsidRDefault="00E03D98" w:rsidP="009324CB">
            <w:pPr>
              <w:spacing w:after="0" w:line="240" w:lineRule="auto"/>
              <w:ind w:left="-102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L I N E T spol. s r.o.</w:t>
            </w:r>
          </w:p>
        </w:tc>
      </w:tr>
      <w:tr w:rsidR="003F79F5" w:rsidRPr="00D00C78" w14:paraId="2911F1A8" w14:textId="77777777" w:rsidTr="00E03D98">
        <w:tc>
          <w:tcPr>
            <w:tcW w:w="2552" w:type="dxa"/>
          </w:tcPr>
          <w:p w14:paraId="28CC2EBD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62" w:type="dxa"/>
          </w:tcPr>
          <w:p w14:paraId="3C29C25B" w14:textId="35397EA8" w:rsidR="003F79F5" w:rsidRPr="00E03D98" w:rsidRDefault="00E03D98" w:rsidP="009324CB">
            <w:pPr>
              <w:spacing w:after="0" w:line="240" w:lineRule="auto"/>
              <w:ind w:left="-102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00507814</w:t>
            </w:r>
          </w:p>
        </w:tc>
      </w:tr>
      <w:tr w:rsidR="003F79F5" w:rsidRPr="00D00C78" w14:paraId="0D1ECFE7" w14:textId="77777777" w:rsidTr="00E03D98">
        <w:tc>
          <w:tcPr>
            <w:tcW w:w="2552" w:type="dxa"/>
          </w:tcPr>
          <w:p w14:paraId="30707048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62" w:type="dxa"/>
          </w:tcPr>
          <w:p w14:paraId="6490411D" w14:textId="7F6E4CF3" w:rsidR="003F79F5" w:rsidRPr="00E03D98" w:rsidRDefault="00E03D98" w:rsidP="009324CB">
            <w:pPr>
              <w:spacing w:after="0" w:line="240" w:lineRule="auto"/>
              <w:ind w:left="-102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CZ00507814</w:t>
            </w:r>
          </w:p>
        </w:tc>
      </w:tr>
      <w:tr w:rsidR="003F79F5" w:rsidRPr="00D00C78" w14:paraId="2D0079E5" w14:textId="77777777" w:rsidTr="00E03D98">
        <w:tc>
          <w:tcPr>
            <w:tcW w:w="2552" w:type="dxa"/>
          </w:tcPr>
          <w:p w14:paraId="721A86A4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62" w:type="dxa"/>
          </w:tcPr>
          <w:p w14:paraId="7EAC247B" w14:textId="20349D21" w:rsidR="003F79F5" w:rsidRPr="00E03D98" w:rsidRDefault="00E03D98" w:rsidP="009324CB">
            <w:pPr>
              <w:spacing w:after="0" w:line="240" w:lineRule="auto"/>
              <w:ind w:left="-102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Slaný, </w:t>
            </w:r>
            <w:proofErr w:type="spellStart"/>
            <w:r>
              <w:rPr>
                <w:bCs/>
                <w:sz w:val="20"/>
                <w:szCs w:val="20"/>
                <w:lang w:eastAsia="cs-CZ"/>
              </w:rPr>
              <w:t>Želevčice</w:t>
            </w:r>
            <w:proofErr w:type="spellEnd"/>
            <w:r>
              <w:rPr>
                <w:bCs/>
                <w:sz w:val="20"/>
                <w:szCs w:val="20"/>
                <w:lang w:eastAsia="cs-CZ"/>
              </w:rPr>
              <w:t xml:space="preserve"> 5, PSČ 274 01</w:t>
            </w:r>
          </w:p>
        </w:tc>
      </w:tr>
      <w:tr w:rsidR="003F79F5" w:rsidRPr="00D00C78" w14:paraId="050AF399" w14:textId="77777777" w:rsidTr="00E03D98">
        <w:tc>
          <w:tcPr>
            <w:tcW w:w="2552" w:type="dxa"/>
          </w:tcPr>
          <w:p w14:paraId="06511FBC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62" w:type="dxa"/>
          </w:tcPr>
          <w:p w14:paraId="713B2518" w14:textId="204B5758" w:rsidR="003F79F5" w:rsidRPr="00E03D98" w:rsidRDefault="00E03D98" w:rsidP="009324CB">
            <w:pPr>
              <w:spacing w:after="0" w:line="240" w:lineRule="auto"/>
              <w:ind w:left="-102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 xml:space="preserve">Petr Smetana, </w:t>
            </w:r>
            <w:proofErr w:type="spellStart"/>
            <w:r>
              <w:rPr>
                <w:bCs/>
                <w:sz w:val="20"/>
                <w:szCs w:val="20"/>
                <w:lang w:eastAsia="cs-CZ"/>
              </w:rPr>
              <w:t>Customer</w:t>
            </w:r>
            <w:proofErr w:type="spellEnd"/>
            <w:r>
              <w:rPr>
                <w:bCs/>
                <w:sz w:val="20"/>
                <w:szCs w:val="20"/>
                <w:lang w:eastAsia="cs-CZ"/>
              </w:rPr>
              <w:t xml:space="preserve"> Service manager – na základě plné moci</w:t>
            </w:r>
          </w:p>
        </w:tc>
      </w:tr>
      <w:tr w:rsidR="003F79F5" w:rsidRPr="00D00C78" w14:paraId="6419DAAD" w14:textId="77777777" w:rsidTr="00E03D98">
        <w:tc>
          <w:tcPr>
            <w:tcW w:w="2552" w:type="dxa"/>
          </w:tcPr>
          <w:p w14:paraId="102FDB06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62" w:type="dxa"/>
          </w:tcPr>
          <w:p w14:paraId="16F22FA0" w14:textId="317C84D2" w:rsidR="003F79F5" w:rsidRPr="00E03D98" w:rsidRDefault="00E03D98" w:rsidP="009324CB">
            <w:pPr>
              <w:spacing w:after="0" w:line="240" w:lineRule="auto"/>
              <w:ind w:left="-102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Komerční banka a.s.</w:t>
            </w:r>
          </w:p>
        </w:tc>
      </w:tr>
      <w:tr w:rsidR="003F79F5" w:rsidRPr="00D00C78" w14:paraId="5BD1552B" w14:textId="77777777" w:rsidTr="00E03D98">
        <w:tc>
          <w:tcPr>
            <w:tcW w:w="2552" w:type="dxa"/>
          </w:tcPr>
          <w:p w14:paraId="4EE6F89C" w14:textId="77777777" w:rsidR="003F79F5" w:rsidRPr="00F10277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62" w:type="dxa"/>
          </w:tcPr>
          <w:p w14:paraId="0DDC69BE" w14:textId="7A62F760" w:rsidR="003F79F5" w:rsidRPr="00E03D98" w:rsidRDefault="00E03D98" w:rsidP="009324CB">
            <w:pPr>
              <w:spacing w:after="0" w:line="240" w:lineRule="auto"/>
              <w:ind w:left="-102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58242141/0100</w:t>
            </w:r>
          </w:p>
        </w:tc>
      </w:tr>
      <w:tr w:rsidR="003F79F5" w:rsidRPr="00D00C78" w14:paraId="60534F04" w14:textId="77777777" w:rsidTr="00E03D98">
        <w:tc>
          <w:tcPr>
            <w:tcW w:w="9214" w:type="dxa"/>
            <w:gridSpan w:val="2"/>
          </w:tcPr>
          <w:p w14:paraId="08BD46D7" w14:textId="6E07930C" w:rsidR="003F79F5" w:rsidRPr="00E03D98" w:rsidRDefault="003F79F5" w:rsidP="009324CB">
            <w:pPr>
              <w:spacing w:after="0" w:line="240" w:lineRule="auto"/>
              <w:ind w:left="-113"/>
              <w:rPr>
                <w:bCs/>
                <w:sz w:val="20"/>
                <w:szCs w:val="20"/>
                <w:lang w:eastAsia="cs-CZ"/>
              </w:rPr>
            </w:pPr>
            <w:r w:rsidRPr="00E03D98">
              <w:rPr>
                <w:bCs/>
                <w:sz w:val="20"/>
                <w:szCs w:val="20"/>
                <w:lang w:eastAsia="cs-CZ"/>
              </w:rPr>
              <w:t xml:space="preserve">Zapsaná v obchodním rejstříku </w:t>
            </w:r>
            <w:r w:rsidR="00E03D98">
              <w:rPr>
                <w:bCs/>
                <w:sz w:val="20"/>
                <w:szCs w:val="20"/>
                <w:lang w:eastAsia="cs-CZ"/>
              </w:rPr>
              <w:t>Městského soudu v Praze, oddíl C, vložka 163</w:t>
            </w:r>
          </w:p>
        </w:tc>
      </w:tr>
    </w:tbl>
    <w:p w14:paraId="3757847D" w14:textId="77777777" w:rsidR="003F79F5" w:rsidRPr="00F378EB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1C12A8A5" w14:textId="77777777" w:rsidR="00E461DF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02140F96" w14:textId="4C3B5AAE" w:rsidR="00B96387" w:rsidRPr="0016146E" w:rsidRDefault="00B96387" w:rsidP="00E461DF">
      <w:pPr>
        <w:spacing w:after="0" w:line="240" w:lineRule="auto"/>
        <w:ind w:left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0E741953" w:rsidR="00B96387" w:rsidRPr="005707E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E03D98">
        <w:rPr>
          <w:rFonts w:ascii="Verdana" w:hAnsi="Verdana"/>
          <w:b/>
          <w:sz w:val="20"/>
          <w:lang w:eastAsia="cs-CZ"/>
        </w:rPr>
        <w:t>39 ks lůže</w:t>
      </w:r>
      <w:r w:rsidR="003E4DAA">
        <w:rPr>
          <w:rFonts w:ascii="Verdana" w:hAnsi="Verdana"/>
          <w:b/>
          <w:sz w:val="20"/>
          <w:lang w:eastAsia="cs-CZ"/>
        </w:rPr>
        <w:t>k</w:t>
      </w:r>
      <w:r w:rsidR="00E03D98">
        <w:rPr>
          <w:rFonts w:ascii="Verdana" w:hAnsi="Verdana"/>
          <w:b/>
          <w:sz w:val="20"/>
          <w:lang w:eastAsia="cs-CZ"/>
        </w:rPr>
        <w:t xml:space="preserve"> </w:t>
      </w:r>
      <w:proofErr w:type="spellStart"/>
      <w:r w:rsidR="00E03D98">
        <w:rPr>
          <w:rFonts w:ascii="Verdana" w:hAnsi="Verdana"/>
          <w:b/>
          <w:sz w:val="20"/>
          <w:lang w:eastAsia="cs-CZ"/>
        </w:rPr>
        <w:t>Essenza</w:t>
      </w:r>
      <w:proofErr w:type="spellEnd"/>
      <w:r w:rsidR="00E03D98">
        <w:rPr>
          <w:rFonts w:ascii="Verdana" w:hAnsi="Verdana"/>
          <w:b/>
          <w:sz w:val="20"/>
          <w:lang w:eastAsia="cs-CZ"/>
        </w:rPr>
        <w:t xml:space="preserve"> 300 s příslušenstvím, 39 ks matrací PrimaCare10 a 39 ks stolků </w:t>
      </w:r>
      <w:proofErr w:type="spellStart"/>
      <w:r w:rsidR="00E03D98">
        <w:rPr>
          <w:rFonts w:ascii="Verdana" w:hAnsi="Verdana"/>
          <w:b/>
          <w:sz w:val="20"/>
          <w:lang w:eastAsia="cs-CZ"/>
        </w:rPr>
        <w:t>Eleganza</w:t>
      </w:r>
      <w:proofErr w:type="spellEnd"/>
      <w:r w:rsidR="00E03D98">
        <w:rPr>
          <w:rFonts w:ascii="Verdana" w:hAnsi="Verdana"/>
          <w:b/>
          <w:sz w:val="20"/>
          <w:lang w:eastAsia="cs-CZ"/>
        </w:rPr>
        <w:t xml:space="preserve"> </w:t>
      </w:r>
      <w:proofErr w:type="spellStart"/>
      <w:r w:rsidR="00E03D98">
        <w:rPr>
          <w:rFonts w:ascii="Verdana" w:hAnsi="Verdana"/>
          <w:b/>
          <w:sz w:val="20"/>
          <w:lang w:eastAsia="cs-CZ"/>
        </w:rPr>
        <w:t>Classic</w:t>
      </w:r>
      <w:proofErr w:type="spellEnd"/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 w:rsidRPr="005707EA">
        <w:rPr>
          <w:rFonts w:ascii="Verdana" w:hAnsi="Verdana"/>
          <w:sz w:val="20"/>
          <w:lang w:eastAsia="cs-CZ"/>
        </w:rPr>
        <w:t>24</w:t>
      </w:r>
      <w:r w:rsidRPr="005707EA"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711C800E" w:rsidR="00B96387" w:rsidRPr="00DB44C2" w:rsidRDefault="00B96387" w:rsidP="0065372A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>pozdějších předpisů</w:t>
      </w:r>
      <w:r w:rsidR="0065372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65372A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0B3716BA" w:rsidR="00B96387" w:rsidRDefault="00B96387" w:rsidP="0065372A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="0065372A" w:rsidRPr="0065372A">
          <w:rPr>
            <w:rStyle w:val="Hypertextovodkaz"/>
            <w:rFonts w:ascii="Verdana" w:hAnsi="Verdana"/>
            <w:sz w:val="20"/>
            <w:lang w:eastAsia="cs-CZ"/>
          </w:rPr>
          <w:t>https://www.klaudianovanemocnice.cz/pokyny-na-useku-bozp-a-po-pro-externi-subjekty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65372A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31F209A7" w:rsidR="00B96387" w:rsidRPr="0062683B" w:rsidRDefault="0065372A" w:rsidP="0065372A">
      <w:pPr>
        <w:pStyle w:val="Nadpis2"/>
        <w:rPr>
          <w:rFonts w:ascii="Verdana" w:hAnsi="Verdana"/>
          <w:b/>
          <w:iCs/>
          <w:sz w:val="20"/>
          <w:lang w:eastAsia="cs-CZ"/>
        </w:rPr>
      </w:pPr>
      <w:r w:rsidRPr="00310B7E">
        <w:rPr>
          <w:rFonts w:ascii="Verdana" w:hAnsi="Verdana"/>
          <w:sz w:val="20"/>
          <w:lang w:eastAsia="cs-CZ"/>
        </w:rPr>
        <w:t xml:space="preserve">Tato smlouva je uzavírána na základě výběru dodavatele ve veřejné zakázce </w:t>
      </w:r>
      <w:r w:rsidRPr="00B773CB">
        <w:rPr>
          <w:rFonts w:ascii="Verdana" w:hAnsi="Verdana"/>
          <w:sz w:val="20"/>
          <w:lang w:eastAsia="cs-CZ"/>
        </w:rPr>
        <w:t>na dodávky zadávané v otevřeném řízení v nadlimitním režimu dle</w:t>
      </w:r>
      <w:r w:rsidRPr="005A6546">
        <w:rPr>
          <w:rFonts w:ascii="Verdana" w:hAnsi="Verdana"/>
          <w:sz w:val="20"/>
          <w:lang w:eastAsia="cs-CZ"/>
        </w:rPr>
        <w:t xml:space="preserve"> </w:t>
      </w:r>
      <w:r w:rsidRPr="00310B7E">
        <w:rPr>
          <w:rFonts w:ascii="Verdana" w:hAnsi="Verdana"/>
          <w:sz w:val="20"/>
          <w:lang w:eastAsia="cs-CZ"/>
        </w:rPr>
        <w:t xml:space="preserve">zákona č. 134/2016 Sb., o zadávání veřejných zakázek, ve znění pozdějších předpisů s názvem </w:t>
      </w:r>
      <w:r w:rsidRPr="00E410CC">
        <w:rPr>
          <w:rFonts w:ascii="Verdana" w:hAnsi="Verdana"/>
          <w:b/>
          <w:bCs/>
          <w:sz w:val="20"/>
          <w:lang w:eastAsia="cs-CZ"/>
        </w:rPr>
        <w:t>„</w:t>
      </w:r>
      <w:proofErr w:type="spellStart"/>
      <w:r w:rsidRPr="001F4688">
        <w:rPr>
          <w:rFonts w:ascii="Verdana" w:hAnsi="Verdana"/>
          <w:b/>
          <w:bCs/>
          <w:sz w:val="20"/>
          <w:lang w:eastAsia="cs-CZ"/>
        </w:rPr>
        <w:t>Celno</w:t>
      </w:r>
      <w:proofErr w:type="spellEnd"/>
      <w:r w:rsidRPr="001F4688">
        <w:rPr>
          <w:rFonts w:ascii="Verdana" w:hAnsi="Verdana"/>
          <w:b/>
          <w:bCs/>
          <w:sz w:val="20"/>
          <w:lang w:eastAsia="cs-CZ"/>
        </w:rPr>
        <w:t xml:space="preserve"> – domov se zvláštním režimem – zdravotnické vybavení</w:t>
      </w:r>
      <w:r>
        <w:rPr>
          <w:rFonts w:ascii="Verdana" w:hAnsi="Verdana"/>
          <w:b/>
          <w:bCs/>
          <w:sz w:val="20"/>
          <w:lang w:eastAsia="cs-CZ"/>
        </w:rPr>
        <w:t xml:space="preserve">, část </w:t>
      </w:r>
      <w:r>
        <w:rPr>
          <w:rFonts w:ascii="Verdana" w:hAnsi="Verdana"/>
          <w:b/>
          <w:sz w:val="20"/>
          <w:lang w:eastAsia="cs-CZ"/>
        </w:rPr>
        <w:t>1</w:t>
      </w:r>
      <w:r w:rsidRPr="00E410CC">
        <w:rPr>
          <w:rFonts w:ascii="Verdana" w:hAnsi="Verdana"/>
          <w:b/>
          <w:bCs/>
          <w:sz w:val="20"/>
          <w:lang w:eastAsia="cs-CZ"/>
        </w:rPr>
        <w:t>“</w:t>
      </w:r>
      <w:r w:rsidRPr="00310B7E">
        <w:rPr>
          <w:rFonts w:ascii="Verdana" w:hAnsi="Verdana"/>
          <w:sz w:val="20"/>
          <w:lang w:eastAsia="cs-CZ"/>
        </w:rPr>
        <w:t>.</w:t>
      </w:r>
      <w:r w:rsidR="00B96387" w:rsidRPr="0062683B">
        <w:rPr>
          <w:rFonts w:ascii="Verdana" w:hAnsi="Verdana"/>
          <w:sz w:val="20"/>
          <w:lang w:eastAsia="cs-CZ"/>
        </w:rPr>
        <w:t xml:space="preserve"> Zhotovitel prohlašuje, že měl před podáním své nabídky k dispozici požadavky objednatele na rozsah dodávky dle této smlouvy, a to jako součást zadávací dokumentace veřejné zakázky. Zhotovitel tyto požadavky před podáním své nabídky s vynaložením odborné péče přezkoumal a na základě toho prohlašuje, že je schopen předmět plnění dle této smlouvy splnit.</w:t>
      </w:r>
    </w:p>
    <w:p w14:paraId="63FF5437" w14:textId="2F9F90EE" w:rsidR="005707EA" w:rsidRPr="005707EA" w:rsidRDefault="00B96387" w:rsidP="005707EA">
      <w:pPr>
        <w:pStyle w:val="Nadpis2"/>
        <w:keepNext w:val="0"/>
        <w:widowControl/>
        <w:adjustRightInd/>
        <w:spacing w:after="240"/>
        <w:textAlignment w:val="auto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1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69E84BAF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2AB6BC24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</w:t>
      </w:r>
      <w:proofErr w:type="spellStart"/>
      <w:r w:rsidRPr="00A06C3F">
        <w:rPr>
          <w:rFonts w:ascii="Verdana" w:hAnsi="Verdana"/>
          <w:sz w:val="20"/>
          <w:lang w:eastAsia="cs-CZ"/>
        </w:rPr>
        <w:t>elektrorevize</w:t>
      </w:r>
      <w:proofErr w:type="spellEnd"/>
      <w:r w:rsidRPr="00A06C3F">
        <w:rPr>
          <w:rFonts w:ascii="Verdana" w:hAnsi="Verdana"/>
          <w:sz w:val="20"/>
          <w:lang w:eastAsia="cs-CZ"/>
        </w:rPr>
        <w:t xml:space="preserve">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465A45C6" w14:textId="5B37BB77" w:rsidR="001877C4" w:rsidRDefault="00B96387" w:rsidP="001877C4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>ujících k řešení závad zařízení, včetně závad zjištěných při měření zkoušek dlouhodobé stability. Servisní činnost může být prováděna jak vzdáleně, tak i v místě plnění. Provádění oprav zahrnuje rovněž dopravu</w:t>
      </w:r>
      <w:r w:rsidR="004136B8">
        <w:rPr>
          <w:rFonts w:ascii="Verdana" w:hAnsi="Verdana"/>
          <w:sz w:val="20"/>
          <w:lang w:eastAsia="cs-CZ"/>
        </w:rPr>
        <w:t>, ztrátový čas na cestě, práci technika</w:t>
      </w:r>
      <w:r w:rsidR="00302AB5">
        <w:rPr>
          <w:rFonts w:ascii="Verdana" w:hAnsi="Verdana"/>
          <w:sz w:val="20"/>
          <w:lang w:eastAsia="cs-CZ"/>
        </w:rPr>
        <w:t xml:space="preserve">. </w:t>
      </w:r>
    </w:p>
    <w:p w14:paraId="60E2EB3F" w14:textId="595FAC1A" w:rsidR="00302AB5" w:rsidRPr="001877C4" w:rsidRDefault="00302AB5" w:rsidP="00566B59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877C4">
        <w:rPr>
          <w:rFonts w:ascii="Verdana" w:hAnsi="Verdana"/>
          <w:sz w:val="20"/>
          <w:lang w:eastAsia="cs-CZ"/>
        </w:rPr>
        <w:t xml:space="preserve">Dodání náhradních dílů, je činnost, která je mimo rozsah servisních služeb dle čl. 2 odst. 2.1 této smlouvy, není součástí ceny za provádění servisních služeb dle čl. 3 odst. 3.1 této smlouvy a rovněž není předmětem hodnocení nabídky účastníka v rámci této veřejné zakázky. Poskytnutí této činností ze strany zhotovitele (vč. ceny) bude vždy předem odsouhlaseno zástupcem objednatele a bude ze strany zhotovitele účtováno zvlášť. </w:t>
      </w:r>
    </w:p>
    <w:p w14:paraId="516E4368" w14:textId="197D4D63" w:rsidR="00302AB5" w:rsidRPr="00302AB5" w:rsidRDefault="00302AB5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1DB4FF4E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bookmarkStart w:id="2" w:name="_Hlk202187137"/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CB7B3B">
        <w:rPr>
          <w:rFonts w:ascii="Verdana" w:hAnsi="Verdana"/>
          <w:sz w:val="20"/>
          <w:lang w:eastAsia="cs-CZ"/>
        </w:rPr>
        <w:t>5</w:t>
      </w:r>
      <w:r w:rsidR="0065372A">
        <w:rPr>
          <w:rFonts w:ascii="Verdana" w:hAnsi="Verdana"/>
          <w:sz w:val="20"/>
          <w:lang w:eastAsia="cs-CZ"/>
        </w:rPr>
        <w:t> </w:t>
      </w:r>
      <w:r w:rsidR="00CB7B3B">
        <w:rPr>
          <w:rFonts w:ascii="Verdana" w:hAnsi="Verdana"/>
          <w:sz w:val="20"/>
          <w:lang w:eastAsia="cs-CZ"/>
        </w:rPr>
        <w:t>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bookmarkEnd w:id="2"/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6E25B883" w:rsidR="00B96387" w:rsidRPr="0065372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 w:rsidRPr="005707EA">
        <w:rPr>
          <w:rFonts w:ascii="Verdana" w:hAnsi="Verdana"/>
          <w:sz w:val="20"/>
          <w:lang w:eastAsia="cs-CZ"/>
        </w:rPr>
        <w:t xml:space="preserve">Místem provádění servisních služeb je </w:t>
      </w:r>
      <w:r w:rsidR="0065372A" w:rsidRPr="0065372A">
        <w:rPr>
          <w:rFonts w:ascii="Verdana" w:hAnsi="Verdana"/>
          <w:bCs/>
          <w:sz w:val="20"/>
          <w:lang w:eastAsia="cs-CZ"/>
        </w:rPr>
        <w:t xml:space="preserve">Domov se zvláštním režimem s adresou </w:t>
      </w:r>
      <w:r w:rsidR="0065372A" w:rsidRPr="0065372A">
        <w:rPr>
          <w:rFonts w:ascii="Verdana" w:hAnsi="Verdana"/>
          <w:b/>
          <w:sz w:val="20"/>
          <w:lang w:eastAsia="cs-CZ"/>
        </w:rPr>
        <w:t>Na Celně 1405, 293 01 Mladá Boleslav</w:t>
      </w:r>
      <w:r w:rsidRPr="0065372A">
        <w:rPr>
          <w:rFonts w:ascii="Verdana" w:hAnsi="Verdana"/>
          <w:bCs/>
          <w:sz w:val="20"/>
          <w:lang w:eastAsia="cs-CZ"/>
        </w:rPr>
        <w:t>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5707EA">
        <w:rPr>
          <w:rFonts w:ascii="Verdana" w:hAnsi="Verdana"/>
          <w:sz w:val="20"/>
          <w:lang w:eastAsia="cs-CZ"/>
        </w:rPr>
        <w:t>O provedené servisní službě bude vyhotoven písemný záznam (servisní list)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11D034D7" w14:textId="601C3ACF" w:rsidR="00B96387" w:rsidRPr="004B6B28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b/>
          <w:bCs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</w:p>
    <w:p w14:paraId="7B87E42F" w14:textId="38884DC4" w:rsidR="00B96387" w:rsidRPr="00CB7B3B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tel: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</w:p>
    <w:p w14:paraId="2749D53D" w14:textId="0F8D3DCB" w:rsidR="00B96387" w:rsidRDefault="00B96387" w:rsidP="00B963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email: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</w:r>
      <w:r w:rsidR="00CB7B3B">
        <w:rPr>
          <w:rFonts w:ascii="Verdana" w:hAnsi="Verdana"/>
          <w:sz w:val="20"/>
          <w:lang w:eastAsia="cs-CZ"/>
        </w:rPr>
        <w:tab/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24C526B7" w14:textId="6E17B827" w:rsidR="00B95F37" w:rsidRPr="00E03D98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E03D98">
        <w:rPr>
          <w:rFonts w:ascii="Verdana" w:hAnsi="Verdana"/>
          <w:sz w:val="20"/>
          <w:lang w:eastAsia="cs-CZ"/>
        </w:rPr>
        <w:t>Jméno a příjmení:</w:t>
      </w:r>
      <w:r w:rsidRPr="00E03D98">
        <w:rPr>
          <w:rFonts w:ascii="Verdana" w:hAnsi="Verdana"/>
          <w:sz w:val="20"/>
          <w:lang w:eastAsia="cs-CZ"/>
        </w:rPr>
        <w:tab/>
      </w:r>
    </w:p>
    <w:p w14:paraId="3A6B1239" w14:textId="27F14603" w:rsidR="00B95F37" w:rsidRPr="00E03D98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E03D98">
        <w:rPr>
          <w:rFonts w:ascii="Verdana" w:hAnsi="Verdana"/>
          <w:sz w:val="20"/>
          <w:lang w:eastAsia="cs-CZ"/>
        </w:rPr>
        <w:t>tel:</w:t>
      </w:r>
      <w:r w:rsidRPr="00E03D98">
        <w:rPr>
          <w:rFonts w:ascii="Verdana" w:hAnsi="Verdana"/>
          <w:sz w:val="20"/>
          <w:lang w:eastAsia="cs-CZ"/>
        </w:rPr>
        <w:tab/>
      </w:r>
      <w:r w:rsidRPr="00E03D98">
        <w:rPr>
          <w:rFonts w:ascii="Verdana" w:hAnsi="Verdana"/>
          <w:sz w:val="20"/>
          <w:lang w:eastAsia="cs-CZ"/>
        </w:rPr>
        <w:tab/>
      </w:r>
      <w:r w:rsidRPr="00E03D98">
        <w:rPr>
          <w:rFonts w:ascii="Verdana" w:hAnsi="Verdana"/>
          <w:sz w:val="20"/>
          <w:lang w:eastAsia="cs-CZ"/>
        </w:rPr>
        <w:tab/>
      </w:r>
    </w:p>
    <w:p w14:paraId="38A6E315" w14:textId="42754553" w:rsidR="00B95F37" w:rsidRPr="00E03D98" w:rsidRDefault="00B95F37" w:rsidP="00B95F3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E03D98">
        <w:rPr>
          <w:rFonts w:ascii="Verdana" w:hAnsi="Verdana"/>
          <w:sz w:val="20"/>
          <w:lang w:eastAsia="cs-CZ"/>
        </w:rPr>
        <w:t>email:</w:t>
      </w:r>
      <w:r w:rsidRPr="00E03D98">
        <w:rPr>
          <w:rFonts w:ascii="Verdana" w:hAnsi="Verdana"/>
          <w:sz w:val="20"/>
          <w:lang w:eastAsia="cs-CZ"/>
        </w:rPr>
        <w:tab/>
      </w:r>
      <w:r w:rsidRPr="00E03D98">
        <w:rPr>
          <w:rFonts w:ascii="Verdana" w:hAnsi="Verdana"/>
          <w:sz w:val="20"/>
          <w:lang w:eastAsia="cs-CZ"/>
        </w:rPr>
        <w:tab/>
      </w:r>
      <w:r w:rsidRPr="00E03D98">
        <w:rPr>
          <w:rFonts w:ascii="Verdana" w:hAnsi="Verdana"/>
          <w:sz w:val="20"/>
          <w:lang w:eastAsia="cs-CZ"/>
        </w:rPr>
        <w:tab/>
      </w:r>
    </w:p>
    <w:p w14:paraId="67167F82" w14:textId="66220ACB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4304FD17" w14:textId="316E320C" w:rsidR="005707EA" w:rsidRDefault="005707EA" w:rsidP="005707EA">
      <w:pPr>
        <w:rPr>
          <w:lang w:eastAsia="cs-CZ"/>
        </w:rPr>
      </w:pPr>
    </w:p>
    <w:p w14:paraId="6B82D644" w14:textId="77777777" w:rsidR="005707EA" w:rsidRPr="005707EA" w:rsidRDefault="005707EA" w:rsidP="005707EA">
      <w:pPr>
        <w:rPr>
          <w:lang w:eastAsia="cs-CZ"/>
        </w:rPr>
      </w:pPr>
    </w:p>
    <w:p w14:paraId="65269E47" w14:textId="2DDF2F30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47731186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výši </w:t>
      </w:r>
      <w:r w:rsidR="00E03D98">
        <w:rPr>
          <w:rFonts w:ascii="Verdana" w:hAnsi="Verdana"/>
          <w:b/>
          <w:sz w:val="20"/>
          <w:lang w:eastAsia="cs-CZ"/>
        </w:rPr>
        <w:t>55.926</w:t>
      </w:r>
      <w:r>
        <w:rPr>
          <w:rFonts w:ascii="Verdana" w:hAnsi="Verdana"/>
          <w:sz w:val="20"/>
          <w:lang w:eastAsia="cs-CZ"/>
        </w:rPr>
        <w:t>,-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3"/>
    <w:p w14:paraId="6E0ED11F" w14:textId="17A8225F" w:rsidR="0065372A" w:rsidRDefault="0065372A" w:rsidP="0065372A">
      <w:pPr>
        <w:pStyle w:val="Nadpis2"/>
        <w:keepNext w:val="0"/>
        <w:spacing w:after="60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Objednatel souhlasí se zasíláním faktur elektronicky na </w:t>
      </w:r>
      <w:hyperlink r:id="rId9" w:history="1">
        <w:r w:rsidRPr="009316EF">
          <w:rPr>
            <w:rStyle w:val="Hypertextovodkaz"/>
            <w:rFonts w:ascii="Verdana" w:hAnsi="Verdana"/>
            <w:sz w:val="20"/>
            <w:lang w:eastAsia="cs-CZ"/>
          </w:rPr>
          <w:t>podatelna@onmb.cz</w:t>
        </w:r>
      </w:hyperlink>
      <w:r>
        <w:rPr>
          <w:rFonts w:ascii="Verdana" w:hAnsi="Verdana"/>
          <w:sz w:val="20"/>
          <w:lang w:eastAsia="cs-CZ"/>
        </w:rPr>
        <w:t>.</w:t>
      </w:r>
    </w:p>
    <w:p w14:paraId="5793272D" w14:textId="7CCC1E9C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4" w:name="_Hlk131074513"/>
      <w:bookmarkStart w:id="5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6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6"/>
      <w:r w:rsidRPr="00CB7B3B">
        <w:rPr>
          <w:rFonts w:ascii="Verdana" w:hAnsi="Verdana"/>
          <w:sz w:val="20"/>
          <w:lang w:eastAsia="cs-CZ"/>
        </w:rPr>
        <w:t>, je zhotovitel oprávněn jednou ročně provést jednostranné zvýšení odměny, o to maximálně o míru inflace vyjádřenou přírůstkem průměrného indexu spotřebitelských cen (CPI-</w:t>
      </w:r>
      <w:proofErr w:type="spellStart"/>
      <w:r w:rsidRPr="00CB7B3B">
        <w:rPr>
          <w:rFonts w:ascii="Verdana" w:hAnsi="Verdana"/>
          <w:sz w:val="20"/>
          <w:lang w:eastAsia="cs-CZ"/>
        </w:rPr>
        <w:t>Consumer</w:t>
      </w:r>
      <w:proofErr w:type="spellEnd"/>
      <w:r w:rsidRPr="00CB7B3B">
        <w:rPr>
          <w:rFonts w:ascii="Verdana" w:hAnsi="Verdana"/>
          <w:sz w:val="20"/>
          <w:lang w:eastAsia="cs-CZ"/>
        </w:rPr>
        <w:t xml:space="preserve"> </w:t>
      </w:r>
      <w:proofErr w:type="spellStart"/>
      <w:r w:rsidRPr="00CB7B3B">
        <w:rPr>
          <w:rFonts w:ascii="Verdana" w:hAnsi="Verdana"/>
          <w:sz w:val="20"/>
          <w:lang w:eastAsia="cs-CZ"/>
        </w:rPr>
        <w:t>Price</w:t>
      </w:r>
      <w:proofErr w:type="spellEnd"/>
      <w:r w:rsidRPr="00CB7B3B">
        <w:rPr>
          <w:rFonts w:ascii="Verdana" w:hAnsi="Verdana"/>
          <w:sz w:val="20"/>
          <w:lang w:eastAsia="cs-CZ"/>
        </w:rPr>
        <w:t xml:space="preserve">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4"/>
    </w:p>
    <w:bookmarkEnd w:id="5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0C942D24" w14:textId="1688FA8A" w:rsidR="005707EA" w:rsidRPr="005707EA" w:rsidRDefault="00B96387" w:rsidP="005707EA">
      <w:pPr>
        <w:pStyle w:val="Nadpis2"/>
        <w:keepNext w:val="0"/>
        <w:widowControl/>
        <w:adjustRightInd/>
        <w:spacing w:before="120" w:after="24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  <w:t xml:space="preserve">  6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lastRenderedPageBreak/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6759FC69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</w:t>
      </w:r>
      <w:r w:rsidR="007401F3">
        <w:rPr>
          <w:rFonts w:ascii="Verdana" w:hAnsi="Verdana"/>
          <w:sz w:val="20"/>
          <w:lang w:eastAsia="cs-CZ"/>
        </w:rPr>
        <w:t xml:space="preserve"> a </w:t>
      </w:r>
      <w:r w:rsidRPr="00C04E91">
        <w:rPr>
          <w:rFonts w:ascii="Verdana" w:hAnsi="Verdana"/>
          <w:sz w:val="20"/>
          <w:lang w:eastAsia="cs-CZ"/>
        </w:rPr>
        <w:t>nedostatečnou údržbou</w:t>
      </w:r>
      <w:r w:rsidR="007401F3">
        <w:rPr>
          <w:rFonts w:ascii="Verdana" w:hAnsi="Verdana"/>
          <w:sz w:val="20"/>
          <w:lang w:eastAsia="cs-CZ"/>
        </w:rPr>
        <w:t>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7BE9A0F5" w14:textId="69131BBE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5FC086F6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r w:rsidR="0065372A">
        <w:rPr>
          <w:rFonts w:ascii="Verdana" w:hAnsi="Verdana"/>
          <w:sz w:val="20"/>
        </w:rPr>
        <w:t>2.0</w:t>
      </w:r>
      <w:r w:rsidRPr="001F6D42">
        <w:rPr>
          <w:rFonts w:ascii="Verdana" w:hAnsi="Verdana"/>
          <w:sz w:val="20"/>
        </w:rPr>
        <w:t xml:space="preserve">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0392EC7F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r w:rsidR="0065372A">
        <w:rPr>
          <w:rFonts w:ascii="Verdana" w:hAnsi="Verdana"/>
          <w:sz w:val="20"/>
        </w:rPr>
        <w:t>2.0</w:t>
      </w:r>
      <w:r>
        <w:rPr>
          <w:rFonts w:ascii="Verdana" w:hAnsi="Verdana"/>
          <w:sz w:val="20"/>
        </w:rPr>
        <w:t>00,- Kč za každý započatý den prodlení s odstraněním závad zařízení,</w:t>
      </w:r>
    </w:p>
    <w:p w14:paraId="70ED1C71" w14:textId="05ED94BF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výši </w:t>
      </w:r>
      <w:r w:rsidR="0065372A">
        <w:rPr>
          <w:rFonts w:ascii="Verdana" w:hAnsi="Verdana"/>
          <w:sz w:val="20"/>
        </w:rPr>
        <w:t>5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3BD13EB" w14:textId="7FA7F781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2D994B5D" w14:textId="7382D7E9" w:rsidR="00C86D39" w:rsidRPr="00C86D39" w:rsidRDefault="00B96387" w:rsidP="00C86D39">
      <w:pPr>
        <w:pStyle w:val="Nadpis2"/>
        <w:keepNext w:val="0"/>
        <w:widowControl/>
        <w:tabs>
          <w:tab w:val="num" w:pos="993"/>
        </w:tabs>
        <w:adjustRightInd/>
        <w:spacing w:after="24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98D5725" w14:textId="6FF3DC1C" w:rsidR="003F79F5" w:rsidRPr="00C86D39" w:rsidRDefault="00B96387" w:rsidP="00C86D39">
      <w:pPr>
        <w:pStyle w:val="Nadpis2"/>
        <w:keepNext w:val="0"/>
        <w:widowControl/>
        <w:adjustRightInd/>
        <w:spacing w:after="24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lastRenderedPageBreak/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6B2665EB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</w:t>
      </w:r>
      <w:r w:rsidR="0065372A" w:rsidRPr="0065372A">
        <w:rPr>
          <w:rFonts w:ascii="Verdana" w:hAnsi="Verdana"/>
          <w:sz w:val="20"/>
          <w:lang w:eastAsia="cs-CZ"/>
        </w:rPr>
        <w:t xml:space="preserve"> </w:t>
      </w:r>
      <w:r w:rsidR="0065372A">
        <w:rPr>
          <w:rFonts w:ascii="Verdana" w:hAnsi="Verdana"/>
          <w:sz w:val="20"/>
          <w:lang w:eastAsia="cs-CZ"/>
        </w:rPr>
        <w:t>prostředky vytvářejícími důvěru v elektronické transakce</w:t>
      </w:r>
      <w:r>
        <w:rPr>
          <w:rFonts w:ascii="Verdana" w:hAnsi="Verdana"/>
          <w:sz w:val="20"/>
          <w:lang w:eastAsia="cs-CZ"/>
        </w:rPr>
        <w:t xml:space="preserve">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F334B9" w14:paraId="32ABFF4D" w14:textId="77777777" w:rsidTr="00A21029">
        <w:trPr>
          <w:jc w:val="center"/>
        </w:trPr>
        <w:tc>
          <w:tcPr>
            <w:tcW w:w="4606" w:type="dxa"/>
          </w:tcPr>
          <w:p w14:paraId="611BD933" w14:textId="5DB5E69F" w:rsidR="00B96387" w:rsidRPr="00F334B9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proofErr w:type="spellStart"/>
            <w:r w:rsidR="00E03D98">
              <w:rPr>
                <w:rFonts w:eastAsia="Times New Roman"/>
                <w:sz w:val="20"/>
                <w:szCs w:val="20"/>
                <w:lang w:eastAsia="cs-CZ"/>
              </w:rPr>
              <w:t>Želevčicích</w:t>
            </w:r>
            <w:proofErr w:type="spellEnd"/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E03D98">
              <w:rPr>
                <w:rFonts w:eastAsia="Times New Roman"/>
                <w:sz w:val="20"/>
                <w:szCs w:val="20"/>
                <w:lang w:eastAsia="cs-CZ"/>
              </w:rPr>
              <w:t>dle el. podpisu</w:t>
            </w:r>
          </w:p>
        </w:tc>
        <w:tc>
          <w:tcPr>
            <w:tcW w:w="4606" w:type="dxa"/>
          </w:tcPr>
          <w:p w14:paraId="04685C5D" w14:textId="0C4C3C30" w:rsidR="00B96387" w:rsidRPr="00F334B9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E03D98">
              <w:rPr>
                <w:rFonts w:eastAsia="Times New Roman"/>
                <w:sz w:val="20"/>
                <w:szCs w:val="20"/>
                <w:lang w:eastAsia="cs-CZ"/>
              </w:rPr>
              <w:t>dle el. podpisu</w:t>
            </w:r>
          </w:p>
        </w:tc>
      </w:tr>
      <w:tr w:rsidR="00B96387" w:rsidRPr="00F334B9" w14:paraId="7729A30F" w14:textId="77777777" w:rsidTr="00A21029">
        <w:trPr>
          <w:trHeight w:val="120"/>
          <w:jc w:val="center"/>
        </w:trPr>
        <w:tc>
          <w:tcPr>
            <w:tcW w:w="4606" w:type="dxa"/>
          </w:tcPr>
          <w:p w14:paraId="0B6E0A9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97E4C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3024B8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6FD87CE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4F9EF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D5091CB" w14:textId="77777777" w:rsidR="00B96387" w:rsidRDefault="00E03D98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L I N E T spol. s r.o.</w:t>
            </w:r>
          </w:p>
          <w:p w14:paraId="376C7F40" w14:textId="77777777" w:rsidR="00E03D98" w:rsidRPr="00E03D98" w:rsidRDefault="00E03D98" w:rsidP="00A21029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E03D98">
              <w:rPr>
                <w:rFonts w:eastAsia="Times New Roman"/>
                <w:bCs/>
                <w:sz w:val="20"/>
                <w:szCs w:val="20"/>
                <w:lang w:eastAsia="cs-CZ"/>
              </w:rPr>
              <w:t>Petr Smetana</w:t>
            </w:r>
          </w:p>
          <w:p w14:paraId="549214E3" w14:textId="4DC6E8BC" w:rsidR="00E03D98" w:rsidRPr="00F334B9" w:rsidRDefault="00E03D98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E03D98">
              <w:rPr>
                <w:rFonts w:eastAsia="Times New Roman"/>
                <w:bCs/>
                <w:sz w:val="20"/>
                <w:szCs w:val="20"/>
                <w:lang w:eastAsia="cs-CZ"/>
              </w:rPr>
              <w:t>Customer</w:t>
            </w:r>
            <w:proofErr w:type="spellEnd"/>
            <w:r w:rsidRPr="00E03D98">
              <w:rPr>
                <w:rFonts w:eastAsia="Times New Roman"/>
                <w:bCs/>
                <w:sz w:val="20"/>
                <w:szCs w:val="20"/>
                <w:lang w:eastAsia="cs-CZ"/>
              </w:rPr>
              <w:t xml:space="preserve"> Service manager – na základě plné moci</w:t>
            </w:r>
          </w:p>
        </w:tc>
        <w:tc>
          <w:tcPr>
            <w:tcW w:w="4606" w:type="dxa"/>
          </w:tcPr>
          <w:p w14:paraId="03383A49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CD9DB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96387" w:rsidRPr="0016146E" w14:paraId="0C76186A" w14:textId="77777777" w:rsidTr="00A21029">
        <w:trPr>
          <w:trHeight w:val="120"/>
          <w:jc w:val="center"/>
        </w:trPr>
        <w:tc>
          <w:tcPr>
            <w:tcW w:w="4606" w:type="dxa"/>
          </w:tcPr>
          <w:p w14:paraId="13616C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5084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B8FC2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B96387" w:rsidRPr="0016146E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10"/>
      <w:footerReference w:type="even" r:id="rId11"/>
      <w:footerReference w:type="default" r:id="rId12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B5E89" w14:textId="77777777" w:rsidR="006C21E2" w:rsidRDefault="006C21E2">
      <w:r>
        <w:separator/>
      </w:r>
    </w:p>
  </w:endnote>
  <w:endnote w:type="continuationSeparator" w:id="0">
    <w:p w14:paraId="32A663D0" w14:textId="77777777" w:rsidR="006C21E2" w:rsidRDefault="006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E232C6" w:rsidRPr="00E232C6">
        <w:rPr>
          <w:noProof/>
          <w:sz w:val="18"/>
        </w:rPr>
        <w:t>10</w:t>
      </w:r>
    </w:fldSimple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F83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B933" w14:textId="77777777" w:rsidR="006C21E2" w:rsidRDefault="006C21E2">
      <w:r>
        <w:separator/>
      </w:r>
    </w:p>
  </w:footnote>
  <w:footnote w:type="continuationSeparator" w:id="0">
    <w:p w14:paraId="2410F4EB" w14:textId="77777777" w:rsidR="006C21E2" w:rsidRDefault="006C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E99C936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67496">
    <w:abstractNumId w:val="7"/>
  </w:num>
  <w:num w:numId="2" w16cid:durableId="1338382729">
    <w:abstractNumId w:val="6"/>
  </w:num>
  <w:num w:numId="3" w16cid:durableId="600796635">
    <w:abstractNumId w:val="7"/>
  </w:num>
  <w:num w:numId="4" w16cid:durableId="314144694">
    <w:abstractNumId w:val="7"/>
  </w:num>
  <w:num w:numId="5" w16cid:durableId="1547136952">
    <w:abstractNumId w:val="7"/>
  </w:num>
  <w:num w:numId="6" w16cid:durableId="966475591">
    <w:abstractNumId w:val="5"/>
  </w:num>
  <w:num w:numId="7" w16cid:durableId="986517522">
    <w:abstractNumId w:val="7"/>
  </w:num>
  <w:num w:numId="8" w16cid:durableId="64767080">
    <w:abstractNumId w:val="7"/>
  </w:num>
  <w:num w:numId="9" w16cid:durableId="928078257">
    <w:abstractNumId w:val="7"/>
  </w:num>
  <w:num w:numId="10" w16cid:durableId="1746025567">
    <w:abstractNumId w:val="7"/>
  </w:num>
  <w:num w:numId="11" w16cid:durableId="1878930328">
    <w:abstractNumId w:val="7"/>
  </w:num>
  <w:num w:numId="12" w16cid:durableId="1745058384">
    <w:abstractNumId w:val="10"/>
  </w:num>
  <w:num w:numId="13" w16cid:durableId="102968104">
    <w:abstractNumId w:val="3"/>
  </w:num>
  <w:num w:numId="14" w16cid:durableId="1607427631">
    <w:abstractNumId w:val="9"/>
  </w:num>
  <w:num w:numId="15" w16cid:durableId="1375496494">
    <w:abstractNumId w:val="8"/>
  </w:num>
  <w:num w:numId="16" w16cid:durableId="148284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32854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7CCF"/>
    <w:rsid w:val="0005344E"/>
    <w:rsid w:val="00054739"/>
    <w:rsid w:val="00060BEF"/>
    <w:rsid w:val="00062981"/>
    <w:rsid w:val="00071C67"/>
    <w:rsid w:val="00075EE0"/>
    <w:rsid w:val="000768A3"/>
    <w:rsid w:val="000820A7"/>
    <w:rsid w:val="0008675B"/>
    <w:rsid w:val="00092E07"/>
    <w:rsid w:val="000941A4"/>
    <w:rsid w:val="000A145F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877C4"/>
    <w:rsid w:val="001924E4"/>
    <w:rsid w:val="00192646"/>
    <w:rsid w:val="001A76B3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B2EB7"/>
    <w:rsid w:val="002B7AC2"/>
    <w:rsid w:val="002C1A09"/>
    <w:rsid w:val="002C7F1E"/>
    <w:rsid w:val="002D58E7"/>
    <w:rsid w:val="002E0F8A"/>
    <w:rsid w:val="002E37B0"/>
    <w:rsid w:val="002E5601"/>
    <w:rsid w:val="002F0E7F"/>
    <w:rsid w:val="002F274A"/>
    <w:rsid w:val="0030243D"/>
    <w:rsid w:val="00302AB5"/>
    <w:rsid w:val="003101C8"/>
    <w:rsid w:val="0031047A"/>
    <w:rsid w:val="003113D3"/>
    <w:rsid w:val="003161D0"/>
    <w:rsid w:val="00317851"/>
    <w:rsid w:val="003207FD"/>
    <w:rsid w:val="00324679"/>
    <w:rsid w:val="003252F2"/>
    <w:rsid w:val="003319C2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4AAE"/>
    <w:rsid w:val="00367AB2"/>
    <w:rsid w:val="003730D0"/>
    <w:rsid w:val="00374248"/>
    <w:rsid w:val="00380018"/>
    <w:rsid w:val="0038549C"/>
    <w:rsid w:val="00390F93"/>
    <w:rsid w:val="0039689D"/>
    <w:rsid w:val="00397B61"/>
    <w:rsid w:val="003A7704"/>
    <w:rsid w:val="003B099D"/>
    <w:rsid w:val="003B2CA0"/>
    <w:rsid w:val="003C5522"/>
    <w:rsid w:val="003D042E"/>
    <w:rsid w:val="003D07A9"/>
    <w:rsid w:val="003D4DF4"/>
    <w:rsid w:val="003D4F04"/>
    <w:rsid w:val="003D5C27"/>
    <w:rsid w:val="003E2620"/>
    <w:rsid w:val="003E3FFC"/>
    <w:rsid w:val="003E4DAA"/>
    <w:rsid w:val="003F79F5"/>
    <w:rsid w:val="00400162"/>
    <w:rsid w:val="004136B8"/>
    <w:rsid w:val="004137AF"/>
    <w:rsid w:val="00414FB9"/>
    <w:rsid w:val="00415B20"/>
    <w:rsid w:val="00422462"/>
    <w:rsid w:val="00423F5A"/>
    <w:rsid w:val="0043063D"/>
    <w:rsid w:val="0043093D"/>
    <w:rsid w:val="00446B2C"/>
    <w:rsid w:val="0044764B"/>
    <w:rsid w:val="00453EDD"/>
    <w:rsid w:val="00456A05"/>
    <w:rsid w:val="00456EDA"/>
    <w:rsid w:val="004624C6"/>
    <w:rsid w:val="00465F91"/>
    <w:rsid w:val="00470FCF"/>
    <w:rsid w:val="004714AE"/>
    <w:rsid w:val="00471632"/>
    <w:rsid w:val="00472B69"/>
    <w:rsid w:val="00490CCF"/>
    <w:rsid w:val="00493220"/>
    <w:rsid w:val="004A421F"/>
    <w:rsid w:val="004B1CED"/>
    <w:rsid w:val="004B3A73"/>
    <w:rsid w:val="004B3C1D"/>
    <w:rsid w:val="004B48E4"/>
    <w:rsid w:val="004B5F72"/>
    <w:rsid w:val="004B6B28"/>
    <w:rsid w:val="004B711D"/>
    <w:rsid w:val="004B75E6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66B59"/>
    <w:rsid w:val="005707EA"/>
    <w:rsid w:val="00576783"/>
    <w:rsid w:val="00577E71"/>
    <w:rsid w:val="00581809"/>
    <w:rsid w:val="00583855"/>
    <w:rsid w:val="005839ED"/>
    <w:rsid w:val="00584564"/>
    <w:rsid w:val="005860F5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0EF"/>
    <w:rsid w:val="006075A2"/>
    <w:rsid w:val="006079B8"/>
    <w:rsid w:val="00612A61"/>
    <w:rsid w:val="00614989"/>
    <w:rsid w:val="006224F9"/>
    <w:rsid w:val="00622759"/>
    <w:rsid w:val="0062355D"/>
    <w:rsid w:val="00623E0B"/>
    <w:rsid w:val="00626558"/>
    <w:rsid w:val="0062683B"/>
    <w:rsid w:val="006370D6"/>
    <w:rsid w:val="00642C4B"/>
    <w:rsid w:val="00644203"/>
    <w:rsid w:val="006453C1"/>
    <w:rsid w:val="0065372A"/>
    <w:rsid w:val="00655CDB"/>
    <w:rsid w:val="00656B0E"/>
    <w:rsid w:val="00664B0F"/>
    <w:rsid w:val="00666F9A"/>
    <w:rsid w:val="00667ECB"/>
    <w:rsid w:val="00671579"/>
    <w:rsid w:val="00671806"/>
    <w:rsid w:val="00672711"/>
    <w:rsid w:val="00676C8F"/>
    <w:rsid w:val="0068190F"/>
    <w:rsid w:val="006877BF"/>
    <w:rsid w:val="006A3D1E"/>
    <w:rsid w:val="006B16E2"/>
    <w:rsid w:val="006B4CAC"/>
    <w:rsid w:val="006B7F60"/>
    <w:rsid w:val="006C038C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67D7"/>
    <w:rsid w:val="00716CDA"/>
    <w:rsid w:val="00717161"/>
    <w:rsid w:val="0071760A"/>
    <w:rsid w:val="00724484"/>
    <w:rsid w:val="00725458"/>
    <w:rsid w:val="00731867"/>
    <w:rsid w:val="00732749"/>
    <w:rsid w:val="00733BCA"/>
    <w:rsid w:val="00735E26"/>
    <w:rsid w:val="0073643D"/>
    <w:rsid w:val="00737EC2"/>
    <w:rsid w:val="007401F3"/>
    <w:rsid w:val="00742335"/>
    <w:rsid w:val="0074359C"/>
    <w:rsid w:val="007444F1"/>
    <w:rsid w:val="0074683A"/>
    <w:rsid w:val="0075045F"/>
    <w:rsid w:val="0075637D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2ECF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42B"/>
    <w:rsid w:val="00851348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54C1"/>
    <w:rsid w:val="008B2F4C"/>
    <w:rsid w:val="008B5432"/>
    <w:rsid w:val="008B7CFC"/>
    <w:rsid w:val="008C1E92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5703"/>
    <w:rsid w:val="0099754B"/>
    <w:rsid w:val="009B0AF3"/>
    <w:rsid w:val="009B19DF"/>
    <w:rsid w:val="009B617D"/>
    <w:rsid w:val="009B6A60"/>
    <w:rsid w:val="009D0BA5"/>
    <w:rsid w:val="009E1F96"/>
    <w:rsid w:val="009E31EE"/>
    <w:rsid w:val="009E5F33"/>
    <w:rsid w:val="009E75D9"/>
    <w:rsid w:val="009F213D"/>
    <w:rsid w:val="009F3BFA"/>
    <w:rsid w:val="00A05A88"/>
    <w:rsid w:val="00A07F4B"/>
    <w:rsid w:val="00A1045E"/>
    <w:rsid w:val="00A14155"/>
    <w:rsid w:val="00A14F9F"/>
    <w:rsid w:val="00A15EF1"/>
    <w:rsid w:val="00A16116"/>
    <w:rsid w:val="00A23AD9"/>
    <w:rsid w:val="00A515BD"/>
    <w:rsid w:val="00A51B1A"/>
    <w:rsid w:val="00A5571E"/>
    <w:rsid w:val="00A5646D"/>
    <w:rsid w:val="00A57CF7"/>
    <w:rsid w:val="00A70AF4"/>
    <w:rsid w:val="00A715A7"/>
    <w:rsid w:val="00A716E9"/>
    <w:rsid w:val="00A73BAA"/>
    <w:rsid w:val="00A812E8"/>
    <w:rsid w:val="00A94520"/>
    <w:rsid w:val="00A94BF5"/>
    <w:rsid w:val="00A95CA1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4C54"/>
    <w:rsid w:val="00B178FA"/>
    <w:rsid w:val="00B321D5"/>
    <w:rsid w:val="00B32A18"/>
    <w:rsid w:val="00B354AD"/>
    <w:rsid w:val="00B36078"/>
    <w:rsid w:val="00B408E2"/>
    <w:rsid w:val="00B42845"/>
    <w:rsid w:val="00B44CD5"/>
    <w:rsid w:val="00B51C69"/>
    <w:rsid w:val="00B53F75"/>
    <w:rsid w:val="00B600C8"/>
    <w:rsid w:val="00B63996"/>
    <w:rsid w:val="00B70C4C"/>
    <w:rsid w:val="00B7531C"/>
    <w:rsid w:val="00B7667B"/>
    <w:rsid w:val="00B92773"/>
    <w:rsid w:val="00B95AB0"/>
    <w:rsid w:val="00B95F37"/>
    <w:rsid w:val="00B96387"/>
    <w:rsid w:val="00B967DA"/>
    <w:rsid w:val="00BC556F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0426"/>
    <w:rsid w:val="00C02B12"/>
    <w:rsid w:val="00C0305D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3861"/>
    <w:rsid w:val="00C46230"/>
    <w:rsid w:val="00C465CF"/>
    <w:rsid w:val="00C5245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6D39"/>
    <w:rsid w:val="00C87425"/>
    <w:rsid w:val="00C926C8"/>
    <w:rsid w:val="00C930EA"/>
    <w:rsid w:val="00CA0772"/>
    <w:rsid w:val="00CA1988"/>
    <w:rsid w:val="00CA4E08"/>
    <w:rsid w:val="00CB63DD"/>
    <w:rsid w:val="00CB717E"/>
    <w:rsid w:val="00CB7B3B"/>
    <w:rsid w:val="00CC3BEB"/>
    <w:rsid w:val="00CC4E1F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1659"/>
    <w:rsid w:val="00D11CFD"/>
    <w:rsid w:val="00D14B78"/>
    <w:rsid w:val="00D15999"/>
    <w:rsid w:val="00D2182A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7CE6"/>
    <w:rsid w:val="00D9025E"/>
    <w:rsid w:val="00D9795D"/>
    <w:rsid w:val="00DA274C"/>
    <w:rsid w:val="00DA2E76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3D9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461DF"/>
    <w:rsid w:val="00E52453"/>
    <w:rsid w:val="00E64B7E"/>
    <w:rsid w:val="00E6719C"/>
    <w:rsid w:val="00E86694"/>
    <w:rsid w:val="00E86722"/>
    <w:rsid w:val="00E86E20"/>
    <w:rsid w:val="00E87035"/>
    <w:rsid w:val="00E8754B"/>
    <w:rsid w:val="00E95035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EF6B0A"/>
    <w:rsid w:val="00F029CC"/>
    <w:rsid w:val="00F03887"/>
    <w:rsid w:val="00F055B3"/>
    <w:rsid w:val="00F06664"/>
    <w:rsid w:val="00F06957"/>
    <w:rsid w:val="00F11A21"/>
    <w:rsid w:val="00F140EA"/>
    <w:rsid w:val="00F242F7"/>
    <w:rsid w:val="00F246C5"/>
    <w:rsid w:val="00F26C94"/>
    <w:rsid w:val="00F2700C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2F23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uiPriority w:val="99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E5601"/>
    <w:rPr>
      <w:rFonts w:ascii="Verdana" w:eastAsia="Calibri" w:hAnsi="Verdana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5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udianovanemocnice.cz/pokyny-na-useku-bozp-a-po-pro-externi-subjek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onmb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D95D-35F1-4031-8FB0-DA69184C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2608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Kučera Ondřej | ONMB</cp:lastModifiedBy>
  <cp:revision>11</cp:revision>
  <cp:lastPrinted>2025-09-01T09:37:00Z</cp:lastPrinted>
  <dcterms:created xsi:type="dcterms:W3CDTF">2024-12-02T07:20:00Z</dcterms:created>
  <dcterms:modified xsi:type="dcterms:W3CDTF">2025-09-12T04:04:00Z</dcterms:modified>
</cp:coreProperties>
</file>