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8A3D" w14:textId="48CBC375" w:rsidR="00B64E5F" w:rsidRPr="00B64E5F" w:rsidRDefault="00B64E5F" w:rsidP="00EC460C">
      <w:pPr>
        <w:jc w:val="center"/>
        <w:rPr>
          <w:rFonts w:ascii="Arial" w:hAnsi="Arial" w:cs="Arial"/>
          <w:b/>
          <w:bCs/>
          <w:sz w:val="36"/>
          <w:szCs w:val="36"/>
        </w:rPr>
      </w:pPr>
      <w:proofErr w:type="gramStart"/>
      <w:r w:rsidRPr="00B64E5F">
        <w:rPr>
          <w:rFonts w:ascii="Arial" w:hAnsi="Arial" w:cs="Arial"/>
          <w:b/>
          <w:bCs/>
          <w:sz w:val="36"/>
          <w:szCs w:val="36"/>
        </w:rPr>
        <w:t>D</w:t>
      </w:r>
      <w:r>
        <w:rPr>
          <w:rFonts w:ascii="Arial" w:hAnsi="Arial" w:cs="Arial"/>
          <w:b/>
          <w:bCs/>
          <w:sz w:val="36"/>
          <w:szCs w:val="36"/>
        </w:rPr>
        <w:t xml:space="preserve">  </w:t>
      </w:r>
      <w:r w:rsidRPr="00B64E5F">
        <w:rPr>
          <w:rFonts w:ascii="Arial" w:hAnsi="Arial" w:cs="Arial"/>
          <w:b/>
          <w:bCs/>
          <w:sz w:val="36"/>
          <w:szCs w:val="36"/>
        </w:rPr>
        <w:t>O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 </w:t>
      </w:r>
      <w:proofErr w:type="gramStart"/>
      <w:r w:rsidRPr="00B64E5F">
        <w:rPr>
          <w:rFonts w:ascii="Arial" w:hAnsi="Arial" w:cs="Arial"/>
          <w:b/>
          <w:bCs/>
          <w:sz w:val="36"/>
          <w:szCs w:val="36"/>
        </w:rPr>
        <w:t>H</w:t>
      </w:r>
      <w:r>
        <w:rPr>
          <w:rFonts w:ascii="Arial" w:hAnsi="Arial" w:cs="Arial"/>
          <w:b/>
          <w:bCs/>
          <w:sz w:val="36"/>
          <w:szCs w:val="36"/>
        </w:rPr>
        <w:t xml:space="preserve">  </w:t>
      </w:r>
      <w:r w:rsidRPr="00B64E5F">
        <w:rPr>
          <w:rFonts w:ascii="Arial" w:hAnsi="Arial" w:cs="Arial"/>
          <w:b/>
          <w:bCs/>
          <w:sz w:val="36"/>
          <w:szCs w:val="36"/>
        </w:rPr>
        <w:t>O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 </w:t>
      </w:r>
      <w:proofErr w:type="gramStart"/>
      <w:r w:rsidRPr="00B64E5F">
        <w:rPr>
          <w:rFonts w:ascii="Arial" w:hAnsi="Arial" w:cs="Arial"/>
          <w:b/>
          <w:bCs/>
          <w:sz w:val="36"/>
          <w:szCs w:val="36"/>
        </w:rPr>
        <w:t>D</w:t>
      </w:r>
      <w:r>
        <w:rPr>
          <w:rFonts w:ascii="Arial" w:hAnsi="Arial" w:cs="Arial"/>
          <w:b/>
          <w:bCs/>
          <w:sz w:val="36"/>
          <w:szCs w:val="36"/>
        </w:rPr>
        <w:t xml:space="preserve">  </w:t>
      </w:r>
      <w:r w:rsidRPr="00B64E5F">
        <w:rPr>
          <w:rFonts w:ascii="Arial" w:hAnsi="Arial" w:cs="Arial"/>
          <w:b/>
          <w:bCs/>
          <w:sz w:val="36"/>
          <w:szCs w:val="36"/>
        </w:rPr>
        <w:t>A</w:t>
      </w:r>
      <w:proofErr w:type="gramEnd"/>
    </w:p>
    <w:p w14:paraId="5200C33D" w14:textId="0D1108C8" w:rsidR="00EC460C" w:rsidRPr="008A00F2" w:rsidRDefault="00EC460C" w:rsidP="00EC46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00F2">
        <w:rPr>
          <w:rFonts w:ascii="Arial" w:hAnsi="Arial" w:cs="Arial"/>
          <w:b/>
          <w:bCs/>
          <w:sz w:val="24"/>
          <w:szCs w:val="24"/>
        </w:rPr>
        <w:t>o uznání dluhu a způsobu jeho úhrady</w:t>
      </w:r>
    </w:p>
    <w:p w14:paraId="477B44EE" w14:textId="16639041" w:rsidR="00EC460C" w:rsidRPr="00771088" w:rsidRDefault="00EC460C" w:rsidP="00EC460C">
      <w:pPr>
        <w:jc w:val="center"/>
        <w:rPr>
          <w:rFonts w:ascii="Arial" w:hAnsi="Arial" w:cs="Arial"/>
          <w:sz w:val="24"/>
          <w:szCs w:val="24"/>
        </w:rPr>
      </w:pPr>
      <w:r w:rsidRPr="00771088">
        <w:rPr>
          <w:rFonts w:ascii="Arial" w:hAnsi="Arial" w:cs="Arial"/>
          <w:sz w:val="24"/>
          <w:szCs w:val="24"/>
        </w:rPr>
        <w:t xml:space="preserve">uzavřená dle </w:t>
      </w:r>
      <w:proofErr w:type="spellStart"/>
      <w:r w:rsidRPr="00771088">
        <w:rPr>
          <w:rFonts w:ascii="Arial" w:hAnsi="Arial" w:cs="Arial"/>
          <w:sz w:val="24"/>
          <w:szCs w:val="24"/>
        </w:rPr>
        <w:t>ust</w:t>
      </w:r>
      <w:proofErr w:type="spellEnd"/>
      <w:r w:rsidRPr="00771088">
        <w:rPr>
          <w:rFonts w:ascii="Arial" w:hAnsi="Arial" w:cs="Arial"/>
          <w:sz w:val="24"/>
          <w:szCs w:val="24"/>
        </w:rPr>
        <w:t xml:space="preserve">. § 2053 a násl. zákona č. 89/2012 Sb., občanský zákoník, ve znění pozdějších předpisů (dále jen „občanský zákoník“) </w:t>
      </w:r>
    </w:p>
    <w:p w14:paraId="6BEFF75C" w14:textId="77777777" w:rsidR="00EC460C" w:rsidRPr="00771088" w:rsidRDefault="00EC460C" w:rsidP="00EC460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FC81921" w14:textId="77777777" w:rsidR="000F13CE" w:rsidRPr="00771088" w:rsidRDefault="000F13CE" w:rsidP="000F13CE">
      <w:pPr>
        <w:pStyle w:val="Zkladntext"/>
        <w:rPr>
          <w:rFonts w:ascii="Arial" w:hAnsi="Arial" w:cs="Arial"/>
          <w:b/>
          <w:szCs w:val="24"/>
        </w:rPr>
      </w:pPr>
      <w:r w:rsidRPr="00771088">
        <w:rPr>
          <w:rFonts w:ascii="Arial" w:hAnsi="Arial" w:cs="Arial"/>
          <w:b/>
          <w:szCs w:val="24"/>
        </w:rPr>
        <w:t>Smluvní strany:</w:t>
      </w:r>
    </w:p>
    <w:p w14:paraId="1A79035F" w14:textId="77777777" w:rsidR="000F13CE" w:rsidRPr="00771088" w:rsidRDefault="000F13CE" w:rsidP="000F13CE">
      <w:pPr>
        <w:pStyle w:val="Zkladntext"/>
        <w:rPr>
          <w:rFonts w:ascii="Arial" w:hAnsi="Arial" w:cs="Arial"/>
          <w:szCs w:val="24"/>
        </w:rPr>
      </w:pPr>
    </w:p>
    <w:p w14:paraId="2F831B12" w14:textId="4748AB88" w:rsidR="000F13CE" w:rsidRPr="00771088" w:rsidRDefault="000F13CE" w:rsidP="000F13CE">
      <w:pPr>
        <w:pStyle w:val="Zkladntext"/>
        <w:tabs>
          <w:tab w:val="left" w:pos="1985"/>
        </w:tabs>
        <w:ind w:left="567" w:hanging="567"/>
        <w:rPr>
          <w:rFonts w:ascii="Arial" w:hAnsi="Arial" w:cs="Arial"/>
          <w:b/>
          <w:szCs w:val="24"/>
        </w:rPr>
      </w:pPr>
      <w:r w:rsidRPr="00771088">
        <w:rPr>
          <w:rFonts w:ascii="Arial" w:hAnsi="Arial" w:cs="Arial"/>
          <w:b/>
          <w:bCs/>
          <w:szCs w:val="24"/>
        </w:rPr>
        <w:t>1.</w:t>
      </w:r>
      <w:r w:rsidRPr="00771088">
        <w:rPr>
          <w:rFonts w:ascii="Arial" w:hAnsi="Arial" w:cs="Arial"/>
          <w:bCs/>
          <w:szCs w:val="24"/>
        </w:rPr>
        <w:t xml:space="preserve"> </w:t>
      </w:r>
      <w:r w:rsidRPr="00771088">
        <w:rPr>
          <w:rFonts w:ascii="Arial" w:hAnsi="Arial" w:cs="Arial"/>
          <w:bCs/>
          <w:szCs w:val="24"/>
        </w:rPr>
        <w:tab/>
      </w:r>
      <w:r w:rsidR="001A36C1" w:rsidRPr="00771088">
        <w:rPr>
          <w:rFonts w:ascii="Arial" w:hAnsi="Arial" w:cs="Arial"/>
          <w:b/>
          <w:szCs w:val="24"/>
        </w:rPr>
        <w:t xml:space="preserve">T </w:t>
      </w:r>
      <w:proofErr w:type="spellStart"/>
      <w:r w:rsidR="001A36C1" w:rsidRPr="00771088">
        <w:rPr>
          <w:rFonts w:ascii="Arial" w:hAnsi="Arial" w:cs="Arial"/>
          <w:b/>
          <w:szCs w:val="24"/>
        </w:rPr>
        <w:t>Machinery</w:t>
      </w:r>
      <w:proofErr w:type="spellEnd"/>
      <w:r w:rsidRPr="00771088">
        <w:rPr>
          <w:rFonts w:ascii="Arial" w:hAnsi="Arial" w:cs="Arial"/>
          <w:b/>
          <w:szCs w:val="24"/>
        </w:rPr>
        <w:t xml:space="preserve"> a.s.</w:t>
      </w:r>
    </w:p>
    <w:p w14:paraId="53B246EC" w14:textId="26F06E99" w:rsidR="000F13CE" w:rsidRPr="00771088" w:rsidRDefault="000F13CE" w:rsidP="000F13CE">
      <w:pPr>
        <w:pStyle w:val="Zkladntext"/>
        <w:tabs>
          <w:tab w:val="left" w:pos="1985"/>
        </w:tabs>
        <w:ind w:left="567" w:hanging="567"/>
        <w:rPr>
          <w:rFonts w:ascii="Arial" w:hAnsi="Arial" w:cs="Arial"/>
          <w:szCs w:val="24"/>
        </w:rPr>
      </w:pPr>
      <w:r w:rsidRPr="00771088">
        <w:rPr>
          <w:rFonts w:ascii="Arial" w:hAnsi="Arial" w:cs="Arial"/>
          <w:szCs w:val="24"/>
        </w:rPr>
        <w:tab/>
        <w:t xml:space="preserve">adresa sídla: </w:t>
      </w:r>
      <w:r w:rsidR="001A36C1" w:rsidRPr="00771088">
        <w:rPr>
          <w:rFonts w:ascii="Arial" w:hAnsi="Arial" w:cs="Arial"/>
          <w:szCs w:val="24"/>
        </w:rPr>
        <w:t>Baťovka 1285, 696 02 Ratíškovice</w:t>
      </w:r>
      <w:r w:rsidRPr="00771088">
        <w:rPr>
          <w:rFonts w:ascii="Arial" w:hAnsi="Arial" w:cs="Arial"/>
          <w:szCs w:val="24"/>
        </w:rPr>
        <w:tab/>
      </w:r>
    </w:p>
    <w:p w14:paraId="7957AD37" w14:textId="347EBA20" w:rsidR="000F13CE" w:rsidRPr="00771088" w:rsidRDefault="000F13CE" w:rsidP="000F13CE">
      <w:pPr>
        <w:pStyle w:val="Zkladntext"/>
        <w:tabs>
          <w:tab w:val="left" w:pos="1985"/>
        </w:tabs>
        <w:ind w:left="567" w:hanging="567"/>
        <w:rPr>
          <w:rFonts w:ascii="Arial" w:hAnsi="Arial" w:cs="Arial"/>
          <w:szCs w:val="24"/>
        </w:rPr>
      </w:pPr>
      <w:r w:rsidRPr="00771088">
        <w:rPr>
          <w:rFonts w:ascii="Arial" w:hAnsi="Arial" w:cs="Arial"/>
          <w:szCs w:val="24"/>
        </w:rPr>
        <w:tab/>
        <w:t xml:space="preserve">IČO: </w:t>
      </w:r>
      <w:r w:rsidR="001A36C1" w:rsidRPr="00771088">
        <w:rPr>
          <w:rStyle w:val="nowrap"/>
          <w:rFonts w:ascii="Arial" w:hAnsi="Arial" w:cs="Arial"/>
          <w:bCs/>
          <w:szCs w:val="24"/>
        </w:rPr>
        <w:t>634</w:t>
      </w:r>
      <w:r w:rsidR="005F7F8A" w:rsidRPr="00771088">
        <w:rPr>
          <w:rStyle w:val="nowrap"/>
          <w:rFonts w:ascii="Arial" w:hAnsi="Arial" w:cs="Arial"/>
          <w:bCs/>
          <w:szCs w:val="24"/>
        </w:rPr>
        <w:t xml:space="preserve"> </w:t>
      </w:r>
      <w:r w:rsidR="001A36C1" w:rsidRPr="00771088">
        <w:rPr>
          <w:rStyle w:val="nowrap"/>
          <w:rFonts w:ascii="Arial" w:hAnsi="Arial" w:cs="Arial"/>
          <w:bCs/>
          <w:szCs w:val="24"/>
        </w:rPr>
        <w:t>78</w:t>
      </w:r>
      <w:r w:rsidR="005F7F8A" w:rsidRPr="00771088">
        <w:rPr>
          <w:rStyle w:val="nowrap"/>
          <w:rFonts w:ascii="Arial" w:hAnsi="Arial" w:cs="Arial"/>
          <w:bCs/>
          <w:szCs w:val="24"/>
        </w:rPr>
        <w:t xml:space="preserve"> </w:t>
      </w:r>
      <w:r w:rsidR="001A36C1" w:rsidRPr="00771088">
        <w:rPr>
          <w:rStyle w:val="nowrap"/>
          <w:rFonts w:ascii="Arial" w:hAnsi="Arial" w:cs="Arial"/>
          <w:bCs/>
          <w:szCs w:val="24"/>
        </w:rPr>
        <w:t>773</w:t>
      </w:r>
      <w:r w:rsidRPr="00771088">
        <w:rPr>
          <w:rFonts w:ascii="Arial" w:hAnsi="Arial" w:cs="Arial"/>
          <w:szCs w:val="24"/>
        </w:rPr>
        <w:tab/>
      </w:r>
    </w:p>
    <w:p w14:paraId="339CFCE2" w14:textId="51F8A153" w:rsidR="000F13CE" w:rsidRPr="00771088" w:rsidRDefault="000F13CE" w:rsidP="000F13CE">
      <w:pPr>
        <w:pStyle w:val="Zkladntext"/>
        <w:tabs>
          <w:tab w:val="left" w:pos="1985"/>
        </w:tabs>
        <w:ind w:left="567" w:hanging="567"/>
        <w:rPr>
          <w:rFonts w:ascii="Arial" w:hAnsi="Arial" w:cs="Arial"/>
          <w:szCs w:val="24"/>
        </w:rPr>
      </w:pPr>
      <w:r w:rsidRPr="00771088">
        <w:rPr>
          <w:rFonts w:ascii="Arial" w:hAnsi="Arial" w:cs="Arial"/>
          <w:szCs w:val="24"/>
        </w:rPr>
        <w:tab/>
        <w:t>zastoupená:</w:t>
      </w:r>
      <w:r w:rsidR="001A36C1" w:rsidRPr="00771088">
        <w:rPr>
          <w:rFonts w:ascii="Arial" w:hAnsi="Arial" w:cs="Arial"/>
          <w:szCs w:val="24"/>
        </w:rPr>
        <w:t xml:space="preserve"> Ing. Zdeněk </w:t>
      </w:r>
      <w:proofErr w:type="spellStart"/>
      <w:r w:rsidR="001A36C1" w:rsidRPr="00771088">
        <w:rPr>
          <w:rFonts w:ascii="Arial" w:hAnsi="Arial" w:cs="Arial"/>
          <w:szCs w:val="24"/>
        </w:rPr>
        <w:t>Gajdík</w:t>
      </w:r>
      <w:proofErr w:type="spellEnd"/>
      <w:r w:rsidRPr="00771088">
        <w:rPr>
          <w:rFonts w:ascii="Arial" w:hAnsi="Arial" w:cs="Arial"/>
          <w:szCs w:val="24"/>
        </w:rPr>
        <w:t>, předseda správní rady</w:t>
      </w:r>
    </w:p>
    <w:p w14:paraId="289E4524" w14:textId="38546D54" w:rsidR="000F13CE" w:rsidRPr="00771088" w:rsidRDefault="000F13CE" w:rsidP="000F13CE">
      <w:pPr>
        <w:pStyle w:val="Zkladntext"/>
        <w:tabs>
          <w:tab w:val="left" w:pos="1985"/>
        </w:tabs>
        <w:ind w:left="567" w:hanging="567"/>
        <w:rPr>
          <w:rFonts w:ascii="Arial" w:hAnsi="Arial" w:cs="Arial"/>
          <w:szCs w:val="24"/>
        </w:rPr>
      </w:pPr>
      <w:r w:rsidRPr="00771088">
        <w:rPr>
          <w:rFonts w:ascii="Arial" w:hAnsi="Arial" w:cs="Arial"/>
          <w:szCs w:val="24"/>
        </w:rPr>
        <w:tab/>
      </w:r>
      <w:r w:rsidRPr="00771088">
        <w:rPr>
          <w:rFonts w:ascii="Arial" w:hAnsi="Arial" w:cs="Arial"/>
          <w:bCs/>
          <w:szCs w:val="24"/>
        </w:rPr>
        <w:t>(dále jen</w:t>
      </w:r>
      <w:r w:rsidRPr="00771088">
        <w:rPr>
          <w:rFonts w:ascii="Arial" w:hAnsi="Arial" w:cs="Arial"/>
          <w:szCs w:val="24"/>
        </w:rPr>
        <w:t xml:space="preserve"> „dlužník“ </w:t>
      </w:r>
      <w:r w:rsidR="00D139F4" w:rsidRPr="00771088">
        <w:rPr>
          <w:rFonts w:ascii="Arial" w:hAnsi="Arial" w:cs="Arial"/>
          <w:szCs w:val="24"/>
        </w:rPr>
        <w:t>a/</w:t>
      </w:r>
      <w:r w:rsidRPr="00771088">
        <w:rPr>
          <w:rFonts w:ascii="Arial" w:hAnsi="Arial" w:cs="Arial"/>
          <w:szCs w:val="24"/>
        </w:rPr>
        <w:t>nebo „</w:t>
      </w:r>
      <w:bookmarkStart w:id="0" w:name="_Hlk138153480"/>
      <w:r w:rsidR="001A36C1" w:rsidRPr="00771088">
        <w:rPr>
          <w:rFonts w:ascii="Arial" w:hAnsi="Arial" w:cs="Arial"/>
          <w:szCs w:val="24"/>
        </w:rPr>
        <w:t xml:space="preserve">T </w:t>
      </w:r>
      <w:proofErr w:type="spellStart"/>
      <w:r w:rsidR="001A36C1" w:rsidRPr="00771088">
        <w:rPr>
          <w:rFonts w:ascii="Arial" w:hAnsi="Arial" w:cs="Arial"/>
          <w:szCs w:val="24"/>
        </w:rPr>
        <w:t>Machinery</w:t>
      </w:r>
      <w:proofErr w:type="spellEnd"/>
      <w:r w:rsidRPr="00771088">
        <w:rPr>
          <w:rFonts w:ascii="Arial" w:hAnsi="Arial" w:cs="Arial"/>
          <w:szCs w:val="24"/>
        </w:rPr>
        <w:t xml:space="preserve"> a.s.</w:t>
      </w:r>
      <w:bookmarkEnd w:id="0"/>
      <w:r w:rsidRPr="00771088">
        <w:rPr>
          <w:rFonts w:ascii="Arial" w:hAnsi="Arial" w:cs="Arial"/>
          <w:szCs w:val="24"/>
        </w:rPr>
        <w:t>“)</w:t>
      </w:r>
      <w:r w:rsidRPr="00771088">
        <w:rPr>
          <w:rFonts w:ascii="Arial" w:hAnsi="Arial" w:cs="Arial"/>
          <w:b/>
          <w:szCs w:val="24"/>
        </w:rPr>
        <w:t xml:space="preserve"> </w:t>
      </w:r>
    </w:p>
    <w:p w14:paraId="5ACF4427" w14:textId="77777777" w:rsidR="000F13CE" w:rsidRPr="00771088" w:rsidRDefault="000F13CE" w:rsidP="000F13CE">
      <w:pPr>
        <w:pStyle w:val="Zkladntext"/>
        <w:rPr>
          <w:rFonts w:ascii="Arial" w:hAnsi="Arial" w:cs="Arial"/>
          <w:szCs w:val="24"/>
        </w:rPr>
      </w:pPr>
      <w:r w:rsidRPr="00771088">
        <w:rPr>
          <w:rFonts w:ascii="Arial" w:hAnsi="Arial" w:cs="Arial"/>
          <w:szCs w:val="24"/>
        </w:rPr>
        <w:t>a</w:t>
      </w:r>
    </w:p>
    <w:p w14:paraId="5C767058" w14:textId="77777777" w:rsidR="000F13CE" w:rsidRPr="00771088" w:rsidRDefault="000F13CE" w:rsidP="000F13CE">
      <w:pPr>
        <w:pStyle w:val="Zkladntext"/>
        <w:rPr>
          <w:rFonts w:ascii="Arial" w:hAnsi="Arial" w:cs="Arial"/>
          <w:szCs w:val="24"/>
        </w:rPr>
      </w:pPr>
    </w:p>
    <w:p w14:paraId="46C0DA8D" w14:textId="267B103F" w:rsidR="000F13CE" w:rsidRPr="00771088" w:rsidRDefault="000F13CE" w:rsidP="000F13CE">
      <w:pPr>
        <w:pStyle w:val="Zkladntext"/>
        <w:tabs>
          <w:tab w:val="left" w:pos="1985"/>
        </w:tabs>
        <w:ind w:left="567" w:hanging="567"/>
        <w:rPr>
          <w:rFonts w:ascii="Arial" w:hAnsi="Arial" w:cs="Arial"/>
          <w:b/>
          <w:szCs w:val="24"/>
        </w:rPr>
      </w:pPr>
      <w:r w:rsidRPr="00771088">
        <w:rPr>
          <w:rFonts w:ascii="Arial" w:hAnsi="Arial" w:cs="Arial"/>
          <w:b/>
          <w:bCs/>
          <w:szCs w:val="24"/>
        </w:rPr>
        <w:t>2.</w:t>
      </w:r>
      <w:r w:rsidRPr="00771088">
        <w:rPr>
          <w:rFonts w:ascii="Arial" w:hAnsi="Arial" w:cs="Arial"/>
          <w:szCs w:val="24"/>
        </w:rPr>
        <w:t xml:space="preserve"> </w:t>
      </w:r>
      <w:r w:rsidRPr="00771088">
        <w:rPr>
          <w:rFonts w:ascii="Arial" w:hAnsi="Arial" w:cs="Arial"/>
          <w:szCs w:val="24"/>
        </w:rPr>
        <w:tab/>
      </w:r>
      <w:r w:rsidRPr="00771088">
        <w:rPr>
          <w:rFonts w:ascii="Arial" w:hAnsi="Arial" w:cs="Arial"/>
          <w:b/>
          <w:szCs w:val="24"/>
        </w:rPr>
        <w:t>Západočeská univerzita v</w:t>
      </w:r>
      <w:r w:rsidR="00FA3DC8" w:rsidRPr="00771088">
        <w:rPr>
          <w:rFonts w:ascii="Arial" w:hAnsi="Arial" w:cs="Arial"/>
          <w:b/>
          <w:szCs w:val="24"/>
        </w:rPr>
        <w:t> </w:t>
      </w:r>
      <w:r w:rsidRPr="00771088">
        <w:rPr>
          <w:rFonts w:ascii="Arial" w:hAnsi="Arial" w:cs="Arial"/>
          <w:b/>
          <w:szCs w:val="24"/>
        </w:rPr>
        <w:t>Plzni</w:t>
      </w:r>
    </w:p>
    <w:p w14:paraId="24D487EB" w14:textId="414B32C4" w:rsidR="00FA3DC8" w:rsidRPr="00771088" w:rsidRDefault="00FA3DC8" w:rsidP="000F13CE">
      <w:pPr>
        <w:pStyle w:val="Zkladntext"/>
        <w:tabs>
          <w:tab w:val="left" w:pos="1985"/>
        </w:tabs>
        <w:ind w:left="567" w:hanging="567"/>
        <w:rPr>
          <w:rFonts w:ascii="Arial" w:hAnsi="Arial" w:cs="Arial"/>
          <w:b/>
          <w:szCs w:val="24"/>
        </w:rPr>
      </w:pPr>
      <w:r w:rsidRPr="00771088">
        <w:rPr>
          <w:rFonts w:ascii="Arial" w:hAnsi="Arial" w:cs="Arial"/>
          <w:b/>
          <w:szCs w:val="24"/>
        </w:rPr>
        <w:tab/>
        <w:t xml:space="preserve">Fakulta elektrotechnická </w:t>
      </w:r>
    </w:p>
    <w:p w14:paraId="6F8D335A" w14:textId="77777777" w:rsidR="000F13CE" w:rsidRPr="00771088" w:rsidRDefault="000F13CE" w:rsidP="000F13CE">
      <w:pPr>
        <w:pStyle w:val="Zkladntext"/>
        <w:tabs>
          <w:tab w:val="left" w:pos="1985"/>
        </w:tabs>
        <w:ind w:left="567" w:hanging="567"/>
        <w:rPr>
          <w:rFonts w:ascii="Arial" w:hAnsi="Arial" w:cs="Arial"/>
          <w:szCs w:val="24"/>
        </w:rPr>
      </w:pPr>
      <w:r w:rsidRPr="00771088">
        <w:rPr>
          <w:rFonts w:ascii="Arial" w:hAnsi="Arial" w:cs="Arial"/>
          <w:szCs w:val="24"/>
        </w:rPr>
        <w:tab/>
        <w:t>adresa sídla: Univerzitní 2732/8, 301 00 Plzeň</w:t>
      </w:r>
    </w:p>
    <w:p w14:paraId="16F805A0" w14:textId="77777777" w:rsidR="000F13CE" w:rsidRPr="00771088" w:rsidRDefault="000F13CE" w:rsidP="000F13CE">
      <w:pPr>
        <w:pStyle w:val="Zkladntext"/>
        <w:tabs>
          <w:tab w:val="left" w:pos="1985"/>
        </w:tabs>
        <w:ind w:left="567" w:hanging="567"/>
        <w:rPr>
          <w:rFonts w:ascii="Arial" w:hAnsi="Arial" w:cs="Arial"/>
          <w:szCs w:val="24"/>
        </w:rPr>
      </w:pPr>
      <w:r w:rsidRPr="00771088">
        <w:rPr>
          <w:rFonts w:ascii="Arial" w:hAnsi="Arial" w:cs="Arial"/>
          <w:szCs w:val="24"/>
        </w:rPr>
        <w:tab/>
        <w:t>IČO: 497 77 513</w:t>
      </w:r>
    </w:p>
    <w:p w14:paraId="43FC7D67" w14:textId="26B4D464" w:rsidR="000F13CE" w:rsidRPr="00771088" w:rsidRDefault="000F13CE" w:rsidP="000F13CE">
      <w:pPr>
        <w:pStyle w:val="Zkladntext"/>
        <w:tabs>
          <w:tab w:val="left" w:pos="1985"/>
        </w:tabs>
        <w:ind w:left="567" w:hanging="567"/>
        <w:rPr>
          <w:rFonts w:ascii="Arial" w:hAnsi="Arial" w:cs="Arial"/>
          <w:szCs w:val="24"/>
        </w:rPr>
      </w:pPr>
      <w:r w:rsidRPr="00771088">
        <w:rPr>
          <w:rFonts w:ascii="Arial" w:hAnsi="Arial" w:cs="Arial"/>
          <w:szCs w:val="24"/>
        </w:rPr>
        <w:tab/>
        <w:t xml:space="preserve">zastoupená: </w:t>
      </w:r>
      <w:r w:rsidR="00FA3DC8" w:rsidRPr="00771088">
        <w:rPr>
          <w:rFonts w:ascii="Arial" w:hAnsi="Arial" w:cs="Arial"/>
          <w:szCs w:val="24"/>
        </w:rPr>
        <w:t>prof.</w:t>
      </w:r>
      <w:r w:rsidR="00FA3DC8" w:rsidRPr="00771088">
        <w:rPr>
          <w:rFonts w:ascii="Arial" w:hAnsi="Arial" w:cs="Arial"/>
          <w:i/>
          <w:szCs w:val="24"/>
        </w:rPr>
        <w:t xml:space="preserve"> </w:t>
      </w:r>
      <w:r w:rsidR="008A00F2" w:rsidRPr="00771088">
        <w:rPr>
          <w:rFonts w:ascii="Arial" w:hAnsi="Arial" w:cs="Arial"/>
          <w:szCs w:val="24"/>
        </w:rPr>
        <w:t xml:space="preserve">Ing. </w:t>
      </w:r>
      <w:r w:rsidR="00FA3DC8" w:rsidRPr="00771088">
        <w:rPr>
          <w:rFonts w:ascii="Arial" w:hAnsi="Arial" w:cs="Arial"/>
          <w:szCs w:val="24"/>
        </w:rPr>
        <w:t>Zdeněk Peroutka, Ph.D.</w:t>
      </w:r>
      <w:r w:rsidR="008A00F2" w:rsidRPr="00771088">
        <w:rPr>
          <w:rFonts w:ascii="Arial" w:hAnsi="Arial" w:cs="Arial"/>
          <w:szCs w:val="24"/>
        </w:rPr>
        <w:t xml:space="preserve">, </w:t>
      </w:r>
      <w:r w:rsidR="00FA3DC8" w:rsidRPr="00771088">
        <w:rPr>
          <w:rFonts w:ascii="Arial" w:hAnsi="Arial" w:cs="Arial"/>
          <w:szCs w:val="24"/>
        </w:rPr>
        <w:t>děkan</w:t>
      </w:r>
    </w:p>
    <w:p w14:paraId="167C2B88" w14:textId="3682F017" w:rsidR="00AF44CC" w:rsidRPr="00771088" w:rsidRDefault="000F13CE" w:rsidP="00D139F4">
      <w:pPr>
        <w:pStyle w:val="Zkladntext"/>
        <w:tabs>
          <w:tab w:val="left" w:pos="1985"/>
        </w:tabs>
        <w:ind w:left="567" w:hanging="567"/>
        <w:rPr>
          <w:rFonts w:ascii="Arial" w:hAnsi="Arial" w:cs="Arial"/>
          <w:szCs w:val="24"/>
        </w:rPr>
      </w:pPr>
      <w:r w:rsidRPr="00771088">
        <w:rPr>
          <w:rFonts w:ascii="Arial" w:hAnsi="Arial" w:cs="Arial"/>
          <w:szCs w:val="24"/>
        </w:rPr>
        <w:tab/>
      </w:r>
      <w:r w:rsidRPr="00771088">
        <w:rPr>
          <w:rFonts w:ascii="Arial" w:hAnsi="Arial" w:cs="Arial"/>
          <w:bCs/>
          <w:szCs w:val="24"/>
        </w:rPr>
        <w:t>(dále jen</w:t>
      </w:r>
      <w:r w:rsidRPr="00771088">
        <w:rPr>
          <w:rFonts w:ascii="Arial" w:hAnsi="Arial" w:cs="Arial"/>
          <w:b/>
          <w:szCs w:val="24"/>
        </w:rPr>
        <w:t xml:space="preserve"> </w:t>
      </w:r>
      <w:r w:rsidRPr="00771088">
        <w:rPr>
          <w:rFonts w:ascii="Arial" w:hAnsi="Arial" w:cs="Arial"/>
          <w:szCs w:val="24"/>
        </w:rPr>
        <w:t>„</w:t>
      </w:r>
      <w:r w:rsidR="00D139F4" w:rsidRPr="00771088">
        <w:rPr>
          <w:rFonts w:ascii="Arial" w:hAnsi="Arial" w:cs="Arial"/>
          <w:szCs w:val="24"/>
        </w:rPr>
        <w:t>věřitel</w:t>
      </w:r>
      <w:r w:rsidRPr="00771088">
        <w:rPr>
          <w:rFonts w:ascii="Arial" w:hAnsi="Arial" w:cs="Arial"/>
          <w:szCs w:val="24"/>
        </w:rPr>
        <w:t>“ a/nebo „ZČU“)</w:t>
      </w:r>
    </w:p>
    <w:p w14:paraId="49E2729C" w14:textId="77777777" w:rsidR="00AF44CC" w:rsidRPr="00771088" w:rsidRDefault="00AF44CC" w:rsidP="00EF485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D175764" w14:textId="0C382558" w:rsidR="00232398" w:rsidRPr="00771088" w:rsidRDefault="00AF44CC" w:rsidP="00896BE1">
      <w:pPr>
        <w:jc w:val="center"/>
        <w:rPr>
          <w:rFonts w:ascii="Arial" w:hAnsi="Arial" w:cs="Arial"/>
          <w:sz w:val="24"/>
          <w:szCs w:val="24"/>
        </w:rPr>
      </w:pPr>
      <w:r w:rsidRPr="00771088">
        <w:rPr>
          <w:rFonts w:ascii="Arial" w:hAnsi="Arial" w:cs="Arial"/>
          <w:sz w:val="24"/>
          <w:szCs w:val="24"/>
        </w:rPr>
        <w:t xml:space="preserve">Dlužník a věřitel (dále společně „smluvní strany“, jednotlivě také „smluvní strana“) </w:t>
      </w:r>
      <w:r w:rsidR="00232398" w:rsidRPr="00771088">
        <w:rPr>
          <w:rFonts w:ascii="Arial" w:hAnsi="Arial" w:cs="Arial"/>
          <w:sz w:val="24"/>
          <w:szCs w:val="24"/>
        </w:rPr>
        <w:t>uzavřely níže uvedeného dne, měsíce a roku, tuto</w:t>
      </w:r>
    </w:p>
    <w:p w14:paraId="53805585" w14:textId="77777777" w:rsidR="00232398" w:rsidRPr="00771088" w:rsidRDefault="00232398" w:rsidP="00896B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71088">
        <w:rPr>
          <w:rFonts w:ascii="Arial" w:hAnsi="Arial" w:cs="Arial"/>
          <w:b/>
          <w:bCs/>
          <w:sz w:val="24"/>
          <w:szCs w:val="24"/>
        </w:rPr>
        <w:t>DOHODU</w:t>
      </w:r>
    </w:p>
    <w:p w14:paraId="7D5DA003" w14:textId="5015164F" w:rsidR="00232398" w:rsidRPr="00771088" w:rsidRDefault="00232398" w:rsidP="00896B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71088">
        <w:rPr>
          <w:rFonts w:ascii="Arial" w:hAnsi="Arial" w:cs="Arial"/>
          <w:b/>
          <w:bCs/>
          <w:sz w:val="24"/>
          <w:szCs w:val="24"/>
        </w:rPr>
        <w:t xml:space="preserve">o </w:t>
      </w:r>
      <w:r w:rsidR="00AF44CC" w:rsidRPr="00771088">
        <w:rPr>
          <w:rFonts w:ascii="Arial" w:hAnsi="Arial" w:cs="Arial"/>
          <w:b/>
          <w:bCs/>
          <w:sz w:val="24"/>
          <w:szCs w:val="24"/>
        </w:rPr>
        <w:t xml:space="preserve">uznání dluhu a způsobu jeho </w:t>
      </w:r>
      <w:r w:rsidRPr="00771088">
        <w:rPr>
          <w:rFonts w:ascii="Arial" w:hAnsi="Arial" w:cs="Arial"/>
          <w:b/>
          <w:bCs/>
          <w:sz w:val="24"/>
          <w:szCs w:val="24"/>
        </w:rPr>
        <w:t>úhrad</w:t>
      </w:r>
      <w:r w:rsidR="00AF44CC" w:rsidRPr="00771088">
        <w:rPr>
          <w:rFonts w:ascii="Arial" w:hAnsi="Arial" w:cs="Arial"/>
          <w:b/>
          <w:bCs/>
          <w:sz w:val="24"/>
          <w:szCs w:val="24"/>
        </w:rPr>
        <w:t>y (dále jen „dohoda“)</w:t>
      </w:r>
    </w:p>
    <w:p w14:paraId="6FBA9EE6" w14:textId="77777777" w:rsidR="002F6740" w:rsidRPr="00771088" w:rsidRDefault="002F6740" w:rsidP="00896BE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8A6E9E" w14:textId="6415B76B" w:rsidR="00896BE1" w:rsidRPr="00771088" w:rsidRDefault="002F6740" w:rsidP="005A3153">
      <w:pPr>
        <w:pStyle w:val="Odstavecseseznamem"/>
        <w:numPr>
          <w:ilvl w:val="0"/>
          <w:numId w:val="3"/>
        </w:numPr>
        <w:ind w:left="0" w:firstLine="0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135042433"/>
      <w:r w:rsidRPr="00771088">
        <w:rPr>
          <w:rFonts w:ascii="Arial" w:hAnsi="Arial" w:cs="Arial"/>
          <w:b/>
          <w:bCs/>
          <w:sz w:val="24"/>
          <w:szCs w:val="24"/>
        </w:rPr>
        <w:t>U</w:t>
      </w:r>
      <w:r w:rsidR="00AF44CC" w:rsidRPr="00771088">
        <w:rPr>
          <w:rFonts w:ascii="Arial" w:hAnsi="Arial" w:cs="Arial"/>
          <w:b/>
          <w:bCs/>
          <w:sz w:val="24"/>
          <w:szCs w:val="24"/>
        </w:rPr>
        <w:t>znání závazku</w:t>
      </w:r>
    </w:p>
    <w:bookmarkEnd w:id="1"/>
    <w:p w14:paraId="66513517" w14:textId="3270414F" w:rsidR="00063960" w:rsidRPr="00771088" w:rsidRDefault="00896BE1" w:rsidP="005A3153">
      <w:pPr>
        <w:pStyle w:val="Odstavecseseznamem"/>
        <w:numPr>
          <w:ilvl w:val="0"/>
          <w:numId w:val="4"/>
        </w:numPr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771088">
        <w:rPr>
          <w:rFonts w:ascii="Arial" w:hAnsi="Arial" w:cs="Arial"/>
          <w:sz w:val="24"/>
          <w:szCs w:val="24"/>
        </w:rPr>
        <w:t xml:space="preserve">Smluvní strany </w:t>
      </w:r>
      <w:r w:rsidR="00700024" w:rsidRPr="00771088">
        <w:rPr>
          <w:rFonts w:ascii="Arial" w:hAnsi="Arial" w:cs="Arial"/>
          <w:sz w:val="24"/>
          <w:szCs w:val="24"/>
        </w:rPr>
        <w:t>se podíle</w:t>
      </w:r>
      <w:r w:rsidR="008A00F2" w:rsidRPr="00771088">
        <w:rPr>
          <w:rFonts w:ascii="Arial" w:hAnsi="Arial" w:cs="Arial"/>
          <w:sz w:val="24"/>
          <w:szCs w:val="24"/>
        </w:rPr>
        <w:t>ly</w:t>
      </w:r>
      <w:r w:rsidR="00700024" w:rsidRPr="00771088">
        <w:rPr>
          <w:rFonts w:ascii="Arial" w:hAnsi="Arial" w:cs="Arial"/>
          <w:sz w:val="24"/>
          <w:szCs w:val="24"/>
        </w:rPr>
        <w:t xml:space="preserve"> na</w:t>
      </w:r>
      <w:r w:rsidR="00063960" w:rsidRPr="00771088">
        <w:rPr>
          <w:rFonts w:ascii="Arial" w:hAnsi="Arial" w:cs="Arial"/>
          <w:sz w:val="24"/>
          <w:szCs w:val="24"/>
        </w:rPr>
        <w:t xml:space="preserve"> řešení projektu </w:t>
      </w:r>
      <w:r w:rsidR="001F0BCD" w:rsidRPr="00771088">
        <w:rPr>
          <w:rFonts w:ascii="Arial" w:hAnsi="Arial" w:cs="Arial"/>
          <w:sz w:val="24"/>
          <w:szCs w:val="24"/>
        </w:rPr>
        <w:t>s názvem „Výzkum a vývoj automatizovaného mobilního systému svařování drážních kolejnic pro opravy malého a středního rozsahu“</w:t>
      </w:r>
      <w:r w:rsidR="000F13CE" w:rsidRPr="0077108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F0BCD" w:rsidRPr="00771088">
        <w:rPr>
          <w:rFonts w:ascii="Arial" w:hAnsi="Arial" w:cs="Arial"/>
          <w:sz w:val="24"/>
          <w:szCs w:val="24"/>
        </w:rPr>
        <w:t>reg</w:t>
      </w:r>
      <w:proofErr w:type="spellEnd"/>
      <w:r w:rsidR="001F0BCD" w:rsidRPr="00771088">
        <w:rPr>
          <w:rFonts w:ascii="Arial" w:hAnsi="Arial" w:cs="Arial"/>
          <w:sz w:val="24"/>
          <w:szCs w:val="24"/>
        </w:rPr>
        <w:t xml:space="preserve">. č. CZ.01.1.02/0.0/0.0/21_374/0026862, </w:t>
      </w:r>
      <w:r w:rsidR="000F13CE" w:rsidRPr="00771088">
        <w:rPr>
          <w:rFonts w:ascii="Arial" w:hAnsi="Arial" w:cs="Arial"/>
          <w:sz w:val="24"/>
          <w:szCs w:val="24"/>
        </w:rPr>
        <w:t>podpořeného Ministerstvem průmyslu a obchodu z programu APLIKACE</w:t>
      </w:r>
      <w:r w:rsidR="00063960" w:rsidRPr="00771088">
        <w:rPr>
          <w:rFonts w:ascii="Arial" w:hAnsi="Arial" w:cs="Arial"/>
          <w:sz w:val="24"/>
          <w:szCs w:val="24"/>
        </w:rPr>
        <w:t xml:space="preserve">. </w:t>
      </w:r>
    </w:p>
    <w:p w14:paraId="21756F30" w14:textId="43576081" w:rsidR="001F0BCD" w:rsidRPr="00771088" w:rsidRDefault="000F13CE" w:rsidP="000F13CE">
      <w:pPr>
        <w:pStyle w:val="Odstavecseseznamem"/>
        <w:numPr>
          <w:ilvl w:val="0"/>
          <w:numId w:val="4"/>
        </w:numPr>
        <w:spacing w:before="240" w:after="12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71088">
        <w:rPr>
          <w:rFonts w:ascii="Arial" w:hAnsi="Arial" w:cs="Arial"/>
          <w:sz w:val="24"/>
          <w:szCs w:val="24"/>
        </w:rPr>
        <w:t xml:space="preserve">Dlužník se </w:t>
      </w:r>
      <w:r w:rsidR="008A00F2" w:rsidRPr="00771088">
        <w:rPr>
          <w:rFonts w:ascii="Arial" w:hAnsi="Arial" w:cs="Arial"/>
          <w:sz w:val="24"/>
          <w:szCs w:val="24"/>
        </w:rPr>
        <w:t>S</w:t>
      </w:r>
      <w:r w:rsidRPr="00771088">
        <w:rPr>
          <w:rFonts w:ascii="Arial" w:hAnsi="Arial" w:cs="Arial"/>
          <w:sz w:val="24"/>
          <w:szCs w:val="24"/>
        </w:rPr>
        <w:t>mlouvou</w:t>
      </w:r>
      <w:r w:rsidR="008A00F2" w:rsidRPr="00771088">
        <w:rPr>
          <w:rFonts w:ascii="Arial" w:hAnsi="Arial" w:cs="Arial"/>
          <w:sz w:val="24"/>
          <w:szCs w:val="24"/>
        </w:rPr>
        <w:t xml:space="preserve"> o účasti na řešení projektu uzavřenou dne </w:t>
      </w:r>
      <w:r w:rsidR="001F0BCD" w:rsidRPr="00771088">
        <w:rPr>
          <w:rFonts w:ascii="Arial" w:hAnsi="Arial" w:cs="Arial"/>
          <w:sz w:val="24"/>
          <w:szCs w:val="24"/>
        </w:rPr>
        <w:t xml:space="preserve">29. 7. 2021 </w:t>
      </w:r>
      <w:r w:rsidRPr="00771088">
        <w:rPr>
          <w:rFonts w:ascii="Arial" w:hAnsi="Arial" w:cs="Arial"/>
          <w:sz w:val="24"/>
          <w:szCs w:val="24"/>
        </w:rPr>
        <w:t xml:space="preserve">jakožto příjemce zavázal poskytovat </w:t>
      </w:r>
      <w:r w:rsidR="000C38C1" w:rsidRPr="00771088">
        <w:rPr>
          <w:rFonts w:ascii="Arial" w:hAnsi="Arial" w:cs="Arial"/>
          <w:sz w:val="24"/>
          <w:szCs w:val="24"/>
        </w:rPr>
        <w:t>v</w:t>
      </w:r>
      <w:r w:rsidRPr="00771088">
        <w:rPr>
          <w:rFonts w:ascii="Arial" w:hAnsi="Arial" w:cs="Arial"/>
          <w:sz w:val="24"/>
          <w:szCs w:val="24"/>
        </w:rPr>
        <w:t xml:space="preserve">ěřiteli jakožto dalšímu účastníkovi projektu </w:t>
      </w:r>
      <w:r w:rsidR="000C38C1" w:rsidRPr="00771088">
        <w:rPr>
          <w:rFonts w:ascii="Arial" w:hAnsi="Arial" w:cs="Arial"/>
          <w:sz w:val="24"/>
          <w:szCs w:val="24"/>
        </w:rPr>
        <w:t xml:space="preserve">jemu určenou </w:t>
      </w:r>
      <w:r w:rsidRPr="00771088">
        <w:rPr>
          <w:rFonts w:ascii="Arial" w:hAnsi="Arial" w:cs="Arial"/>
          <w:sz w:val="24"/>
          <w:szCs w:val="24"/>
        </w:rPr>
        <w:t xml:space="preserve">dotaci </w:t>
      </w:r>
      <w:r w:rsidR="005F7F8A" w:rsidRPr="00771088">
        <w:rPr>
          <w:rFonts w:ascii="Arial" w:hAnsi="Arial" w:cs="Arial"/>
          <w:sz w:val="24"/>
          <w:szCs w:val="24"/>
        </w:rPr>
        <w:t xml:space="preserve">na řešení projektu </w:t>
      </w:r>
      <w:r w:rsidR="008A00F2" w:rsidRPr="00771088">
        <w:rPr>
          <w:rFonts w:ascii="Arial" w:hAnsi="Arial" w:cs="Arial"/>
          <w:sz w:val="24"/>
          <w:szCs w:val="24"/>
        </w:rPr>
        <w:t xml:space="preserve">vždy nejpozději do </w:t>
      </w:r>
      <w:r w:rsidRPr="00771088">
        <w:rPr>
          <w:rFonts w:ascii="Arial" w:hAnsi="Arial" w:cs="Arial"/>
          <w:sz w:val="24"/>
          <w:szCs w:val="24"/>
        </w:rPr>
        <w:t>1</w:t>
      </w:r>
      <w:r w:rsidR="008A00F2" w:rsidRPr="00771088">
        <w:rPr>
          <w:rFonts w:ascii="Arial" w:hAnsi="Arial" w:cs="Arial"/>
          <w:sz w:val="24"/>
          <w:szCs w:val="24"/>
        </w:rPr>
        <w:t>4</w:t>
      </w:r>
      <w:r w:rsidRPr="00771088">
        <w:rPr>
          <w:rFonts w:ascii="Arial" w:hAnsi="Arial" w:cs="Arial"/>
          <w:sz w:val="24"/>
          <w:szCs w:val="24"/>
        </w:rPr>
        <w:t xml:space="preserve"> dnů ode dne, kdy ji obdrží od </w:t>
      </w:r>
      <w:r w:rsidR="00D139F4" w:rsidRPr="00771088">
        <w:rPr>
          <w:rFonts w:ascii="Arial" w:hAnsi="Arial" w:cs="Arial"/>
          <w:sz w:val="24"/>
          <w:szCs w:val="24"/>
        </w:rPr>
        <w:t>p</w:t>
      </w:r>
      <w:r w:rsidRPr="00771088">
        <w:rPr>
          <w:rFonts w:ascii="Arial" w:hAnsi="Arial" w:cs="Arial"/>
          <w:sz w:val="24"/>
          <w:szCs w:val="24"/>
        </w:rPr>
        <w:t xml:space="preserve">oskytovatele. </w:t>
      </w:r>
    </w:p>
    <w:p w14:paraId="1B6D01C0" w14:textId="4C44F949" w:rsidR="000F13CE" w:rsidRPr="00771088" w:rsidRDefault="001F0BCD" w:rsidP="000F13CE">
      <w:pPr>
        <w:pStyle w:val="Odstavecseseznamem"/>
        <w:numPr>
          <w:ilvl w:val="0"/>
          <w:numId w:val="4"/>
        </w:numPr>
        <w:spacing w:before="240" w:after="12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71088">
        <w:rPr>
          <w:rFonts w:ascii="Arial" w:hAnsi="Arial" w:cs="Arial"/>
          <w:sz w:val="24"/>
          <w:szCs w:val="24"/>
        </w:rPr>
        <w:t xml:space="preserve">Za realizaci II. etapy projektu ZČU náležela dotace ve </w:t>
      </w:r>
      <w:proofErr w:type="gramStart"/>
      <w:r w:rsidRPr="00771088">
        <w:rPr>
          <w:rFonts w:ascii="Arial" w:hAnsi="Arial" w:cs="Arial"/>
          <w:sz w:val="24"/>
          <w:szCs w:val="24"/>
        </w:rPr>
        <w:t>výši  3</w:t>
      </w:r>
      <w:proofErr w:type="gramEnd"/>
      <w:r w:rsidRPr="00771088">
        <w:rPr>
          <w:rFonts w:ascii="Arial" w:hAnsi="Arial" w:cs="Arial"/>
          <w:sz w:val="24"/>
          <w:szCs w:val="24"/>
        </w:rPr>
        <w:t xml:space="preserve"> 779 372,15 Kč, přičemž </w:t>
      </w:r>
      <w:r w:rsidR="005F7F8A" w:rsidRPr="00771088">
        <w:rPr>
          <w:rFonts w:ascii="Arial" w:hAnsi="Arial" w:cs="Arial"/>
          <w:sz w:val="24"/>
          <w:szCs w:val="24"/>
        </w:rPr>
        <w:t xml:space="preserve">od T </w:t>
      </w:r>
      <w:proofErr w:type="spellStart"/>
      <w:r w:rsidR="005F7F8A" w:rsidRPr="00771088">
        <w:rPr>
          <w:rFonts w:ascii="Arial" w:hAnsi="Arial" w:cs="Arial"/>
          <w:sz w:val="24"/>
          <w:szCs w:val="24"/>
        </w:rPr>
        <w:t>Machinery</w:t>
      </w:r>
      <w:proofErr w:type="spellEnd"/>
      <w:r w:rsidR="005F7F8A" w:rsidRPr="00771088">
        <w:rPr>
          <w:rFonts w:ascii="Arial" w:hAnsi="Arial" w:cs="Arial"/>
          <w:sz w:val="24"/>
          <w:szCs w:val="24"/>
        </w:rPr>
        <w:t xml:space="preserve"> a.s. </w:t>
      </w:r>
      <w:r w:rsidRPr="00771088">
        <w:rPr>
          <w:rFonts w:ascii="Arial" w:hAnsi="Arial" w:cs="Arial"/>
          <w:sz w:val="24"/>
          <w:szCs w:val="24"/>
        </w:rPr>
        <w:t>obdržela</w:t>
      </w:r>
      <w:r w:rsidR="005F7F8A" w:rsidRPr="00771088">
        <w:rPr>
          <w:rFonts w:ascii="Arial" w:hAnsi="Arial" w:cs="Arial"/>
          <w:sz w:val="24"/>
          <w:szCs w:val="24"/>
        </w:rPr>
        <w:t xml:space="preserve"> pouze</w:t>
      </w:r>
      <w:r w:rsidRPr="00771088">
        <w:rPr>
          <w:rFonts w:ascii="Arial" w:hAnsi="Arial" w:cs="Arial"/>
          <w:sz w:val="24"/>
          <w:szCs w:val="24"/>
        </w:rPr>
        <w:t xml:space="preserve"> částku 1 097 741,58 Kč. Na základě zkrácení dotace poskytovatelem o částku ve výši 802 083,30 Kč (pro nedosažení jednoho z výstupů projektu) se strany dohodly, že se budou na krácení dotace podílet každá jednou polovinou, tj. dotace ZČU bude ponížena o </w:t>
      </w:r>
      <w:r w:rsidR="00314224" w:rsidRPr="00771088">
        <w:rPr>
          <w:rFonts w:ascii="Arial" w:hAnsi="Arial" w:cs="Arial"/>
          <w:sz w:val="24"/>
          <w:szCs w:val="24"/>
        </w:rPr>
        <w:t xml:space="preserve">částkou </w:t>
      </w:r>
      <w:r w:rsidR="00314224" w:rsidRPr="00771088">
        <w:rPr>
          <w:rFonts w:ascii="Arial" w:hAnsi="Arial" w:cs="Arial"/>
          <w:sz w:val="24"/>
          <w:szCs w:val="24"/>
        </w:rPr>
        <w:lastRenderedPageBreak/>
        <w:t>401 041,65 Kč. Při zohlednění tohoto snížení pak konečná částka nárokovaná ZČU čin</w:t>
      </w:r>
      <w:r w:rsidR="00FB3D1E" w:rsidRPr="00771088">
        <w:rPr>
          <w:rFonts w:ascii="Arial" w:hAnsi="Arial" w:cs="Arial"/>
          <w:sz w:val="24"/>
          <w:szCs w:val="24"/>
        </w:rPr>
        <w:t>ila</w:t>
      </w:r>
      <w:r w:rsidR="00314224" w:rsidRPr="00771088">
        <w:rPr>
          <w:rFonts w:ascii="Arial" w:hAnsi="Arial" w:cs="Arial"/>
          <w:sz w:val="24"/>
          <w:szCs w:val="24"/>
        </w:rPr>
        <w:t xml:space="preserve"> 2 280 588,92 Kč. </w:t>
      </w:r>
      <w:r w:rsidR="000F13CE" w:rsidRPr="00771088">
        <w:rPr>
          <w:rFonts w:ascii="Arial" w:hAnsi="Arial" w:cs="Arial"/>
          <w:sz w:val="24"/>
          <w:szCs w:val="24"/>
        </w:rPr>
        <w:t xml:space="preserve"> </w:t>
      </w:r>
      <w:r w:rsidR="00995C58" w:rsidRPr="00771088">
        <w:rPr>
          <w:rFonts w:ascii="Arial" w:hAnsi="Arial" w:cs="Arial"/>
          <w:sz w:val="24"/>
          <w:szCs w:val="24"/>
        </w:rPr>
        <w:t xml:space="preserve"> </w:t>
      </w:r>
    </w:p>
    <w:p w14:paraId="5448A3AA" w14:textId="4A46AC0B" w:rsidR="00FB3D1E" w:rsidRPr="00771088" w:rsidRDefault="00FB3D1E" w:rsidP="000F13CE">
      <w:pPr>
        <w:pStyle w:val="Odstavecseseznamem"/>
        <w:numPr>
          <w:ilvl w:val="0"/>
          <w:numId w:val="4"/>
        </w:numPr>
        <w:spacing w:before="240" w:after="12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71088">
        <w:rPr>
          <w:rFonts w:ascii="Arial" w:hAnsi="Arial" w:cs="Arial"/>
          <w:sz w:val="24"/>
          <w:szCs w:val="24"/>
        </w:rPr>
        <w:t>Ke dni 8. 7. 2025 dlužník uhradil část dotace ve výši 1 317 056,83 Kč, zbývá uhradit částku</w:t>
      </w:r>
      <w:r w:rsidRPr="00771088">
        <w:rPr>
          <w:rFonts w:ascii="Arial" w:hAnsi="Arial" w:cs="Arial"/>
          <w:b/>
          <w:bCs/>
          <w:sz w:val="24"/>
          <w:szCs w:val="24"/>
        </w:rPr>
        <w:t xml:space="preserve"> </w:t>
      </w:r>
      <w:r w:rsidR="005F7F8A" w:rsidRPr="00771088">
        <w:rPr>
          <w:rFonts w:ascii="Arial" w:hAnsi="Arial" w:cs="Arial"/>
          <w:b/>
          <w:bCs/>
          <w:sz w:val="24"/>
          <w:szCs w:val="24"/>
        </w:rPr>
        <w:t xml:space="preserve">963 532,09 Kč </w:t>
      </w:r>
      <w:r w:rsidR="005F7F8A" w:rsidRPr="00771088">
        <w:rPr>
          <w:rFonts w:ascii="Arial" w:hAnsi="Arial" w:cs="Arial"/>
          <w:sz w:val="24"/>
          <w:szCs w:val="24"/>
        </w:rPr>
        <w:t xml:space="preserve">(slovy devět set šedesát tři tisíc pět set třicet dva korun českých a devět haléřů). </w:t>
      </w:r>
    </w:p>
    <w:p w14:paraId="47EC809F" w14:textId="41B5FAE2" w:rsidR="008A00F2" w:rsidRPr="00771088" w:rsidRDefault="008A00F2" w:rsidP="005A3153">
      <w:pPr>
        <w:pStyle w:val="Odstavecseseznamem"/>
        <w:numPr>
          <w:ilvl w:val="0"/>
          <w:numId w:val="4"/>
        </w:numPr>
        <w:spacing w:after="12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71088">
        <w:rPr>
          <w:rFonts w:ascii="Arial" w:hAnsi="Arial" w:cs="Arial"/>
          <w:sz w:val="24"/>
          <w:szCs w:val="24"/>
        </w:rPr>
        <w:t xml:space="preserve">Dotaci od poskytovatele na základě 2. žádosti o platbu dlužník od poskytovatele obdržel </w:t>
      </w:r>
      <w:r w:rsidR="00FB3D1E" w:rsidRPr="00771088">
        <w:rPr>
          <w:rFonts w:ascii="Arial" w:hAnsi="Arial" w:cs="Arial"/>
          <w:sz w:val="24"/>
          <w:szCs w:val="24"/>
        </w:rPr>
        <w:t>nejpozději dne 30. 12. 2024, dlužník měl proto dotaci uhradit ZČU nejpozději dne 13. 1. 2025</w:t>
      </w:r>
      <w:r w:rsidRPr="00771088">
        <w:rPr>
          <w:rFonts w:ascii="Arial" w:hAnsi="Arial" w:cs="Arial"/>
          <w:sz w:val="24"/>
          <w:szCs w:val="24"/>
        </w:rPr>
        <w:t>.</w:t>
      </w:r>
    </w:p>
    <w:p w14:paraId="506A95AD" w14:textId="65C19757" w:rsidR="004521DA" w:rsidRPr="00771088" w:rsidRDefault="000F13CE" w:rsidP="005A3153">
      <w:pPr>
        <w:pStyle w:val="Odstavecseseznamem"/>
        <w:numPr>
          <w:ilvl w:val="0"/>
          <w:numId w:val="4"/>
        </w:numPr>
        <w:spacing w:after="12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71088">
        <w:rPr>
          <w:rFonts w:ascii="Arial" w:hAnsi="Arial" w:cs="Arial"/>
          <w:sz w:val="24"/>
          <w:szCs w:val="24"/>
        </w:rPr>
        <w:t xml:space="preserve">Dlužník se zároveň Smlouvou o účasti na řešení projektu ze dne </w:t>
      </w:r>
      <w:r w:rsidR="00FB3D1E" w:rsidRPr="00771088">
        <w:rPr>
          <w:rFonts w:ascii="Arial" w:hAnsi="Arial" w:cs="Arial"/>
          <w:sz w:val="24"/>
          <w:szCs w:val="24"/>
        </w:rPr>
        <w:t xml:space="preserve">29. 7. 2021 </w:t>
      </w:r>
      <w:r w:rsidRPr="00771088">
        <w:rPr>
          <w:rFonts w:ascii="Arial" w:hAnsi="Arial" w:cs="Arial"/>
          <w:sz w:val="24"/>
          <w:szCs w:val="24"/>
        </w:rPr>
        <w:t xml:space="preserve">zavázal v případě prodlení s úhradou dotace uhradit </w:t>
      </w:r>
      <w:r w:rsidR="004521DA" w:rsidRPr="00771088">
        <w:rPr>
          <w:rFonts w:ascii="Arial" w:hAnsi="Arial" w:cs="Arial"/>
          <w:sz w:val="24"/>
          <w:szCs w:val="24"/>
        </w:rPr>
        <w:t>v</w:t>
      </w:r>
      <w:r w:rsidRPr="00771088">
        <w:rPr>
          <w:rFonts w:ascii="Arial" w:hAnsi="Arial" w:cs="Arial"/>
          <w:sz w:val="24"/>
          <w:szCs w:val="24"/>
        </w:rPr>
        <w:t xml:space="preserve">ěřiteli smluvní pokutu ve výši </w:t>
      </w:r>
      <w:r w:rsidR="004521DA" w:rsidRPr="00771088">
        <w:rPr>
          <w:rFonts w:ascii="Arial" w:hAnsi="Arial" w:cs="Arial"/>
          <w:sz w:val="24"/>
          <w:szCs w:val="24"/>
        </w:rPr>
        <w:t xml:space="preserve">0,05 % </w:t>
      </w:r>
      <w:r w:rsidRPr="00771088">
        <w:rPr>
          <w:rFonts w:ascii="Arial" w:hAnsi="Arial" w:cs="Arial"/>
          <w:sz w:val="24"/>
          <w:szCs w:val="24"/>
        </w:rPr>
        <w:t>za každý</w:t>
      </w:r>
      <w:r w:rsidR="004521DA" w:rsidRPr="00771088">
        <w:rPr>
          <w:rFonts w:ascii="Arial" w:hAnsi="Arial" w:cs="Arial"/>
          <w:sz w:val="24"/>
          <w:szCs w:val="24"/>
        </w:rPr>
        <w:t>, i započatý</w:t>
      </w:r>
      <w:r w:rsidRPr="00771088">
        <w:rPr>
          <w:rFonts w:ascii="Arial" w:hAnsi="Arial" w:cs="Arial"/>
          <w:sz w:val="24"/>
          <w:szCs w:val="24"/>
        </w:rPr>
        <w:t xml:space="preserve"> den prodlení z dlužné částky. Smluvní pokuta čin</w:t>
      </w:r>
      <w:r w:rsidR="00FB3D1E" w:rsidRPr="00771088">
        <w:rPr>
          <w:rFonts w:ascii="Arial" w:hAnsi="Arial" w:cs="Arial"/>
          <w:sz w:val="24"/>
          <w:szCs w:val="24"/>
        </w:rPr>
        <w:t>ila</w:t>
      </w:r>
      <w:r w:rsidRPr="00771088">
        <w:rPr>
          <w:rFonts w:ascii="Arial" w:hAnsi="Arial" w:cs="Arial"/>
          <w:sz w:val="24"/>
          <w:szCs w:val="24"/>
        </w:rPr>
        <w:t xml:space="preserve"> ke dni </w:t>
      </w:r>
      <w:r w:rsidR="00FB3D1E" w:rsidRPr="00771088">
        <w:rPr>
          <w:rFonts w:ascii="Arial" w:hAnsi="Arial" w:cs="Arial"/>
          <w:sz w:val="24"/>
          <w:szCs w:val="24"/>
        </w:rPr>
        <w:t>2</w:t>
      </w:r>
      <w:r w:rsidR="004521DA" w:rsidRPr="00771088">
        <w:rPr>
          <w:rFonts w:ascii="Arial" w:hAnsi="Arial" w:cs="Arial"/>
          <w:sz w:val="24"/>
          <w:szCs w:val="24"/>
        </w:rPr>
        <w:t xml:space="preserve">. </w:t>
      </w:r>
      <w:r w:rsidR="00FB3D1E" w:rsidRPr="00771088">
        <w:rPr>
          <w:rFonts w:ascii="Arial" w:hAnsi="Arial" w:cs="Arial"/>
          <w:sz w:val="24"/>
          <w:szCs w:val="24"/>
        </w:rPr>
        <w:t>6</w:t>
      </w:r>
      <w:r w:rsidR="004521DA" w:rsidRPr="00771088">
        <w:rPr>
          <w:rFonts w:ascii="Arial" w:hAnsi="Arial" w:cs="Arial"/>
          <w:sz w:val="24"/>
          <w:szCs w:val="24"/>
        </w:rPr>
        <w:t>. 202</w:t>
      </w:r>
      <w:r w:rsidR="00FB3D1E" w:rsidRPr="00771088">
        <w:rPr>
          <w:rFonts w:ascii="Arial" w:hAnsi="Arial" w:cs="Arial"/>
          <w:sz w:val="24"/>
          <w:szCs w:val="24"/>
        </w:rPr>
        <w:t>5</w:t>
      </w:r>
      <w:r w:rsidR="004521DA" w:rsidRPr="00771088">
        <w:rPr>
          <w:rFonts w:ascii="Arial" w:hAnsi="Arial" w:cs="Arial"/>
          <w:sz w:val="24"/>
          <w:szCs w:val="24"/>
        </w:rPr>
        <w:t xml:space="preserve"> </w:t>
      </w:r>
      <w:r w:rsidRPr="00771088">
        <w:rPr>
          <w:rFonts w:ascii="Arial" w:hAnsi="Arial" w:cs="Arial"/>
          <w:sz w:val="24"/>
          <w:szCs w:val="24"/>
        </w:rPr>
        <w:t xml:space="preserve">částku </w:t>
      </w:r>
      <w:r w:rsidR="00FB3D1E" w:rsidRPr="00771088">
        <w:rPr>
          <w:rFonts w:ascii="Arial" w:hAnsi="Arial" w:cs="Arial"/>
          <w:b/>
          <w:bCs/>
          <w:sz w:val="24"/>
          <w:szCs w:val="24"/>
        </w:rPr>
        <w:t xml:space="preserve">159 641,22 Kč </w:t>
      </w:r>
      <w:r w:rsidR="00FB3D1E" w:rsidRPr="00771088">
        <w:rPr>
          <w:rFonts w:ascii="Arial" w:hAnsi="Arial" w:cs="Arial"/>
          <w:sz w:val="24"/>
          <w:szCs w:val="24"/>
        </w:rPr>
        <w:t>(slovy jedno sto padesát devět tisíc šest set čtyřicet jedna korun českých a dvacet dva haléřů), přestavující úrok 0,05 % denně z částky 2 280 588, 92 Kč za dobu od 14. 1. 2025 do 2. 6. 2025, tj. celkem 140 dnů prodlení.</w:t>
      </w:r>
    </w:p>
    <w:p w14:paraId="501A11B8" w14:textId="7FDEBB77" w:rsidR="00FB3D1E" w:rsidRPr="00771088" w:rsidRDefault="00FB3D1E" w:rsidP="005A3153">
      <w:pPr>
        <w:pStyle w:val="Odstavecseseznamem"/>
        <w:numPr>
          <w:ilvl w:val="0"/>
          <w:numId w:val="4"/>
        </w:numPr>
        <w:spacing w:after="12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71088">
        <w:rPr>
          <w:rFonts w:ascii="Arial" w:hAnsi="Arial" w:cs="Arial"/>
          <w:sz w:val="24"/>
          <w:szCs w:val="24"/>
        </w:rPr>
        <w:t xml:space="preserve">Dále dlužník povinen věřiteli hradit zákonný úrok z prodlení, který byl ke dni 2. 6. 2025 vypočten na částku ve výši </w:t>
      </w:r>
      <w:r w:rsidRPr="00771088">
        <w:rPr>
          <w:rFonts w:ascii="Arial" w:hAnsi="Arial" w:cs="Arial"/>
          <w:b/>
          <w:bCs/>
          <w:sz w:val="24"/>
          <w:szCs w:val="24"/>
        </w:rPr>
        <w:t xml:space="preserve">104 969,57 Kč </w:t>
      </w:r>
      <w:r w:rsidRPr="00771088">
        <w:rPr>
          <w:rFonts w:ascii="Arial" w:hAnsi="Arial" w:cs="Arial"/>
          <w:sz w:val="24"/>
          <w:szCs w:val="24"/>
        </w:rPr>
        <w:t xml:space="preserve">(jedno sto čtyři tisíce devět set </w:t>
      </w:r>
      <w:r w:rsidR="00FA3DC8" w:rsidRPr="00771088">
        <w:rPr>
          <w:rFonts w:ascii="Arial" w:hAnsi="Arial" w:cs="Arial"/>
          <w:sz w:val="24"/>
          <w:szCs w:val="24"/>
        </w:rPr>
        <w:t xml:space="preserve">šedesát devět korun českých a padesát sedm haléřů), představující </w:t>
      </w:r>
      <w:r w:rsidRPr="00771088">
        <w:rPr>
          <w:rFonts w:ascii="Arial" w:hAnsi="Arial" w:cs="Arial"/>
          <w:sz w:val="24"/>
          <w:szCs w:val="24"/>
        </w:rPr>
        <w:t>úrok 12 % ročně z částky 2 280 588, 92 Kč za dobu od 14. 1. 2025 do 2. 6. 2025, tj. celkem 140 dnů prodlení.</w:t>
      </w:r>
    </w:p>
    <w:p w14:paraId="7FA3490A" w14:textId="24363CA6" w:rsidR="000F13CE" w:rsidRPr="00771088" w:rsidRDefault="000F13CE" w:rsidP="005A3153">
      <w:pPr>
        <w:pStyle w:val="Odstavecseseznamem"/>
        <w:numPr>
          <w:ilvl w:val="0"/>
          <w:numId w:val="4"/>
        </w:numPr>
        <w:spacing w:after="12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71088">
        <w:rPr>
          <w:rFonts w:ascii="Arial" w:hAnsi="Arial" w:cs="Arial"/>
          <w:sz w:val="24"/>
          <w:szCs w:val="24"/>
        </w:rPr>
        <w:t xml:space="preserve">Dlužník podpisem </w:t>
      </w:r>
      <w:r w:rsidR="004521DA" w:rsidRPr="00771088">
        <w:rPr>
          <w:rFonts w:ascii="Arial" w:hAnsi="Arial" w:cs="Arial"/>
          <w:sz w:val="24"/>
          <w:szCs w:val="24"/>
        </w:rPr>
        <w:t>této dohody</w:t>
      </w:r>
      <w:r w:rsidRPr="00771088">
        <w:rPr>
          <w:rFonts w:ascii="Arial" w:hAnsi="Arial" w:cs="Arial"/>
          <w:sz w:val="24"/>
          <w:szCs w:val="24"/>
        </w:rPr>
        <w:t xml:space="preserve"> uznává svůj dluh vůči </w:t>
      </w:r>
      <w:r w:rsidR="004521DA" w:rsidRPr="00771088">
        <w:rPr>
          <w:rFonts w:ascii="Arial" w:hAnsi="Arial" w:cs="Arial"/>
          <w:sz w:val="24"/>
          <w:szCs w:val="24"/>
        </w:rPr>
        <w:t>v</w:t>
      </w:r>
      <w:r w:rsidRPr="00771088">
        <w:rPr>
          <w:rFonts w:ascii="Arial" w:hAnsi="Arial" w:cs="Arial"/>
          <w:sz w:val="24"/>
          <w:szCs w:val="24"/>
        </w:rPr>
        <w:t>ěřiteli specifikovaný v</w:t>
      </w:r>
      <w:r w:rsidR="00FB3D1E" w:rsidRPr="00771088">
        <w:rPr>
          <w:rFonts w:ascii="Arial" w:hAnsi="Arial" w:cs="Arial"/>
          <w:sz w:val="24"/>
          <w:szCs w:val="24"/>
        </w:rPr>
        <w:t xml:space="preserve"> </w:t>
      </w:r>
      <w:r w:rsidRPr="00771088">
        <w:rPr>
          <w:rFonts w:ascii="Arial" w:hAnsi="Arial" w:cs="Arial"/>
          <w:sz w:val="24"/>
          <w:szCs w:val="24"/>
        </w:rPr>
        <w:t>čl. I</w:t>
      </w:r>
      <w:r w:rsidR="00FA3DC8" w:rsidRPr="00771088">
        <w:rPr>
          <w:rFonts w:ascii="Arial" w:hAnsi="Arial" w:cs="Arial"/>
          <w:sz w:val="24"/>
          <w:szCs w:val="24"/>
        </w:rPr>
        <w:t xml:space="preserve"> odst. </w:t>
      </w:r>
      <w:r w:rsidR="00771088">
        <w:rPr>
          <w:rFonts w:ascii="Arial" w:hAnsi="Arial" w:cs="Arial"/>
          <w:sz w:val="24"/>
          <w:szCs w:val="24"/>
        </w:rPr>
        <w:t>1</w:t>
      </w:r>
      <w:r w:rsidR="00FA3DC8" w:rsidRPr="00771088">
        <w:rPr>
          <w:rFonts w:ascii="Arial" w:hAnsi="Arial" w:cs="Arial"/>
          <w:sz w:val="24"/>
          <w:szCs w:val="24"/>
        </w:rPr>
        <w:t xml:space="preserve"> až </w:t>
      </w:r>
      <w:r w:rsidR="00771088">
        <w:rPr>
          <w:rFonts w:ascii="Arial" w:hAnsi="Arial" w:cs="Arial"/>
          <w:sz w:val="24"/>
          <w:szCs w:val="24"/>
        </w:rPr>
        <w:t>7</w:t>
      </w:r>
      <w:r w:rsidR="00FA3DC8" w:rsidRPr="00771088">
        <w:rPr>
          <w:rFonts w:ascii="Arial" w:hAnsi="Arial" w:cs="Arial"/>
          <w:sz w:val="24"/>
          <w:szCs w:val="24"/>
        </w:rPr>
        <w:t xml:space="preserve"> </w:t>
      </w:r>
      <w:r w:rsidR="004521DA" w:rsidRPr="00771088">
        <w:rPr>
          <w:rFonts w:ascii="Arial" w:hAnsi="Arial" w:cs="Arial"/>
          <w:sz w:val="24"/>
          <w:szCs w:val="24"/>
        </w:rPr>
        <w:t>této dohody</w:t>
      </w:r>
      <w:r w:rsidRPr="00771088">
        <w:rPr>
          <w:rFonts w:ascii="Arial" w:hAnsi="Arial" w:cs="Arial"/>
          <w:sz w:val="24"/>
          <w:szCs w:val="24"/>
        </w:rPr>
        <w:t xml:space="preserve"> co do důvodu a výše.  </w:t>
      </w:r>
    </w:p>
    <w:p w14:paraId="5139395A" w14:textId="77777777" w:rsidR="000F13CE" w:rsidRPr="00771088" w:rsidRDefault="000F13CE" w:rsidP="000F13CE">
      <w:pPr>
        <w:rPr>
          <w:rFonts w:ascii="Arial" w:hAnsi="Arial" w:cs="Arial"/>
          <w:sz w:val="24"/>
          <w:szCs w:val="24"/>
        </w:rPr>
      </w:pPr>
    </w:p>
    <w:p w14:paraId="5E65C1AB" w14:textId="2DE462B6" w:rsidR="004521DA" w:rsidRPr="00771088" w:rsidRDefault="00961FE9" w:rsidP="005A3153">
      <w:pPr>
        <w:pStyle w:val="Odstavecseseznamem"/>
        <w:numPr>
          <w:ilvl w:val="0"/>
          <w:numId w:val="3"/>
        </w:numPr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771088">
        <w:rPr>
          <w:rFonts w:ascii="Arial" w:hAnsi="Arial" w:cs="Arial"/>
          <w:b/>
          <w:bCs/>
          <w:sz w:val="24"/>
          <w:szCs w:val="24"/>
        </w:rPr>
        <w:t>Způsob úhrady dluhu</w:t>
      </w:r>
    </w:p>
    <w:p w14:paraId="2DAB084C" w14:textId="2F833A15" w:rsidR="004521DA" w:rsidRPr="00771088" w:rsidRDefault="004521DA" w:rsidP="005A3153">
      <w:pPr>
        <w:pStyle w:val="Odstavecseseznamem"/>
        <w:numPr>
          <w:ilvl w:val="0"/>
          <w:numId w:val="8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71088">
        <w:rPr>
          <w:rFonts w:ascii="Arial" w:hAnsi="Arial" w:cs="Arial"/>
          <w:sz w:val="24"/>
          <w:szCs w:val="24"/>
        </w:rPr>
        <w:t xml:space="preserve">Dlužník se zavazuje uhradit věřiteli </w:t>
      </w:r>
      <w:r w:rsidR="00FB3D1E" w:rsidRPr="00771088">
        <w:rPr>
          <w:rFonts w:ascii="Arial" w:hAnsi="Arial" w:cs="Arial"/>
          <w:sz w:val="24"/>
          <w:szCs w:val="24"/>
        </w:rPr>
        <w:t xml:space="preserve">část </w:t>
      </w:r>
      <w:r w:rsidRPr="00771088">
        <w:rPr>
          <w:rFonts w:ascii="Arial" w:hAnsi="Arial" w:cs="Arial"/>
          <w:sz w:val="24"/>
          <w:szCs w:val="24"/>
        </w:rPr>
        <w:t>neuhrazen</w:t>
      </w:r>
      <w:r w:rsidR="00FB3D1E" w:rsidRPr="00771088">
        <w:rPr>
          <w:rFonts w:ascii="Arial" w:hAnsi="Arial" w:cs="Arial"/>
          <w:sz w:val="24"/>
          <w:szCs w:val="24"/>
        </w:rPr>
        <w:t>é</w:t>
      </w:r>
      <w:r w:rsidRPr="00771088">
        <w:rPr>
          <w:rFonts w:ascii="Arial" w:hAnsi="Arial" w:cs="Arial"/>
          <w:sz w:val="24"/>
          <w:szCs w:val="24"/>
        </w:rPr>
        <w:t xml:space="preserve"> dotace ve výši </w:t>
      </w:r>
      <w:r w:rsidR="005F10F9" w:rsidRPr="00771088">
        <w:rPr>
          <w:rFonts w:ascii="Arial" w:hAnsi="Arial" w:cs="Arial"/>
          <w:sz w:val="24"/>
          <w:szCs w:val="24"/>
        </w:rPr>
        <w:t>963 532,09 Kč</w:t>
      </w:r>
      <w:r w:rsidR="00FA3DC8" w:rsidRPr="00771088">
        <w:rPr>
          <w:rFonts w:ascii="Arial" w:hAnsi="Arial" w:cs="Arial"/>
          <w:sz w:val="24"/>
          <w:szCs w:val="24"/>
        </w:rPr>
        <w:t>,</w:t>
      </w:r>
      <w:r w:rsidRPr="0077108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71088">
        <w:rPr>
          <w:rFonts w:ascii="Arial" w:hAnsi="Arial" w:cs="Arial"/>
          <w:sz w:val="24"/>
          <w:szCs w:val="24"/>
        </w:rPr>
        <w:t xml:space="preserve">smluvní pokutu ve výši </w:t>
      </w:r>
      <w:r w:rsidR="00FA3DC8" w:rsidRPr="00771088">
        <w:rPr>
          <w:rFonts w:ascii="Arial" w:hAnsi="Arial" w:cs="Arial"/>
          <w:sz w:val="24"/>
          <w:szCs w:val="24"/>
        </w:rPr>
        <w:t>159 641,22 a úrok z prodlení ve výši 104 969,57</w:t>
      </w:r>
      <w:r w:rsidR="005F10F9" w:rsidRPr="00771088">
        <w:rPr>
          <w:rFonts w:ascii="Arial" w:hAnsi="Arial" w:cs="Arial"/>
          <w:sz w:val="24"/>
          <w:szCs w:val="24"/>
        </w:rPr>
        <w:t xml:space="preserve">, celkem tedy částku </w:t>
      </w:r>
      <w:r w:rsidR="005F10F9" w:rsidRPr="00771088">
        <w:rPr>
          <w:rFonts w:ascii="Arial" w:hAnsi="Arial" w:cs="Arial"/>
          <w:b/>
          <w:bCs/>
          <w:sz w:val="24"/>
          <w:szCs w:val="24"/>
        </w:rPr>
        <w:t>1 228 142,88 Kč</w:t>
      </w:r>
      <w:r w:rsidR="005F10F9" w:rsidRPr="00771088">
        <w:rPr>
          <w:rFonts w:ascii="Arial" w:hAnsi="Arial" w:cs="Arial"/>
          <w:sz w:val="24"/>
          <w:szCs w:val="24"/>
        </w:rPr>
        <w:t xml:space="preserve"> (slovy jeden milion dvě stě dvacet osm tisíc jedno sto čtyřicet dva korun českých a osmdesát osm haléřů)</w:t>
      </w:r>
      <w:r w:rsidR="00FA3DC8" w:rsidRPr="00771088">
        <w:rPr>
          <w:rFonts w:ascii="Arial" w:hAnsi="Arial" w:cs="Arial"/>
          <w:sz w:val="24"/>
          <w:szCs w:val="24"/>
        </w:rPr>
        <w:t xml:space="preserve"> </w:t>
      </w:r>
      <w:r w:rsidRPr="00771088">
        <w:rPr>
          <w:rFonts w:ascii="Arial" w:hAnsi="Arial" w:cs="Arial"/>
          <w:sz w:val="24"/>
          <w:szCs w:val="24"/>
        </w:rPr>
        <w:t>ve</w:t>
      </w:r>
      <w:r w:rsidR="00FA3DC8" w:rsidRPr="00771088">
        <w:rPr>
          <w:rFonts w:ascii="Arial" w:hAnsi="Arial" w:cs="Arial"/>
          <w:sz w:val="24"/>
          <w:szCs w:val="24"/>
        </w:rPr>
        <w:t xml:space="preserve"> třech rovnoměrných</w:t>
      </w:r>
      <w:r w:rsidRPr="00771088">
        <w:rPr>
          <w:rFonts w:ascii="Arial" w:hAnsi="Arial" w:cs="Arial"/>
          <w:sz w:val="24"/>
          <w:szCs w:val="24"/>
        </w:rPr>
        <w:t xml:space="preserve"> splátkách dle následujícího splátkového kalendáře:</w:t>
      </w:r>
    </w:p>
    <w:p w14:paraId="66D127B0" w14:textId="53E4DC25" w:rsidR="0015165D" w:rsidRPr="00771088" w:rsidRDefault="00834215" w:rsidP="00975432">
      <w:pPr>
        <w:pStyle w:val="Odstavecseseznamem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částku ve výši </w:t>
      </w:r>
      <w:r w:rsidR="00FA3DC8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409 380,96</w:t>
      </w:r>
      <w:r w:rsidR="0015165D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Kč </w:t>
      </w:r>
      <w:r w:rsidR="00D139F4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uhradí dlužník </w:t>
      </w:r>
      <w:r w:rsidR="0015165D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do </w:t>
      </w:r>
      <w:r w:rsidR="00FA3DC8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30</w:t>
      </w:r>
      <w:r w:rsidR="0015165D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. </w:t>
      </w:r>
      <w:r w:rsidR="005F10F9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9.</w:t>
      </w:r>
      <w:r w:rsidR="00FA3DC8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15165D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202</w:t>
      </w:r>
      <w:r w:rsidR="00FA3DC8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5</w:t>
      </w:r>
    </w:p>
    <w:p w14:paraId="5CD8C562" w14:textId="48211AFC" w:rsidR="0015165D" w:rsidRPr="00771088" w:rsidRDefault="00834215" w:rsidP="00975432">
      <w:pPr>
        <w:pStyle w:val="Odstavecseseznamem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částku ve výši </w:t>
      </w:r>
      <w:r w:rsidR="00FA3DC8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409 380,96 </w:t>
      </w:r>
      <w:r w:rsidR="0015165D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Kč </w:t>
      </w:r>
      <w:r w:rsidR="00D139F4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uhradí dlužník </w:t>
      </w:r>
      <w:r w:rsidR="0015165D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do 31. </w:t>
      </w:r>
      <w:r w:rsidR="005F10F9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10.</w:t>
      </w:r>
      <w:r w:rsidR="0015165D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202</w:t>
      </w:r>
      <w:r w:rsidR="00FA3DC8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5</w:t>
      </w:r>
    </w:p>
    <w:p w14:paraId="609077EE" w14:textId="2BC32FFC" w:rsidR="0015165D" w:rsidRPr="00771088" w:rsidRDefault="00834215" w:rsidP="00FA3DC8">
      <w:pPr>
        <w:pStyle w:val="Odstavecseseznamem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částku ve výši </w:t>
      </w:r>
      <w:r w:rsidR="00FA3DC8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409 380,96 </w:t>
      </w:r>
      <w:r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Kč</w:t>
      </w:r>
      <w:r w:rsidR="00D139F4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uhradí dlužník</w:t>
      </w:r>
      <w:r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15165D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do </w:t>
      </w:r>
      <w:r w:rsidR="00FA3DC8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31. </w:t>
      </w:r>
      <w:r w:rsidR="005F10F9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12.</w:t>
      </w:r>
      <w:r w:rsidR="00FA3DC8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15165D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202</w:t>
      </w:r>
      <w:r w:rsidR="00FA3DC8" w:rsidRPr="0077108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5.</w:t>
      </w:r>
    </w:p>
    <w:p w14:paraId="497C18BF" w14:textId="77777777" w:rsidR="00FA3DC8" w:rsidRPr="00771088" w:rsidRDefault="00FA3DC8" w:rsidP="00FA3DC8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6FC9406B" w14:textId="0B335BEE" w:rsidR="00961ACA" w:rsidRDefault="00896BE1" w:rsidP="0015165D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771088">
        <w:rPr>
          <w:rFonts w:ascii="Arial" w:hAnsi="Arial" w:cs="Arial"/>
          <w:sz w:val="24"/>
          <w:szCs w:val="24"/>
        </w:rPr>
        <w:t xml:space="preserve">Smluvní strany se dohodly, že </w:t>
      </w:r>
      <w:r w:rsidR="0015165D" w:rsidRPr="00771088">
        <w:rPr>
          <w:rFonts w:ascii="Arial" w:hAnsi="Arial" w:cs="Arial"/>
          <w:sz w:val="24"/>
          <w:szCs w:val="24"/>
        </w:rPr>
        <w:t xml:space="preserve">dlužník uhradí dluh </w:t>
      </w:r>
      <w:r w:rsidR="00961FE9" w:rsidRPr="00771088">
        <w:rPr>
          <w:rFonts w:ascii="Arial" w:hAnsi="Arial" w:cs="Arial"/>
          <w:sz w:val="24"/>
          <w:szCs w:val="24"/>
        </w:rPr>
        <w:t>věřiteli</w:t>
      </w:r>
      <w:r w:rsidRPr="00771088">
        <w:rPr>
          <w:rFonts w:ascii="Arial" w:hAnsi="Arial" w:cs="Arial"/>
          <w:sz w:val="24"/>
          <w:szCs w:val="24"/>
        </w:rPr>
        <w:t xml:space="preserve"> </w:t>
      </w:r>
      <w:r w:rsidR="006A79CB" w:rsidRPr="00771088">
        <w:rPr>
          <w:rFonts w:ascii="Arial" w:hAnsi="Arial" w:cs="Arial"/>
          <w:sz w:val="24"/>
          <w:szCs w:val="24"/>
        </w:rPr>
        <w:t>bezhotovostn</w:t>
      </w:r>
      <w:r w:rsidR="00961FE9" w:rsidRPr="00771088">
        <w:rPr>
          <w:rFonts w:ascii="Arial" w:hAnsi="Arial" w:cs="Arial"/>
          <w:sz w:val="24"/>
          <w:szCs w:val="24"/>
        </w:rPr>
        <w:t>ím převodem</w:t>
      </w:r>
      <w:r w:rsidR="006A79CB" w:rsidRPr="00771088">
        <w:rPr>
          <w:rFonts w:ascii="Arial" w:hAnsi="Arial" w:cs="Arial"/>
          <w:sz w:val="24"/>
          <w:szCs w:val="24"/>
        </w:rPr>
        <w:t xml:space="preserve"> na bankovní účet</w:t>
      </w:r>
      <w:r w:rsidR="0015165D" w:rsidRPr="00771088">
        <w:rPr>
          <w:rFonts w:ascii="Arial" w:hAnsi="Arial" w:cs="Arial"/>
          <w:sz w:val="24"/>
          <w:szCs w:val="24"/>
        </w:rPr>
        <w:t xml:space="preserve"> </w:t>
      </w:r>
      <w:r w:rsidR="00834215" w:rsidRPr="00771088">
        <w:rPr>
          <w:rFonts w:ascii="Arial" w:hAnsi="Arial" w:cs="Arial"/>
          <w:sz w:val="24"/>
          <w:szCs w:val="24"/>
        </w:rPr>
        <w:t>4811530257/0100, VS</w:t>
      </w:r>
      <w:r w:rsidR="00FA3DC8" w:rsidRPr="00771088">
        <w:rPr>
          <w:rFonts w:ascii="Arial" w:hAnsi="Arial" w:cs="Arial"/>
          <w:sz w:val="24"/>
          <w:szCs w:val="24"/>
        </w:rPr>
        <w:t xml:space="preserve"> </w:t>
      </w:r>
      <w:r w:rsidR="00FA3DC8" w:rsidRPr="00771088">
        <w:rPr>
          <w:rStyle w:val="nowrap"/>
          <w:rFonts w:ascii="Arial" w:hAnsi="Arial" w:cs="Arial"/>
          <w:bCs/>
          <w:sz w:val="24"/>
          <w:szCs w:val="24"/>
        </w:rPr>
        <w:t>63478773</w:t>
      </w:r>
      <w:r w:rsidR="0015165D" w:rsidRPr="00771088">
        <w:rPr>
          <w:rFonts w:ascii="Arial" w:hAnsi="Arial" w:cs="Arial"/>
          <w:sz w:val="24"/>
          <w:szCs w:val="24"/>
        </w:rPr>
        <w:t xml:space="preserve">. </w:t>
      </w:r>
      <w:r w:rsidR="00961ACA" w:rsidRPr="00771088">
        <w:rPr>
          <w:rFonts w:ascii="Arial" w:hAnsi="Arial" w:cs="Arial"/>
          <w:sz w:val="24"/>
          <w:szCs w:val="24"/>
        </w:rPr>
        <w:t>Za den úhrady splátky je považován den, kdy je platba příslušné splátky připsána ve prospěch bankovního účtu věřitele.</w:t>
      </w:r>
    </w:p>
    <w:p w14:paraId="4C5A68F7" w14:textId="1EAA5654" w:rsidR="007F5D30" w:rsidRPr="00771088" w:rsidRDefault="007F5D30" w:rsidP="0015165D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Věřitel potvrzuje, že po úhradě částek způsobem/ve lhůtách uvedených v čl. II. Odst. 1 výše nebude mít vůči dlužníkovi v souvislosti s projektem uvedeným v čl. I. odst. 1 této dohody žádné nevypořádané nároky. </w:t>
      </w:r>
    </w:p>
    <w:p w14:paraId="5D746E4B" w14:textId="77777777" w:rsidR="00961ACA" w:rsidRPr="00771088" w:rsidRDefault="00961ACA" w:rsidP="00961AC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6E518A5" w14:textId="1035C54D" w:rsidR="0015165D" w:rsidRPr="00771088" w:rsidRDefault="0015165D" w:rsidP="005A3153">
      <w:pPr>
        <w:pStyle w:val="Odstavecseseznamem"/>
        <w:numPr>
          <w:ilvl w:val="0"/>
          <w:numId w:val="3"/>
        </w:numPr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771088">
        <w:rPr>
          <w:rFonts w:ascii="Arial" w:hAnsi="Arial" w:cs="Arial"/>
          <w:b/>
          <w:bCs/>
          <w:sz w:val="24"/>
          <w:szCs w:val="24"/>
        </w:rPr>
        <w:t>Ztráta výhody splátek</w:t>
      </w:r>
    </w:p>
    <w:p w14:paraId="79DEC441" w14:textId="10D92A36" w:rsidR="0015165D" w:rsidRPr="00771088" w:rsidRDefault="0015165D" w:rsidP="005A3153">
      <w:pPr>
        <w:pStyle w:val="Odstavecseseznamem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771088">
        <w:rPr>
          <w:rFonts w:ascii="Arial" w:hAnsi="Arial" w:cs="Arial"/>
          <w:sz w:val="24"/>
          <w:szCs w:val="24"/>
        </w:rPr>
        <w:lastRenderedPageBreak/>
        <w:t>Smluvní strany sjednávají pro případ, že dlužník nesplní některou ze splátek řádně a</w:t>
      </w:r>
      <w:r w:rsidR="00D139F4" w:rsidRPr="00771088">
        <w:rPr>
          <w:rFonts w:ascii="Arial" w:hAnsi="Arial" w:cs="Arial"/>
          <w:sz w:val="24"/>
          <w:szCs w:val="24"/>
        </w:rPr>
        <w:t>/nebo</w:t>
      </w:r>
      <w:r w:rsidRPr="00771088">
        <w:rPr>
          <w:rFonts w:ascii="Arial" w:hAnsi="Arial" w:cs="Arial"/>
          <w:sz w:val="24"/>
          <w:szCs w:val="24"/>
        </w:rPr>
        <w:t xml:space="preserve"> včas, v souladu s </w:t>
      </w:r>
      <w:proofErr w:type="spellStart"/>
      <w:r w:rsidRPr="00771088">
        <w:rPr>
          <w:rFonts w:ascii="Arial" w:hAnsi="Arial" w:cs="Arial"/>
          <w:sz w:val="24"/>
          <w:szCs w:val="24"/>
        </w:rPr>
        <w:t>ust</w:t>
      </w:r>
      <w:proofErr w:type="spellEnd"/>
      <w:r w:rsidRPr="00771088">
        <w:rPr>
          <w:rFonts w:ascii="Arial" w:hAnsi="Arial" w:cs="Arial"/>
          <w:sz w:val="24"/>
          <w:szCs w:val="24"/>
        </w:rPr>
        <w:t xml:space="preserve">. § 1931 občanského zákoníku právo věřitele na vyrovnání celé pohledávky najednou (ztráta výhody splátek). </w:t>
      </w:r>
    </w:p>
    <w:p w14:paraId="2435719D" w14:textId="77777777" w:rsidR="0015165D" w:rsidRPr="00771088" w:rsidRDefault="0015165D" w:rsidP="0015165D">
      <w:pPr>
        <w:pStyle w:val="Odstavecseseznamem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2EF108B" w14:textId="27D6974C" w:rsidR="00EF4857" w:rsidRPr="00771088" w:rsidRDefault="00961ACA" w:rsidP="005A3153">
      <w:pPr>
        <w:pStyle w:val="Odstavecseseznamem"/>
        <w:numPr>
          <w:ilvl w:val="0"/>
          <w:numId w:val="3"/>
        </w:numPr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771088"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085A95A4" w14:textId="6F5BC168" w:rsidR="00EF4857" w:rsidRPr="00771088" w:rsidRDefault="00EF4857" w:rsidP="005A3153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771088">
        <w:rPr>
          <w:rFonts w:ascii="Arial" w:hAnsi="Arial" w:cs="Arial"/>
          <w:sz w:val="24"/>
          <w:szCs w:val="24"/>
        </w:rPr>
        <w:t xml:space="preserve">Smluvní strany prohlašují, že jim nejsou známy žádné okolnosti, které by znemožňovaly nebo omezovaly platnost a účinnost této </w:t>
      </w:r>
      <w:r w:rsidR="00961ACA" w:rsidRPr="00771088">
        <w:rPr>
          <w:rFonts w:ascii="Arial" w:hAnsi="Arial" w:cs="Arial"/>
          <w:sz w:val="24"/>
          <w:szCs w:val="24"/>
        </w:rPr>
        <w:t>d</w:t>
      </w:r>
      <w:r w:rsidRPr="00771088">
        <w:rPr>
          <w:rFonts w:ascii="Arial" w:hAnsi="Arial" w:cs="Arial"/>
          <w:sz w:val="24"/>
          <w:szCs w:val="24"/>
        </w:rPr>
        <w:t>o</w:t>
      </w:r>
      <w:r w:rsidR="00961ACA" w:rsidRPr="00771088">
        <w:rPr>
          <w:rFonts w:ascii="Arial" w:hAnsi="Arial" w:cs="Arial"/>
          <w:sz w:val="24"/>
          <w:szCs w:val="24"/>
        </w:rPr>
        <w:t>hod</w:t>
      </w:r>
      <w:r w:rsidRPr="00771088">
        <w:rPr>
          <w:rFonts w:ascii="Arial" w:hAnsi="Arial" w:cs="Arial"/>
          <w:sz w:val="24"/>
          <w:szCs w:val="24"/>
        </w:rPr>
        <w:t>y.</w:t>
      </w:r>
    </w:p>
    <w:p w14:paraId="162B72B2" w14:textId="71DCC20B" w:rsidR="00EF4857" w:rsidRPr="00771088" w:rsidRDefault="00EF4857" w:rsidP="005A3153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771088">
        <w:rPr>
          <w:rFonts w:ascii="Arial" w:hAnsi="Arial" w:cs="Arial"/>
          <w:sz w:val="24"/>
          <w:szCs w:val="24"/>
        </w:rPr>
        <w:t xml:space="preserve">Vzájemné vztahy smluvních stran vyplývající z této </w:t>
      </w:r>
      <w:r w:rsidR="00961ACA" w:rsidRPr="00771088">
        <w:rPr>
          <w:rFonts w:ascii="Arial" w:hAnsi="Arial" w:cs="Arial"/>
          <w:sz w:val="24"/>
          <w:szCs w:val="24"/>
        </w:rPr>
        <w:t>d</w:t>
      </w:r>
      <w:r w:rsidRPr="00771088">
        <w:rPr>
          <w:rFonts w:ascii="Arial" w:hAnsi="Arial" w:cs="Arial"/>
          <w:sz w:val="24"/>
          <w:szCs w:val="24"/>
        </w:rPr>
        <w:t>o</w:t>
      </w:r>
      <w:r w:rsidR="00961ACA" w:rsidRPr="00771088">
        <w:rPr>
          <w:rFonts w:ascii="Arial" w:hAnsi="Arial" w:cs="Arial"/>
          <w:sz w:val="24"/>
          <w:szCs w:val="24"/>
        </w:rPr>
        <w:t>hod</w:t>
      </w:r>
      <w:r w:rsidRPr="00771088">
        <w:rPr>
          <w:rFonts w:ascii="Arial" w:hAnsi="Arial" w:cs="Arial"/>
          <w:sz w:val="24"/>
          <w:szCs w:val="24"/>
        </w:rPr>
        <w:t xml:space="preserve">y, které nejsou touto </w:t>
      </w:r>
      <w:r w:rsidR="00961ACA" w:rsidRPr="00771088">
        <w:rPr>
          <w:rFonts w:ascii="Arial" w:hAnsi="Arial" w:cs="Arial"/>
          <w:sz w:val="24"/>
          <w:szCs w:val="24"/>
        </w:rPr>
        <w:t>d</w:t>
      </w:r>
      <w:r w:rsidRPr="00771088">
        <w:rPr>
          <w:rFonts w:ascii="Arial" w:hAnsi="Arial" w:cs="Arial"/>
          <w:sz w:val="24"/>
          <w:szCs w:val="24"/>
        </w:rPr>
        <w:t>o</w:t>
      </w:r>
      <w:r w:rsidR="00961ACA" w:rsidRPr="00771088">
        <w:rPr>
          <w:rFonts w:ascii="Arial" w:hAnsi="Arial" w:cs="Arial"/>
          <w:sz w:val="24"/>
          <w:szCs w:val="24"/>
        </w:rPr>
        <w:t>hod</w:t>
      </w:r>
      <w:r w:rsidRPr="00771088">
        <w:rPr>
          <w:rFonts w:ascii="Arial" w:hAnsi="Arial" w:cs="Arial"/>
          <w:sz w:val="24"/>
          <w:szCs w:val="24"/>
        </w:rPr>
        <w:t>ou výslovně upraveny, se řídí obecně závaznými právními předpisy</w:t>
      </w:r>
      <w:r w:rsidR="00961ACA" w:rsidRPr="00771088">
        <w:rPr>
          <w:rFonts w:ascii="Arial" w:hAnsi="Arial" w:cs="Arial"/>
          <w:sz w:val="24"/>
          <w:szCs w:val="24"/>
        </w:rPr>
        <w:t>/právním řádem České republiky</w:t>
      </w:r>
      <w:r w:rsidRPr="00771088">
        <w:rPr>
          <w:rFonts w:ascii="Arial" w:hAnsi="Arial" w:cs="Arial"/>
          <w:sz w:val="24"/>
          <w:szCs w:val="24"/>
        </w:rPr>
        <w:t>.</w:t>
      </w:r>
    </w:p>
    <w:p w14:paraId="7D915F96" w14:textId="059E7154" w:rsidR="00961ACA" w:rsidRPr="00771088" w:rsidRDefault="00EF4857" w:rsidP="005A3153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771088">
        <w:rPr>
          <w:rFonts w:ascii="Arial" w:hAnsi="Arial" w:cs="Arial"/>
          <w:sz w:val="24"/>
          <w:szCs w:val="24"/>
        </w:rPr>
        <w:t xml:space="preserve">Tato </w:t>
      </w:r>
      <w:r w:rsidR="00961ACA" w:rsidRPr="00771088">
        <w:rPr>
          <w:rFonts w:ascii="Arial" w:hAnsi="Arial" w:cs="Arial"/>
          <w:sz w:val="24"/>
          <w:szCs w:val="24"/>
        </w:rPr>
        <w:t>d</w:t>
      </w:r>
      <w:r w:rsidRPr="00771088">
        <w:rPr>
          <w:rFonts w:ascii="Arial" w:hAnsi="Arial" w:cs="Arial"/>
          <w:sz w:val="24"/>
          <w:szCs w:val="24"/>
        </w:rPr>
        <w:t>o</w:t>
      </w:r>
      <w:r w:rsidR="00961ACA" w:rsidRPr="00771088">
        <w:rPr>
          <w:rFonts w:ascii="Arial" w:hAnsi="Arial" w:cs="Arial"/>
          <w:sz w:val="24"/>
          <w:szCs w:val="24"/>
        </w:rPr>
        <w:t>hod</w:t>
      </w:r>
      <w:r w:rsidRPr="00771088">
        <w:rPr>
          <w:rFonts w:ascii="Arial" w:hAnsi="Arial" w:cs="Arial"/>
          <w:sz w:val="24"/>
          <w:szCs w:val="24"/>
        </w:rPr>
        <w:t>a je platná okamžikem jejího podpisu oběma smluvními stranami</w:t>
      </w:r>
      <w:r w:rsidR="00700024" w:rsidRPr="00771088">
        <w:rPr>
          <w:rFonts w:ascii="Arial" w:hAnsi="Arial" w:cs="Arial"/>
          <w:sz w:val="24"/>
          <w:szCs w:val="24"/>
        </w:rPr>
        <w:t xml:space="preserve"> a účinná dnem uveřejnění v registru smluv dle zákona č. 340/2015 Sb., o regis</w:t>
      </w:r>
      <w:r w:rsidR="00533C62" w:rsidRPr="00771088">
        <w:rPr>
          <w:rFonts w:ascii="Arial" w:hAnsi="Arial" w:cs="Arial"/>
          <w:sz w:val="24"/>
          <w:szCs w:val="24"/>
        </w:rPr>
        <w:t>t</w:t>
      </w:r>
      <w:r w:rsidR="00700024" w:rsidRPr="00771088">
        <w:rPr>
          <w:rFonts w:ascii="Arial" w:hAnsi="Arial" w:cs="Arial"/>
          <w:sz w:val="24"/>
          <w:szCs w:val="24"/>
        </w:rPr>
        <w:t>ru smluv, ve znění pozdějších předpisů, které zajistí ZČU</w:t>
      </w:r>
      <w:r w:rsidRPr="00771088">
        <w:rPr>
          <w:rFonts w:ascii="Arial" w:hAnsi="Arial" w:cs="Arial"/>
          <w:sz w:val="24"/>
          <w:szCs w:val="24"/>
        </w:rPr>
        <w:t xml:space="preserve">. </w:t>
      </w:r>
    </w:p>
    <w:p w14:paraId="05A29583" w14:textId="3A7FB332" w:rsidR="00DE2D5D" w:rsidRPr="00771088" w:rsidRDefault="00DE2D5D" w:rsidP="005A3153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771088">
        <w:rPr>
          <w:rFonts w:ascii="Arial" w:hAnsi="Arial" w:cs="Arial"/>
          <w:sz w:val="24"/>
          <w:szCs w:val="24"/>
        </w:rPr>
        <w:t>Bude-li některé ustanovení této dohody prohlášeno za neplatné, jsou její ostatní ustanovení nadále platná, lze-li je oddělit. Smluvní strany se zavazují nahradit dotčené ustanovení platným ustanovením obdobného obsahu, příp. smyslu.</w:t>
      </w:r>
    </w:p>
    <w:p w14:paraId="5D3C5257" w14:textId="5078C024" w:rsidR="00EF4857" w:rsidRPr="00771088" w:rsidRDefault="00EF4857" w:rsidP="005A3153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771088">
        <w:rPr>
          <w:rFonts w:ascii="Arial" w:hAnsi="Arial" w:cs="Arial"/>
          <w:sz w:val="24"/>
          <w:szCs w:val="24"/>
        </w:rPr>
        <w:t xml:space="preserve">Tato </w:t>
      </w:r>
      <w:r w:rsidR="00DE2D5D" w:rsidRPr="00771088">
        <w:rPr>
          <w:rFonts w:ascii="Arial" w:hAnsi="Arial" w:cs="Arial"/>
          <w:sz w:val="24"/>
          <w:szCs w:val="24"/>
        </w:rPr>
        <w:t>d</w:t>
      </w:r>
      <w:r w:rsidRPr="00771088">
        <w:rPr>
          <w:rFonts w:ascii="Arial" w:hAnsi="Arial" w:cs="Arial"/>
          <w:sz w:val="24"/>
          <w:szCs w:val="24"/>
        </w:rPr>
        <w:t>o</w:t>
      </w:r>
      <w:r w:rsidR="00DE2D5D" w:rsidRPr="00771088">
        <w:rPr>
          <w:rFonts w:ascii="Arial" w:hAnsi="Arial" w:cs="Arial"/>
          <w:sz w:val="24"/>
          <w:szCs w:val="24"/>
        </w:rPr>
        <w:t>hod</w:t>
      </w:r>
      <w:r w:rsidRPr="00771088">
        <w:rPr>
          <w:rFonts w:ascii="Arial" w:hAnsi="Arial" w:cs="Arial"/>
          <w:sz w:val="24"/>
          <w:szCs w:val="24"/>
        </w:rPr>
        <w:t>a je vyhotovena ve dvou stejnopisech, z nichž po jednom obdrží každ</w:t>
      </w:r>
      <w:r w:rsidR="00DE2D5D" w:rsidRPr="00771088">
        <w:rPr>
          <w:rFonts w:ascii="Arial" w:hAnsi="Arial" w:cs="Arial"/>
          <w:sz w:val="24"/>
          <w:szCs w:val="24"/>
        </w:rPr>
        <w:t>á</w:t>
      </w:r>
      <w:r w:rsidRPr="00771088">
        <w:rPr>
          <w:rFonts w:ascii="Arial" w:hAnsi="Arial" w:cs="Arial"/>
          <w:sz w:val="24"/>
          <w:szCs w:val="24"/>
        </w:rPr>
        <w:t xml:space="preserve"> smluv</w:t>
      </w:r>
      <w:r w:rsidR="00DE2D5D" w:rsidRPr="00771088">
        <w:rPr>
          <w:rFonts w:ascii="Arial" w:hAnsi="Arial" w:cs="Arial"/>
          <w:sz w:val="24"/>
          <w:szCs w:val="24"/>
        </w:rPr>
        <w:t>ní strana</w:t>
      </w:r>
      <w:r w:rsidRPr="00771088">
        <w:rPr>
          <w:rFonts w:ascii="Arial" w:hAnsi="Arial" w:cs="Arial"/>
          <w:sz w:val="24"/>
          <w:szCs w:val="24"/>
        </w:rPr>
        <w:t xml:space="preserve">. </w:t>
      </w:r>
    </w:p>
    <w:p w14:paraId="6E2FB0AA" w14:textId="49BC3523" w:rsidR="00EF4857" w:rsidRPr="00771088" w:rsidRDefault="00DE2D5D" w:rsidP="005A3153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771088">
        <w:rPr>
          <w:rFonts w:ascii="Arial" w:hAnsi="Arial" w:cs="Arial"/>
          <w:sz w:val="24"/>
          <w:szCs w:val="24"/>
        </w:rPr>
        <w:t>Smluv</w:t>
      </w:r>
      <w:r w:rsidR="00EF4857" w:rsidRPr="00771088">
        <w:rPr>
          <w:rFonts w:ascii="Arial" w:hAnsi="Arial" w:cs="Arial"/>
          <w:sz w:val="24"/>
          <w:szCs w:val="24"/>
        </w:rPr>
        <w:t>ní</w:t>
      </w:r>
      <w:r w:rsidRPr="00771088">
        <w:rPr>
          <w:rFonts w:ascii="Arial" w:hAnsi="Arial" w:cs="Arial"/>
          <w:sz w:val="24"/>
          <w:szCs w:val="24"/>
        </w:rPr>
        <w:t xml:space="preserve"> strany</w:t>
      </w:r>
      <w:r w:rsidR="00EF4857" w:rsidRPr="00771088">
        <w:rPr>
          <w:rFonts w:ascii="Arial" w:hAnsi="Arial" w:cs="Arial"/>
          <w:sz w:val="24"/>
          <w:szCs w:val="24"/>
        </w:rPr>
        <w:t xml:space="preserve"> prohlašují, že si </w:t>
      </w:r>
      <w:r w:rsidRPr="00771088">
        <w:rPr>
          <w:rFonts w:ascii="Arial" w:hAnsi="Arial" w:cs="Arial"/>
          <w:sz w:val="24"/>
          <w:szCs w:val="24"/>
        </w:rPr>
        <w:t>d</w:t>
      </w:r>
      <w:r w:rsidR="00EF4857" w:rsidRPr="00771088">
        <w:rPr>
          <w:rFonts w:ascii="Arial" w:hAnsi="Arial" w:cs="Arial"/>
          <w:sz w:val="24"/>
          <w:szCs w:val="24"/>
        </w:rPr>
        <w:t>o</w:t>
      </w:r>
      <w:r w:rsidRPr="00771088">
        <w:rPr>
          <w:rFonts w:ascii="Arial" w:hAnsi="Arial" w:cs="Arial"/>
          <w:sz w:val="24"/>
          <w:szCs w:val="24"/>
        </w:rPr>
        <w:t>hod</w:t>
      </w:r>
      <w:r w:rsidR="00EF4857" w:rsidRPr="00771088">
        <w:rPr>
          <w:rFonts w:ascii="Arial" w:hAnsi="Arial" w:cs="Arial"/>
          <w:sz w:val="24"/>
          <w:szCs w:val="24"/>
        </w:rPr>
        <w:t>u před jejím podpisem přečetl</w:t>
      </w:r>
      <w:r w:rsidRPr="00771088">
        <w:rPr>
          <w:rFonts w:ascii="Arial" w:hAnsi="Arial" w:cs="Arial"/>
          <w:sz w:val="24"/>
          <w:szCs w:val="24"/>
        </w:rPr>
        <w:t>y</w:t>
      </w:r>
      <w:r w:rsidR="00EF4857" w:rsidRPr="00771088">
        <w:rPr>
          <w:rFonts w:ascii="Arial" w:hAnsi="Arial" w:cs="Arial"/>
          <w:sz w:val="24"/>
          <w:szCs w:val="24"/>
        </w:rPr>
        <w:t>, že jejímu obsahu porozuměl</w:t>
      </w:r>
      <w:r w:rsidRPr="00771088">
        <w:rPr>
          <w:rFonts w:ascii="Arial" w:hAnsi="Arial" w:cs="Arial"/>
          <w:sz w:val="24"/>
          <w:szCs w:val="24"/>
        </w:rPr>
        <w:t>y</w:t>
      </w:r>
      <w:r w:rsidR="00EF4857" w:rsidRPr="00771088">
        <w:rPr>
          <w:rFonts w:ascii="Arial" w:hAnsi="Arial" w:cs="Arial"/>
          <w:sz w:val="24"/>
          <w:szCs w:val="24"/>
        </w:rPr>
        <w:t xml:space="preserve"> a že </w:t>
      </w:r>
      <w:r w:rsidRPr="00771088">
        <w:rPr>
          <w:rFonts w:ascii="Arial" w:hAnsi="Arial" w:cs="Arial"/>
          <w:sz w:val="24"/>
          <w:szCs w:val="24"/>
        </w:rPr>
        <w:t>d</w:t>
      </w:r>
      <w:r w:rsidR="00EF4857" w:rsidRPr="00771088">
        <w:rPr>
          <w:rFonts w:ascii="Arial" w:hAnsi="Arial" w:cs="Arial"/>
          <w:sz w:val="24"/>
          <w:szCs w:val="24"/>
        </w:rPr>
        <w:t>o</w:t>
      </w:r>
      <w:r w:rsidRPr="00771088">
        <w:rPr>
          <w:rFonts w:ascii="Arial" w:hAnsi="Arial" w:cs="Arial"/>
          <w:sz w:val="24"/>
          <w:szCs w:val="24"/>
        </w:rPr>
        <w:t>hod</w:t>
      </w:r>
      <w:r w:rsidR="00EF4857" w:rsidRPr="00771088">
        <w:rPr>
          <w:rFonts w:ascii="Arial" w:hAnsi="Arial" w:cs="Arial"/>
          <w:sz w:val="24"/>
          <w:szCs w:val="24"/>
        </w:rPr>
        <w:t>a vyjadřuje jejich pravou a skutečnou vůli, což stvrzují svými podpisy na této listině.</w:t>
      </w:r>
    </w:p>
    <w:p w14:paraId="36995A87" w14:textId="77777777" w:rsidR="00EF4857" w:rsidRPr="00771088" w:rsidRDefault="00EF4857" w:rsidP="00EF4857">
      <w:pPr>
        <w:spacing w:after="120"/>
        <w:rPr>
          <w:rFonts w:ascii="Arial" w:hAnsi="Arial" w:cs="Arial"/>
          <w:sz w:val="24"/>
          <w:szCs w:val="24"/>
        </w:rPr>
      </w:pPr>
    </w:p>
    <w:p w14:paraId="3432AEC2" w14:textId="4D796977" w:rsidR="00EF4857" w:rsidRPr="00771088" w:rsidRDefault="00EF4857" w:rsidP="000C38C1">
      <w:pPr>
        <w:spacing w:after="120"/>
        <w:rPr>
          <w:rFonts w:ascii="Arial" w:hAnsi="Arial" w:cs="Arial"/>
          <w:sz w:val="24"/>
          <w:szCs w:val="24"/>
        </w:rPr>
      </w:pPr>
      <w:r w:rsidRPr="00771088">
        <w:rPr>
          <w:rFonts w:ascii="Arial" w:hAnsi="Arial" w:cs="Arial"/>
          <w:sz w:val="24"/>
          <w:szCs w:val="24"/>
        </w:rPr>
        <w:t>V </w:t>
      </w:r>
      <w:r w:rsidR="00F344A1" w:rsidRPr="00771088">
        <w:rPr>
          <w:rFonts w:ascii="Arial" w:hAnsi="Arial" w:cs="Arial"/>
          <w:sz w:val="24"/>
          <w:szCs w:val="24"/>
        </w:rPr>
        <w:t>Ratíškovicích</w:t>
      </w:r>
      <w:r w:rsidRPr="00771088">
        <w:rPr>
          <w:rFonts w:ascii="Arial" w:hAnsi="Arial" w:cs="Arial"/>
          <w:sz w:val="24"/>
          <w:szCs w:val="24"/>
        </w:rPr>
        <w:t xml:space="preserve"> dne </w:t>
      </w:r>
      <w:r w:rsidR="00F344A1" w:rsidRPr="00771088">
        <w:rPr>
          <w:rFonts w:ascii="Arial" w:hAnsi="Arial" w:cs="Arial"/>
          <w:sz w:val="24"/>
          <w:szCs w:val="24"/>
        </w:rPr>
        <w:t>viz el. podpis</w:t>
      </w:r>
      <w:r w:rsidR="00700024" w:rsidRPr="00771088">
        <w:rPr>
          <w:rFonts w:ascii="Arial" w:hAnsi="Arial" w:cs="Arial"/>
          <w:sz w:val="24"/>
          <w:szCs w:val="24"/>
        </w:rPr>
        <w:tab/>
      </w:r>
      <w:r w:rsidR="00700024" w:rsidRPr="00771088">
        <w:rPr>
          <w:rFonts w:ascii="Arial" w:hAnsi="Arial" w:cs="Arial"/>
          <w:sz w:val="24"/>
          <w:szCs w:val="24"/>
        </w:rPr>
        <w:tab/>
      </w:r>
      <w:r w:rsidR="00F344A1" w:rsidRPr="00771088">
        <w:rPr>
          <w:rFonts w:ascii="Arial" w:hAnsi="Arial" w:cs="Arial"/>
          <w:sz w:val="24"/>
          <w:szCs w:val="24"/>
        </w:rPr>
        <w:t xml:space="preserve">   </w:t>
      </w:r>
      <w:r w:rsidR="00700024" w:rsidRPr="00771088">
        <w:rPr>
          <w:rFonts w:ascii="Arial" w:hAnsi="Arial" w:cs="Arial"/>
          <w:sz w:val="24"/>
          <w:szCs w:val="24"/>
        </w:rPr>
        <w:t xml:space="preserve">V Plzni dne </w:t>
      </w:r>
      <w:r w:rsidR="00F344A1" w:rsidRPr="00771088">
        <w:rPr>
          <w:rFonts w:ascii="Arial" w:hAnsi="Arial" w:cs="Arial"/>
          <w:sz w:val="24"/>
          <w:szCs w:val="24"/>
        </w:rPr>
        <w:t>viz el. podpis</w:t>
      </w:r>
    </w:p>
    <w:p w14:paraId="1767076B" w14:textId="77777777" w:rsidR="00EF4857" w:rsidRPr="00771088" w:rsidRDefault="00EF4857" w:rsidP="00EF4857">
      <w:pPr>
        <w:spacing w:after="120"/>
        <w:rPr>
          <w:rFonts w:ascii="Arial" w:hAnsi="Arial" w:cs="Arial"/>
          <w:sz w:val="24"/>
          <w:szCs w:val="24"/>
        </w:rPr>
      </w:pPr>
    </w:p>
    <w:tbl>
      <w:tblPr>
        <w:tblW w:w="86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5"/>
        <w:gridCol w:w="4252"/>
      </w:tblGrid>
      <w:tr w:rsidR="00EF4857" w:rsidRPr="00771088" w14:paraId="7967E45B" w14:textId="77777777" w:rsidTr="005A3153">
        <w:trPr>
          <w:jc w:val="center"/>
        </w:trPr>
        <w:tc>
          <w:tcPr>
            <w:tcW w:w="3850" w:type="dxa"/>
          </w:tcPr>
          <w:p w14:paraId="66945D86" w14:textId="50F06461" w:rsidR="00EF4857" w:rsidRPr="00771088" w:rsidRDefault="00FA3DC8" w:rsidP="005A3153">
            <w:pPr>
              <w:pStyle w:val="Normlnsmluvn"/>
              <w:keepNext/>
              <w:spacing w:after="0"/>
              <w:ind w:left="-75" w:firstLine="0"/>
              <w:rPr>
                <w:rFonts w:cs="Arial"/>
                <w:b/>
                <w:bCs/>
                <w:szCs w:val="24"/>
              </w:rPr>
            </w:pPr>
            <w:r w:rsidRPr="00771088">
              <w:rPr>
                <w:rFonts w:cs="Arial"/>
                <w:b/>
                <w:bCs/>
                <w:szCs w:val="24"/>
              </w:rPr>
              <w:t xml:space="preserve">T </w:t>
            </w:r>
            <w:proofErr w:type="spellStart"/>
            <w:r w:rsidRPr="00771088">
              <w:rPr>
                <w:rFonts w:cs="Arial"/>
                <w:b/>
                <w:bCs/>
                <w:szCs w:val="24"/>
              </w:rPr>
              <w:t>Machinery</w:t>
            </w:r>
            <w:proofErr w:type="spellEnd"/>
            <w:r w:rsidR="008A00F2" w:rsidRPr="00771088">
              <w:rPr>
                <w:rFonts w:cs="Arial"/>
                <w:b/>
                <w:bCs/>
                <w:szCs w:val="24"/>
              </w:rPr>
              <w:t xml:space="preserve"> a.s.</w:t>
            </w:r>
          </w:p>
        </w:tc>
        <w:tc>
          <w:tcPr>
            <w:tcW w:w="545" w:type="dxa"/>
          </w:tcPr>
          <w:p w14:paraId="64D4CCB9" w14:textId="77777777" w:rsidR="00EF4857" w:rsidRPr="00771088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4252" w:type="dxa"/>
          </w:tcPr>
          <w:p w14:paraId="52BEB663" w14:textId="7379CFAF" w:rsidR="00EF4857" w:rsidRPr="00771088" w:rsidRDefault="002F6740" w:rsidP="005A3153">
            <w:pPr>
              <w:spacing w:after="0"/>
              <w:ind w:right="-49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0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Západočeská univerzita v Plzni </w:t>
            </w:r>
          </w:p>
        </w:tc>
      </w:tr>
      <w:tr w:rsidR="00EF4857" w:rsidRPr="00771088" w14:paraId="1CD5E8C1" w14:textId="77777777" w:rsidTr="005A3153">
        <w:trPr>
          <w:jc w:val="center"/>
        </w:trPr>
        <w:tc>
          <w:tcPr>
            <w:tcW w:w="3850" w:type="dxa"/>
          </w:tcPr>
          <w:p w14:paraId="21B06295" w14:textId="77777777" w:rsidR="00EF4857" w:rsidRPr="00771088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  <w:p w14:paraId="06C2BAC9" w14:textId="77777777" w:rsidR="00EF4857" w:rsidRPr="00771088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  <w:p w14:paraId="77845D86" w14:textId="77777777" w:rsidR="00EF4857" w:rsidRPr="00771088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  <w:p w14:paraId="2C04D9D6" w14:textId="77777777" w:rsidR="00EF4857" w:rsidRPr="00771088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  <w:p w14:paraId="3C4BC9A0" w14:textId="77777777" w:rsidR="00FA3DC8" w:rsidRPr="00771088" w:rsidRDefault="00FA3DC8" w:rsidP="00FA3DC8">
            <w:pPr>
              <w:pStyle w:val="Normlnsmluvn"/>
              <w:keepNext/>
              <w:spacing w:after="0"/>
              <w:ind w:left="0" w:firstLine="0"/>
              <w:rPr>
                <w:rFonts w:cs="Arial"/>
                <w:szCs w:val="24"/>
              </w:rPr>
            </w:pPr>
            <w:r w:rsidRPr="00771088">
              <w:rPr>
                <w:rFonts w:cs="Arial"/>
                <w:szCs w:val="24"/>
              </w:rPr>
              <w:t xml:space="preserve">Ing. Zdeněk </w:t>
            </w:r>
            <w:proofErr w:type="spellStart"/>
            <w:r w:rsidRPr="00771088">
              <w:rPr>
                <w:rFonts w:cs="Arial"/>
                <w:szCs w:val="24"/>
              </w:rPr>
              <w:t>Gajdík</w:t>
            </w:r>
            <w:proofErr w:type="spellEnd"/>
            <w:r w:rsidRPr="00771088">
              <w:rPr>
                <w:rFonts w:cs="Arial"/>
                <w:szCs w:val="24"/>
              </w:rPr>
              <w:t xml:space="preserve"> </w:t>
            </w:r>
          </w:p>
          <w:p w14:paraId="303D2718" w14:textId="2840F342" w:rsidR="00EF4857" w:rsidRPr="00771088" w:rsidRDefault="00D139F4" w:rsidP="00FA3DC8">
            <w:pPr>
              <w:pStyle w:val="Normlnsmluvn"/>
              <w:keepNext/>
              <w:spacing w:after="0"/>
              <w:ind w:left="0" w:firstLine="0"/>
              <w:rPr>
                <w:rFonts w:cs="Arial"/>
                <w:szCs w:val="24"/>
              </w:rPr>
            </w:pPr>
            <w:r w:rsidRPr="00771088">
              <w:rPr>
                <w:rFonts w:cs="Arial"/>
                <w:szCs w:val="24"/>
              </w:rPr>
              <w:t>p</w:t>
            </w:r>
            <w:r w:rsidR="008A00F2" w:rsidRPr="00771088">
              <w:rPr>
                <w:rFonts w:cs="Arial"/>
                <w:szCs w:val="24"/>
              </w:rPr>
              <w:t>ředseda správní rady</w:t>
            </w:r>
          </w:p>
        </w:tc>
        <w:tc>
          <w:tcPr>
            <w:tcW w:w="545" w:type="dxa"/>
          </w:tcPr>
          <w:p w14:paraId="35119FF5" w14:textId="77777777" w:rsidR="00EF4857" w:rsidRPr="00771088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  <w:p w14:paraId="0032447D" w14:textId="77777777" w:rsidR="00EF4857" w:rsidRPr="00771088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  <w:p w14:paraId="237A11A8" w14:textId="77777777" w:rsidR="00EF4857" w:rsidRPr="00771088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252" w:type="dxa"/>
          </w:tcPr>
          <w:p w14:paraId="1D040DE3" w14:textId="77777777" w:rsidR="00EF4857" w:rsidRPr="00771088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  <w:p w14:paraId="3F9573A3" w14:textId="77777777" w:rsidR="00EF4857" w:rsidRPr="00771088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  <w:p w14:paraId="63821A91" w14:textId="77777777" w:rsidR="00EF4857" w:rsidRPr="00771088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  <w:p w14:paraId="11420B2A" w14:textId="77777777" w:rsidR="00EF4857" w:rsidRPr="00771088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  <w:p w14:paraId="6E2967E8" w14:textId="35C9E47E" w:rsidR="00EF4857" w:rsidRPr="00771088" w:rsidRDefault="005A3153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  <w:r w:rsidRPr="00771088">
              <w:rPr>
                <w:rFonts w:cs="Arial"/>
                <w:szCs w:val="24"/>
              </w:rPr>
              <w:t xml:space="preserve">    </w:t>
            </w:r>
            <w:r w:rsidR="00FA3DC8" w:rsidRPr="00771088">
              <w:rPr>
                <w:rFonts w:cs="Arial"/>
                <w:szCs w:val="24"/>
              </w:rPr>
              <w:t xml:space="preserve">  </w:t>
            </w:r>
            <w:r w:rsidR="00F344A1" w:rsidRPr="00771088">
              <w:rPr>
                <w:rFonts w:cs="Arial"/>
                <w:szCs w:val="24"/>
              </w:rPr>
              <w:t>p</w:t>
            </w:r>
            <w:r w:rsidR="00FA3DC8" w:rsidRPr="00771088">
              <w:rPr>
                <w:rFonts w:cs="Arial"/>
                <w:szCs w:val="24"/>
              </w:rPr>
              <w:t xml:space="preserve">rof. </w:t>
            </w:r>
            <w:r w:rsidR="00700024" w:rsidRPr="00771088">
              <w:rPr>
                <w:rFonts w:cs="Arial"/>
                <w:szCs w:val="24"/>
              </w:rPr>
              <w:t>Ing.</w:t>
            </w:r>
            <w:r w:rsidR="00FA3DC8" w:rsidRPr="00771088">
              <w:rPr>
                <w:rFonts w:cs="Arial"/>
                <w:szCs w:val="24"/>
              </w:rPr>
              <w:t xml:space="preserve"> Zdeněk Peroutka, Ph.D.</w:t>
            </w:r>
            <w:r w:rsidR="00700024" w:rsidRPr="00771088">
              <w:rPr>
                <w:rFonts w:cs="Arial"/>
                <w:szCs w:val="24"/>
              </w:rPr>
              <w:t xml:space="preserve"> </w:t>
            </w:r>
          </w:p>
          <w:p w14:paraId="4704C3BC" w14:textId="290E8F36" w:rsidR="00533C62" w:rsidRPr="00771088" w:rsidRDefault="005A3153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  <w:r w:rsidRPr="00771088">
              <w:rPr>
                <w:rFonts w:cs="Arial"/>
                <w:szCs w:val="24"/>
              </w:rPr>
              <w:t xml:space="preserve">  </w:t>
            </w:r>
            <w:r w:rsidR="00F344A1" w:rsidRPr="00771088">
              <w:rPr>
                <w:rFonts w:cs="Arial"/>
                <w:szCs w:val="24"/>
              </w:rPr>
              <w:t>d</w:t>
            </w:r>
            <w:r w:rsidR="00FA3DC8" w:rsidRPr="00771088">
              <w:rPr>
                <w:rFonts w:cs="Arial"/>
                <w:szCs w:val="24"/>
              </w:rPr>
              <w:t>ěkan Fakulty elektrotechnické</w:t>
            </w:r>
          </w:p>
        </w:tc>
      </w:tr>
    </w:tbl>
    <w:p w14:paraId="554EE557" w14:textId="0A6F68D8" w:rsidR="00EF4857" w:rsidRPr="00896BE1" w:rsidRDefault="00700024" w:rsidP="00EF48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00F2">
        <w:rPr>
          <w:rFonts w:ascii="Arial" w:hAnsi="Arial" w:cs="Arial"/>
          <w:sz w:val="24"/>
          <w:szCs w:val="24"/>
        </w:rPr>
        <w:tab/>
      </w:r>
      <w:r w:rsidRPr="008A00F2">
        <w:rPr>
          <w:rFonts w:ascii="Arial" w:hAnsi="Arial" w:cs="Arial"/>
          <w:sz w:val="24"/>
          <w:szCs w:val="24"/>
        </w:rPr>
        <w:tab/>
      </w:r>
      <w:r w:rsidRPr="008A00F2">
        <w:rPr>
          <w:rFonts w:ascii="Arial" w:hAnsi="Arial" w:cs="Arial"/>
          <w:sz w:val="24"/>
          <w:szCs w:val="24"/>
        </w:rPr>
        <w:tab/>
      </w:r>
      <w:r w:rsidRPr="008A00F2">
        <w:rPr>
          <w:rFonts w:ascii="Arial" w:hAnsi="Arial" w:cs="Arial"/>
          <w:sz w:val="24"/>
          <w:szCs w:val="24"/>
        </w:rPr>
        <w:tab/>
      </w:r>
      <w:r w:rsidRPr="008A00F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EF4857" w:rsidRPr="00896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276"/>
    <w:multiLevelType w:val="hybridMultilevel"/>
    <w:tmpl w:val="0C9E8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1A5C"/>
    <w:multiLevelType w:val="hybridMultilevel"/>
    <w:tmpl w:val="FB50AE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F2723"/>
    <w:multiLevelType w:val="hybridMultilevel"/>
    <w:tmpl w:val="C5CE11CA"/>
    <w:lvl w:ilvl="0" w:tplc="09CC5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41735"/>
    <w:multiLevelType w:val="hybridMultilevel"/>
    <w:tmpl w:val="E8D27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046C"/>
    <w:multiLevelType w:val="hybridMultilevel"/>
    <w:tmpl w:val="9E0CD93A"/>
    <w:lvl w:ilvl="0" w:tplc="9BD83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626EA"/>
    <w:multiLevelType w:val="hybridMultilevel"/>
    <w:tmpl w:val="9E0CD93A"/>
    <w:lvl w:ilvl="0" w:tplc="9BD83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749D3"/>
    <w:multiLevelType w:val="hybridMultilevel"/>
    <w:tmpl w:val="F18C2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20D0F"/>
    <w:multiLevelType w:val="hybridMultilevel"/>
    <w:tmpl w:val="65CCC2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F2037"/>
    <w:multiLevelType w:val="hybridMultilevel"/>
    <w:tmpl w:val="678254E0"/>
    <w:lvl w:ilvl="0" w:tplc="9180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9EB42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DE48B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6002A0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FCC3D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51CD5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D023F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7BE2BD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ACF54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263253"/>
    <w:multiLevelType w:val="hybridMultilevel"/>
    <w:tmpl w:val="C7CC79E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27956561">
    <w:abstractNumId w:val="3"/>
  </w:num>
  <w:num w:numId="2" w16cid:durableId="562910731">
    <w:abstractNumId w:val="8"/>
  </w:num>
  <w:num w:numId="3" w16cid:durableId="1343508490">
    <w:abstractNumId w:val="2"/>
  </w:num>
  <w:num w:numId="4" w16cid:durableId="1393385680">
    <w:abstractNumId w:val="4"/>
  </w:num>
  <w:num w:numId="5" w16cid:durableId="194078891">
    <w:abstractNumId w:val="0"/>
  </w:num>
  <w:num w:numId="6" w16cid:durableId="833230330">
    <w:abstractNumId w:val="5"/>
  </w:num>
  <w:num w:numId="7" w16cid:durableId="713043375">
    <w:abstractNumId w:val="1"/>
  </w:num>
  <w:num w:numId="8" w16cid:durableId="167259475">
    <w:abstractNumId w:val="7"/>
  </w:num>
  <w:num w:numId="9" w16cid:durableId="1145588871">
    <w:abstractNumId w:val="6"/>
  </w:num>
  <w:num w:numId="10" w16cid:durableId="989793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17"/>
    <w:rsid w:val="00063960"/>
    <w:rsid w:val="000C38C1"/>
    <w:rsid w:val="000C53EF"/>
    <w:rsid w:val="000F13CE"/>
    <w:rsid w:val="0015165D"/>
    <w:rsid w:val="001A36C1"/>
    <w:rsid w:val="001C04DE"/>
    <w:rsid w:val="001F0BCD"/>
    <w:rsid w:val="00232398"/>
    <w:rsid w:val="002F31F7"/>
    <w:rsid w:val="002F6740"/>
    <w:rsid w:val="00314224"/>
    <w:rsid w:val="003608BB"/>
    <w:rsid w:val="003B5886"/>
    <w:rsid w:val="004029A9"/>
    <w:rsid w:val="004521DA"/>
    <w:rsid w:val="004A643B"/>
    <w:rsid w:val="005218B6"/>
    <w:rsid w:val="00533C62"/>
    <w:rsid w:val="005A3153"/>
    <w:rsid w:val="005F10F9"/>
    <w:rsid w:val="005F7F8A"/>
    <w:rsid w:val="00622A1A"/>
    <w:rsid w:val="0067164F"/>
    <w:rsid w:val="00674DAB"/>
    <w:rsid w:val="006A79CB"/>
    <w:rsid w:val="006D0E25"/>
    <w:rsid w:val="00700024"/>
    <w:rsid w:val="00771088"/>
    <w:rsid w:val="007A6249"/>
    <w:rsid w:val="007B7EC6"/>
    <w:rsid w:val="007F5D30"/>
    <w:rsid w:val="007F66D7"/>
    <w:rsid w:val="00802852"/>
    <w:rsid w:val="00834215"/>
    <w:rsid w:val="00884CF1"/>
    <w:rsid w:val="00896BE1"/>
    <w:rsid w:val="008A00F2"/>
    <w:rsid w:val="00961ACA"/>
    <w:rsid w:val="00961FE9"/>
    <w:rsid w:val="00975432"/>
    <w:rsid w:val="00995C58"/>
    <w:rsid w:val="009A4917"/>
    <w:rsid w:val="00A3657E"/>
    <w:rsid w:val="00A54468"/>
    <w:rsid w:val="00AF44CC"/>
    <w:rsid w:val="00B64E5F"/>
    <w:rsid w:val="00C17D1A"/>
    <w:rsid w:val="00C23A69"/>
    <w:rsid w:val="00CA238B"/>
    <w:rsid w:val="00CC037E"/>
    <w:rsid w:val="00CF7DC9"/>
    <w:rsid w:val="00D139F4"/>
    <w:rsid w:val="00D43202"/>
    <w:rsid w:val="00D559CD"/>
    <w:rsid w:val="00DA43B5"/>
    <w:rsid w:val="00DE2D5D"/>
    <w:rsid w:val="00DF27ED"/>
    <w:rsid w:val="00EC460C"/>
    <w:rsid w:val="00EF4857"/>
    <w:rsid w:val="00F344A1"/>
    <w:rsid w:val="00FA3DC8"/>
    <w:rsid w:val="00FB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B74B6"/>
  <w15:chartTrackingRefBased/>
  <w15:docId w15:val="{499985C4-395C-415E-AA4B-1DDEC3CD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6BE1"/>
    <w:pPr>
      <w:ind w:left="720"/>
      <w:contextualSpacing/>
    </w:pPr>
  </w:style>
  <w:style w:type="paragraph" w:customStyle="1" w:styleId="Normlnsmluvn">
    <w:name w:val="Normální smluvní"/>
    <w:basedOn w:val="Normln"/>
    <w:rsid w:val="00EF4857"/>
    <w:pPr>
      <w:spacing w:after="120" w:line="240" w:lineRule="auto"/>
      <w:ind w:left="284" w:hanging="284"/>
      <w:jc w:val="both"/>
    </w:pPr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961F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1F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1F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F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1FE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218B6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rsid w:val="000F13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13C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xcontentpasted0">
    <w:name w:val="xcontentpasted0"/>
    <w:basedOn w:val="Standardnpsmoodstavce"/>
    <w:rsid w:val="000F13CE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51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5165D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nowrap">
    <w:name w:val="nowrap"/>
    <w:basedOn w:val="Standardnpsmoodstavce"/>
    <w:rsid w:val="001A3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842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petr@hanuska.cz</dc:creator>
  <cp:keywords/>
  <dc:description/>
  <cp:lastModifiedBy>Blanka Grebeňová</cp:lastModifiedBy>
  <cp:revision>2</cp:revision>
  <dcterms:created xsi:type="dcterms:W3CDTF">2025-09-17T06:56:00Z</dcterms:created>
  <dcterms:modified xsi:type="dcterms:W3CDTF">2025-09-17T06:56:00Z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972e01df-1ad4-4cb0-b194-fdfaad684149</vt:lpwstr>
  </property>
</Properties>
</file>