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7" w:type="dxa"/>
        <w:tblCellMar>
          <w:left w:w="70" w:type="dxa"/>
          <w:right w:w="70" w:type="dxa"/>
        </w:tblCellMar>
        <w:tblLook w:val="04A0" w:firstRow="1" w:lastRow="0" w:firstColumn="1" w:lastColumn="0" w:noHBand="0" w:noVBand="1"/>
      </w:tblPr>
      <w:tblGrid>
        <w:gridCol w:w="1611"/>
        <w:gridCol w:w="609"/>
        <w:gridCol w:w="616"/>
        <w:gridCol w:w="1027"/>
        <w:gridCol w:w="1809"/>
        <w:gridCol w:w="676"/>
        <w:gridCol w:w="728"/>
        <w:gridCol w:w="728"/>
        <w:gridCol w:w="2282"/>
      </w:tblGrid>
      <w:tr w:rsidR="006A7E8E" w:rsidRPr="006A7E8E" w:rsidTr="006A7E8E">
        <w:trPr>
          <w:trHeight w:val="419"/>
        </w:trPr>
        <w:tc>
          <w:tcPr>
            <w:tcW w:w="3694" w:type="dxa"/>
            <w:gridSpan w:val="4"/>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b/>
                <w:bCs/>
                <w:sz w:val="28"/>
                <w:szCs w:val="28"/>
                <w:lang w:eastAsia="cs-CZ"/>
              </w:rPr>
            </w:pPr>
            <w:r w:rsidRPr="006A7E8E">
              <w:rPr>
                <w:rFonts w:ascii="Palatino Linotype" w:eastAsia="Times New Roman" w:hAnsi="Palatino Linotype" w:cs="Arial"/>
                <w:b/>
                <w:bCs/>
                <w:sz w:val="28"/>
                <w:szCs w:val="28"/>
                <w:lang w:eastAsia="cs-CZ"/>
              </w:rPr>
              <w:t>Protokol o změně díla</w:t>
            </w:r>
          </w:p>
        </w:tc>
        <w:tc>
          <w:tcPr>
            <w:tcW w:w="1809"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b/>
                <w:bCs/>
                <w:sz w:val="28"/>
                <w:szCs w:val="28"/>
                <w:lang w:eastAsia="cs-CZ"/>
              </w:rPr>
            </w:pPr>
          </w:p>
        </w:tc>
        <w:tc>
          <w:tcPr>
            <w:tcW w:w="676"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1456" w:type="dxa"/>
            <w:gridSpan w:val="2"/>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b/>
                <w:bCs/>
                <w:sz w:val="28"/>
                <w:szCs w:val="28"/>
                <w:lang w:eastAsia="cs-CZ"/>
              </w:rPr>
            </w:pPr>
            <w:r w:rsidRPr="006A7E8E">
              <w:rPr>
                <w:rFonts w:ascii="Palatino Linotype" w:eastAsia="Times New Roman" w:hAnsi="Palatino Linotype" w:cs="Arial"/>
                <w:b/>
                <w:bCs/>
                <w:sz w:val="28"/>
                <w:szCs w:val="28"/>
                <w:lang w:eastAsia="cs-CZ"/>
              </w:rPr>
              <w:t xml:space="preserve">Změnový list </w:t>
            </w:r>
          </w:p>
        </w:tc>
        <w:tc>
          <w:tcPr>
            <w:tcW w:w="2280"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b/>
                <w:bCs/>
                <w:sz w:val="28"/>
                <w:szCs w:val="28"/>
                <w:lang w:eastAsia="cs-CZ"/>
              </w:rPr>
            </w:pPr>
            <w:r w:rsidRPr="006A7E8E">
              <w:rPr>
                <w:rFonts w:ascii="Palatino Linotype" w:eastAsia="Times New Roman" w:hAnsi="Palatino Linotype" w:cs="Arial"/>
                <w:b/>
                <w:bCs/>
                <w:sz w:val="28"/>
                <w:szCs w:val="28"/>
                <w:lang w:eastAsia="cs-CZ"/>
              </w:rPr>
              <w:t>č. 1</w:t>
            </w:r>
          </w:p>
        </w:tc>
      </w:tr>
      <w:tr w:rsidR="006A7E8E" w:rsidRPr="006A7E8E" w:rsidTr="006A7E8E">
        <w:trPr>
          <w:trHeight w:val="71"/>
        </w:trPr>
        <w:tc>
          <w:tcPr>
            <w:tcW w:w="1611"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b/>
                <w:bCs/>
                <w:sz w:val="28"/>
                <w:szCs w:val="28"/>
                <w:lang w:eastAsia="cs-CZ"/>
              </w:rPr>
            </w:pPr>
          </w:p>
        </w:tc>
        <w:tc>
          <w:tcPr>
            <w:tcW w:w="525"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531"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1026"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1809"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676"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728"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728"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2280"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r>
      <w:tr w:rsidR="006A7E8E" w:rsidRPr="006A7E8E" w:rsidTr="006A7E8E">
        <w:trPr>
          <w:trHeight w:val="546"/>
        </w:trPr>
        <w:tc>
          <w:tcPr>
            <w:tcW w:w="2136"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7E8E" w:rsidRPr="006A7E8E" w:rsidRDefault="006A7E8E" w:rsidP="006A7E8E">
            <w:pPr>
              <w:spacing w:after="0" w:line="240" w:lineRule="auto"/>
              <w:ind w:firstLineChars="100" w:firstLine="200"/>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Předmět díla:</w:t>
            </w:r>
          </w:p>
        </w:tc>
        <w:tc>
          <w:tcPr>
            <w:tcW w:w="7780" w:type="dxa"/>
            <w:gridSpan w:val="7"/>
            <w:tcBorders>
              <w:top w:val="single" w:sz="8"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ind w:firstLineChars="100" w:firstLine="200"/>
              <w:rPr>
                <w:rFonts w:ascii="Palatino Linotype" w:eastAsia="Times New Roman" w:hAnsi="Palatino Linotype" w:cs="Arial"/>
                <w:b/>
                <w:bCs/>
                <w:sz w:val="20"/>
                <w:szCs w:val="20"/>
                <w:lang w:eastAsia="cs-CZ"/>
              </w:rPr>
            </w:pPr>
            <w:r w:rsidRPr="006A7E8E">
              <w:rPr>
                <w:rFonts w:ascii="Palatino Linotype" w:eastAsia="Times New Roman" w:hAnsi="Palatino Linotype" w:cs="Arial"/>
                <w:b/>
                <w:bCs/>
                <w:sz w:val="20"/>
                <w:szCs w:val="20"/>
                <w:lang w:eastAsia="cs-CZ"/>
              </w:rPr>
              <w:t xml:space="preserve">MZM Brno - Centrální depozitář v Rebešovicích, </w:t>
            </w:r>
            <w:proofErr w:type="gramStart"/>
            <w:r w:rsidRPr="006A7E8E">
              <w:rPr>
                <w:rFonts w:ascii="Palatino Linotype" w:eastAsia="Times New Roman" w:hAnsi="Palatino Linotype" w:cs="Arial"/>
                <w:b/>
                <w:bCs/>
                <w:sz w:val="20"/>
                <w:szCs w:val="20"/>
                <w:lang w:eastAsia="cs-CZ"/>
              </w:rPr>
              <w:t xml:space="preserve">stavba </w:t>
            </w:r>
            <w:proofErr w:type="spellStart"/>
            <w:r w:rsidRPr="006A7E8E">
              <w:rPr>
                <w:rFonts w:ascii="Palatino Linotype" w:eastAsia="Times New Roman" w:hAnsi="Palatino Linotype" w:cs="Arial"/>
                <w:b/>
                <w:bCs/>
                <w:sz w:val="20"/>
                <w:szCs w:val="20"/>
                <w:lang w:eastAsia="cs-CZ"/>
              </w:rPr>
              <w:t>I.etapy</w:t>
            </w:r>
            <w:proofErr w:type="spellEnd"/>
            <w:proofErr w:type="gramEnd"/>
          </w:p>
        </w:tc>
      </w:tr>
      <w:tr w:rsidR="006A7E8E" w:rsidRPr="006A7E8E" w:rsidTr="006A7E8E">
        <w:trPr>
          <w:trHeight w:val="382"/>
        </w:trPr>
        <w:tc>
          <w:tcPr>
            <w:tcW w:w="213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7E8E" w:rsidRPr="006A7E8E" w:rsidRDefault="006A7E8E" w:rsidP="006A7E8E">
            <w:pPr>
              <w:spacing w:after="0" w:line="240" w:lineRule="auto"/>
              <w:ind w:firstLineChars="100" w:firstLine="200"/>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Objekt:</w:t>
            </w:r>
          </w:p>
        </w:tc>
        <w:tc>
          <w:tcPr>
            <w:tcW w:w="7780"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ind w:firstLineChars="100" w:firstLine="200"/>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CDR</w:t>
            </w:r>
          </w:p>
        </w:tc>
      </w:tr>
      <w:tr w:rsidR="006A7E8E" w:rsidRPr="006A7E8E" w:rsidTr="006A7E8E">
        <w:trPr>
          <w:trHeight w:val="382"/>
        </w:trPr>
        <w:tc>
          <w:tcPr>
            <w:tcW w:w="213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7E8E" w:rsidRPr="006A7E8E" w:rsidRDefault="006A7E8E" w:rsidP="006A7E8E">
            <w:pPr>
              <w:spacing w:after="0" w:line="240" w:lineRule="auto"/>
              <w:ind w:firstLineChars="100" w:firstLine="200"/>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Objednatel:</w:t>
            </w:r>
          </w:p>
        </w:tc>
        <w:tc>
          <w:tcPr>
            <w:tcW w:w="7780"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ind w:firstLineChars="100" w:firstLine="200"/>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Moravské zemské muzeum</w:t>
            </w:r>
          </w:p>
        </w:tc>
      </w:tr>
      <w:tr w:rsidR="006A7E8E" w:rsidRPr="006A7E8E" w:rsidTr="006A7E8E">
        <w:trPr>
          <w:trHeight w:val="382"/>
        </w:trPr>
        <w:tc>
          <w:tcPr>
            <w:tcW w:w="213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7E8E" w:rsidRPr="006A7E8E" w:rsidRDefault="006A7E8E" w:rsidP="006A7E8E">
            <w:pPr>
              <w:spacing w:after="0" w:line="240" w:lineRule="auto"/>
              <w:ind w:firstLineChars="100" w:firstLine="200"/>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Zhotovitel:</w:t>
            </w:r>
          </w:p>
        </w:tc>
        <w:tc>
          <w:tcPr>
            <w:tcW w:w="7780"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ind w:firstLineChars="100" w:firstLine="200"/>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xml:space="preserve">Sdružení SYNER, s.r.o., PSG </w:t>
            </w:r>
            <w:proofErr w:type="spellStart"/>
            <w:r w:rsidRPr="006A7E8E">
              <w:rPr>
                <w:rFonts w:ascii="Palatino Linotype" w:eastAsia="Times New Roman" w:hAnsi="Palatino Linotype" w:cs="Arial"/>
                <w:sz w:val="20"/>
                <w:szCs w:val="20"/>
                <w:lang w:eastAsia="cs-CZ"/>
              </w:rPr>
              <w:t>construction</w:t>
            </w:r>
            <w:proofErr w:type="spellEnd"/>
            <w:r w:rsidRPr="006A7E8E">
              <w:rPr>
                <w:rFonts w:ascii="Palatino Linotype" w:eastAsia="Times New Roman" w:hAnsi="Palatino Linotype" w:cs="Arial"/>
                <w:sz w:val="20"/>
                <w:szCs w:val="20"/>
                <w:lang w:eastAsia="cs-CZ"/>
              </w:rPr>
              <w:t xml:space="preserve"> a.s. a </w:t>
            </w:r>
            <w:proofErr w:type="spellStart"/>
            <w:r w:rsidRPr="006A7E8E">
              <w:rPr>
                <w:rFonts w:ascii="Palatino Linotype" w:eastAsia="Times New Roman" w:hAnsi="Palatino Linotype" w:cs="Arial"/>
                <w:sz w:val="20"/>
                <w:szCs w:val="20"/>
                <w:lang w:eastAsia="cs-CZ"/>
              </w:rPr>
              <w:t>Winning</w:t>
            </w:r>
            <w:proofErr w:type="spellEnd"/>
            <w:r w:rsidRPr="006A7E8E">
              <w:rPr>
                <w:rFonts w:ascii="Palatino Linotype" w:eastAsia="Times New Roman" w:hAnsi="Palatino Linotype" w:cs="Arial"/>
                <w:sz w:val="20"/>
                <w:szCs w:val="20"/>
                <w:lang w:eastAsia="cs-CZ"/>
              </w:rPr>
              <w:t xml:space="preserve"> PS - stavební firma s.r.o.</w:t>
            </w:r>
          </w:p>
        </w:tc>
      </w:tr>
      <w:tr w:rsidR="006A7E8E" w:rsidRPr="006A7E8E" w:rsidTr="006A7E8E">
        <w:trPr>
          <w:trHeight w:val="382"/>
        </w:trPr>
        <w:tc>
          <w:tcPr>
            <w:tcW w:w="213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7E8E" w:rsidRPr="006A7E8E" w:rsidRDefault="006A7E8E" w:rsidP="006A7E8E">
            <w:pPr>
              <w:spacing w:after="0" w:line="240" w:lineRule="auto"/>
              <w:ind w:firstLineChars="100" w:firstLine="200"/>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TDI:</w:t>
            </w:r>
          </w:p>
        </w:tc>
        <w:tc>
          <w:tcPr>
            <w:tcW w:w="7780"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ind w:firstLineChars="100" w:firstLine="200"/>
              <w:rPr>
                <w:rFonts w:ascii="Palatino Linotype" w:eastAsia="Times New Roman" w:hAnsi="Palatino Linotype" w:cs="Arial"/>
                <w:color w:val="000000"/>
                <w:sz w:val="20"/>
                <w:szCs w:val="20"/>
                <w:lang w:eastAsia="cs-CZ"/>
              </w:rPr>
            </w:pPr>
            <w:r w:rsidRPr="006A7E8E">
              <w:rPr>
                <w:rFonts w:ascii="Palatino Linotype" w:eastAsia="Times New Roman" w:hAnsi="Palatino Linotype" w:cs="Arial"/>
                <w:color w:val="000000"/>
                <w:sz w:val="20"/>
                <w:szCs w:val="20"/>
                <w:lang w:eastAsia="cs-CZ"/>
              </w:rPr>
              <w:t>SAFETY PRO, s. r. o.</w:t>
            </w:r>
          </w:p>
        </w:tc>
      </w:tr>
      <w:tr w:rsidR="006A7E8E" w:rsidRPr="006A7E8E" w:rsidTr="006A7E8E">
        <w:trPr>
          <w:trHeight w:val="382"/>
        </w:trPr>
        <w:tc>
          <w:tcPr>
            <w:tcW w:w="2136" w:type="dxa"/>
            <w:gridSpan w:val="2"/>
            <w:tcBorders>
              <w:top w:val="single" w:sz="4" w:space="0" w:color="auto"/>
              <w:left w:val="single" w:sz="8" w:space="0" w:color="auto"/>
              <w:bottom w:val="single" w:sz="12" w:space="0" w:color="auto"/>
              <w:right w:val="single" w:sz="4" w:space="0" w:color="auto"/>
            </w:tcBorders>
            <w:shd w:val="clear" w:color="auto" w:fill="auto"/>
            <w:noWrap/>
            <w:vAlign w:val="center"/>
            <w:hideMark/>
          </w:tcPr>
          <w:p w:rsidR="006A7E8E" w:rsidRPr="006A7E8E" w:rsidRDefault="006A7E8E" w:rsidP="006A7E8E">
            <w:pPr>
              <w:spacing w:after="0" w:line="240" w:lineRule="auto"/>
              <w:ind w:firstLineChars="100" w:firstLine="200"/>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Projektant:</w:t>
            </w:r>
          </w:p>
        </w:tc>
        <w:tc>
          <w:tcPr>
            <w:tcW w:w="7780" w:type="dxa"/>
            <w:gridSpan w:val="7"/>
            <w:tcBorders>
              <w:top w:val="single" w:sz="4" w:space="0" w:color="auto"/>
              <w:left w:val="nil"/>
              <w:bottom w:val="single" w:sz="12" w:space="0" w:color="auto"/>
              <w:right w:val="single" w:sz="8" w:space="0" w:color="000000"/>
            </w:tcBorders>
            <w:shd w:val="clear" w:color="auto" w:fill="auto"/>
            <w:vAlign w:val="center"/>
            <w:hideMark/>
          </w:tcPr>
          <w:p w:rsidR="006A7E8E" w:rsidRPr="006A7E8E" w:rsidRDefault="006A7E8E" w:rsidP="006A7E8E">
            <w:pPr>
              <w:spacing w:after="0" w:line="240" w:lineRule="auto"/>
              <w:ind w:firstLineChars="100" w:firstLine="200"/>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Atelier 99, a.s.</w:t>
            </w:r>
          </w:p>
        </w:tc>
      </w:tr>
      <w:tr w:rsidR="006A7E8E" w:rsidRPr="006A7E8E" w:rsidTr="006A7E8E">
        <w:trPr>
          <w:trHeight w:val="314"/>
        </w:trPr>
        <w:tc>
          <w:tcPr>
            <w:tcW w:w="9917" w:type="dxa"/>
            <w:gridSpan w:val="9"/>
            <w:tcBorders>
              <w:top w:val="single" w:sz="12" w:space="0" w:color="auto"/>
              <w:left w:val="single" w:sz="12" w:space="0" w:color="auto"/>
              <w:bottom w:val="nil"/>
              <w:right w:val="single" w:sz="12" w:space="0" w:color="000000"/>
            </w:tcBorders>
            <w:shd w:val="clear" w:color="auto" w:fill="auto"/>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Popis změny: Změna technického řešení stavby v důsledku zjištění dosud nezakresleného podzemního elektrického vedení v prostoru realizace stavby.</w:t>
            </w:r>
          </w:p>
        </w:tc>
      </w:tr>
      <w:tr w:rsidR="006A7E8E" w:rsidRPr="006A7E8E" w:rsidTr="006A7E8E">
        <w:trPr>
          <w:trHeight w:val="5161"/>
        </w:trPr>
        <w:tc>
          <w:tcPr>
            <w:tcW w:w="9917" w:type="dxa"/>
            <w:gridSpan w:val="9"/>
            <w:tcBorders>
              <w:top w:val="nil"/>
              <w:left w:val="single" w:sz="12" w:space="0" w:color="auto"/>
              <w:bottom w:val="single" w:sz="12" w:space="0" w:color="auto"/>
              <w:right w:val="single" w:sz="12" w:space="0" w:color="000000"/>
            </w:tcBorders>
            <w:shd w:val="clear" w:color="auto" w:fill="auto"/>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xml:space="preserve">Při provádění přípravných prací (výkopů) před zahájením výstavby hlavního objektu D101 bylo zjištěno dosud nezdokumentované podzemní vedení NN, které vede ke stávajícímu objektu (Jugo), který nebyl předmětem PD (nebyla potřeba, řešit jeho napojení na NN). Podzemní NN vedení </w:t>
            </w:r>
            <w:proofErr w:type="gramStart"/>
            <w:r w:rsidRPr="006A7E8E">
              <w:rPr>
                <w:rFonts w:ascii="Palatino Linotype" w:eastAsia="Times New Roman" w:hAnsi="Palatino Linotype" w:cs="Arial"/>
                <w:sz w:val="20"/>
                <w:szCs w:val="20"/>
                <w:lang w:eastAsia="cs-CZ"/>
              </w:rPr>
              <w:t>nebylo</w:t>
            </w:r>
            <w:proofErr w:type="gramEnd"/>
            <w:r w:rsidRPr="006A7E8E">
              <w:rPr>
                <w:rFonts w:ascii="Palatino Linotype" w:eastAsia="Times New Roman" w:hAnsi="Palatino Linotype" w:cs="Arial"/>
                <w:sz w:val="20"/>
                <w:szCs w:val="20"/>
                <w:lang w:eastAsia="cs-CZ"/>
              </w:rPr>
              <w:t xml:space="preserve"> uvedeno v žádné dokumentaci ani v podkladech získaných od správců inženýrských sítí.</w:t>
            </w:r>
            <w:r w:rsidRPr="006A7E8E">
              <w:rPr>
                <w:rFonts w:ascii="Palatino Linotype" w:eastAsia="Times New Roman" w:hAnsi="Palatino Linotype" w:cs="Arial"/>
                <w:sz w:val="20"/>
                <w:szCs w:val="20"/>
                <w:lang w:eastAsia="cs-CZ"/>
              </w:rPr>
              <w:br/>
              <w:t xml:space="preserve">Tento nález </w:t>
            </w:r>
            <w:proofErr w:type="gramStart"/>
            <w:r w:rsidRPr="006A7E8E">
              <w:rPr>
                <w:rFonts w:ascii="Palatino Linotype" w:eastAsia="Times New Roman" w:hAnsi="Palatino Linotype" w:cs="Arial"/>
                <w:sz w:val="20"/>
                <w:szCs w:val="20"/>
                <w:lang w:eastAsia="cs-CZ"/>
              </w:rPr>
              <w:t>vyžaduje</w:t>
            </w:r>
            <w:proofErr w:type="gramEnd"/>
            <w:r w:rsidRPr="006A7E8E">
              <w:rPr>
                <w:rFonts w:ascii="Palatino Linotype" w:eastAsia="Times New Roman" w:hAnsi="Palatino Linotype" w:cs="Arial"/>
                <w:sz w:val="20"/>
                <w:szCs w:val="20"/>
                <w:lang w:eastAsia="cs-CZ"/>
              </w:rPr>
              <w:t xml:space="preserve"> úpravu projektu, přehodnocení trasy vedení a jeho přeložku. Je nutné zpracovat návrh přeložky ve spolupráci se správci sítě.</w:t>
            </w:r>
            <w:r w:rsidRPr="006A7E8E">
              <w:rPr>
                <w:rFonts w:ascii="Palatino Linotype" w:eastAsia="Times New Roman" w:hAnsi="Palatino Linotype" w:cs="Arial"/>
                <w:sz w:val="20"/>
                <w:szCs w:val="20"/>
                <w:lang w:eastAsia="cs-CZ"/>
              </w:rPr>
              <w:br/>
              <w:t>Polohově i výškově prochází vedení NN nově budovaným objektem D101 a to tak, že bez přeložení vedení NN není možné objekt D101 zrealizovat.</w:t>
            </w:r>
            <w:r w:rsidRPr="006A7E8E">
              <w:rPr>
                <w:rFonts w:ascii="Palatino Linotype" w:eastAsia="Times New Roman" w:hAnsi="Palatino Linotype" w:cs="Arial"/>
                <w:sz w:val="20"/>
                <w:szCs w:val="20"/>
                <w:lang w:eastAsia="cs-CZ"/>
              </w:rPr>
              <w:br/>
              <w:t xml:space="preserve">Je navržena výměna stávající přípojky NN od sloupové trafostanice až po </w:t>
            </w:r>
            <w:proofErr w:type="spellStart"/>
            <w:r w:rsidRPr="006A7E8E">
              <w:rPr>
                <w:rFonts w:ascii="Palatino Linotype" w:eastAsia="Times New Roman" w:hAnsi="Palatino Linotype" w:cs="Arial"/>
                <w:sz w:val="20"/>
                <w:szCs w:val="20"/>
                <w:lang w:eastAsia="cs-CZ"/>
              </w:rPr>
              <w:t>nápojný</w:t>
            </w:r>
            <w:proofErr w:type="spellEnd"/>
            <w:r w:rsidRPr="006A7E8E">
              <w:rPr>
                <w:rFonts w:ascii="Palatino Linotype" w:eastAsia="Times New Roman" w:hAnsi="Palatino Linotype" w:cs="Arial"/>
                <w:sz w:val="20"/>
                <w:szCs w:val="20"/>
                <w:lang w:eastAsia="cs-CZ"/>
              </w:rPr>
              <w:t xml:space="preserve"> bod na budově "Jugo" včetně změny umístění do nové trasy dle revize PD a pro objekt D206 přípojka NN.</w:t>
            </w:r>
            <w:r w:rsidRPr="006A7E8E">
              <w:rPr>
                <w:rFonts w:ascii="Palatino Linotype" w:eastAsia="Times New Roman" w:hAnsi="Palatino Linotype" w:cs="Arial"/>
                <w:sz w:val="20"/>
                <w:szCs w:val="20"/>
                <w:lang w:eastAsia="cs-CZ"/>
              </w:rPr>
              <w:br/>
              <w:t xml:space="preserve">Stávající i budoucí trasa přípojky NN je vyznačena v příloze </w:t>
            </w:r>
            <w:proofErr w:type="gramStart"/>
            <w:r w:rsidRPr="006A7E8E">
              <w:rPr>
                <w:rFonts w:ascii="Palatino Linotype" w:eastAsia="Times New Roman" w:hAnsi="Palatino Linotype" w:cs="Arial"/>
                <w:sz w:val="20"/>
                <w:szCs w:val="20"/>
                <w:lang w:eastAsia="cs-CZ"/>
              </w:rPr>
              <w:t>č.1.</w:t>
            </w:r>
            <w:r w:rsidRPr="006A7E8E">
              <w:rPr>
                <w:rFonts w:ascii="Palatino Linotype" w:eastAsia="Times New Roman" w:hAnsi="Palatino Linotype" w:cs="Arial"/>
                <w:sz w:val="20"/>
                <w:szCs w:val="20"/>
                <w:lang w:eastAsia="cs-CZ"/>
              </w:rPr>
              <w:br/>
              <w:t>Rozpočtová</w:t>
            </w:r>
            <w:proofErr w:type="gramEnd"/>
            <w:r w:rsidRPr="006A7E8E">
              <w:rPr>
                <w:rFonts w:ascii="Palatino Linotype" w:eastAsia="Times New Roman" w:hAnsi="Palatino Linotype" w:cs="Arial"/>
                <w:sz w:val="20"/>
                <w:szCs w:val="20"/>
                <w:lang w:eastAsia="cs-CZ"/>
              </w:rPr>
              <w:t xml:space="preserve"> položka č.4a zohledňuje rozšíření původně zamýšleného výkopu pro objekt D206. Tedy 3x kabel AYKY, ke kterému budou nově položeny kabely pro přeložku. Přeložka 2x kabel AYKY. Celkem bude vedle sebe položeno 5x AYKY. Proto je nutné provést rozšíření výkopu v délce 160 </w:t>
            </w:r>
            <w:proofErr w:type="spellStart"/>
            <w:r w:rsidRPr="006A7E8E">
              <w:rPr>
                <w:rFonts w:ascii="Palatino Linotype" w:eastAsia="Times New Roman" w:hAnsi="Palatino Linotype" w:cs="Arial"/>
                <w:sz w:val="20"/>
                <w:szCs w:val="20"/>
                <w:lang w:eastAsia="cs-CZ"/>
              </w:rPr>
              <w:t>bm</w:t>
            </w:r>
            <w:proofErr w:type="spellEnd"/>
            <w:r w:rsidRPr="006A7E8E">
              <w:rPr>
                <w:rFonts w:ascii="Palatino Linotype" w:eastAsia="Times New Roman" w:hAnsi="Palatino Linotype" w:cs="Arial"/>
                <w:sz w:val="20"/>
                <w:szCs w:val="20"/>
                <w:lang w:eastAsia="cs-CZ"/>
              </w:rPr>
              <w:t xml:space="preserve"> o 2/3 šíře. Jednotková cena je rovna 2/3 položky </w:t>
            </w:r>
            <w:proofErr w:type="gramStart"/>
            <w:r w:rsidRPr="006A7E8E">
              <w:rPr>
                <w:rFonts w:ascii="Palatino Linotype" w:eastAsia="Times New Roman" w:hAnsi="Palatino Linotype" w:cs="Arial"/>
                <w:sz w:val="20"/>
                <w:szCs w:val="20"/>
                <w:lang w:eastAsia="cs-CZ"/>
              </w:rPr>
              <w:t>č.4, která</w:t>
            </w:r>
            <w:proofErr w:type="gramEnd"/>
            <w:r w:rsidRPr="006A7E8E">
              <w:rPr>
                <w:rFonts w:ascii="Palatino Linotype" w:eastAsia="Times New Roman" w:hAnsi="Palatino Linotype" w:cs="Arial"/>
                <w:sz w:val="20"/>
                <w:szCs w:val="20"/>
                <w:lang w:eastAsia="cs-CZ"/>
              </w:rPr>
              <w:t xml:space="preserve"> je součástí rozpočtu dle </w:t>
            </w:r>
            <w:proofErr w:type="spellStart"/>
            <w:r w:rsidRPr="006A7E8E">
              <w:rPr>
                <w:rFonts w:ascii="Palatino Linotype" w:eastAsia="Times New Roman" w:hAnsi="Palatino Linotype" w:cs="Arial"/>
                <w:sz w:val="20"/>
                <w:szCs w:val="20"/>
                <w:lang w:eastAsia="cs-CZ"/>
              </w:rPr>
              <w:t>SoD</w:t>
            </w:r>
            <w:proofErr w:type="spellEnd"/>
            <w:r w:rsidRPr="006A7E8E">
              <w:rPr>
                <w:rFonts w:ascii="Palatino Linotype" w:eastAsia="Times New Roman" w:hAnsi="Palatino Linotype" w:cs="Arial"/>
                <w:sz w:val="20"/>
                <w:szCs w:val="20"/>
                <w:lang w:eastAsia="cs-CZ"/>
              </w:rPr>
              <w:t>.</w:t>
            </w:r>
            <w:r w:rsidRPr="006A7E8E">
              <w:rPr>
                <w:rFonts w:ascii="Palatino Linotype" w:eastAsia="Times New Roman" w:hAnsi="Palatino Linotype" w:cs="Arial"/>
                <w:sz w:val="20"/>
                <w:szCs w:val="20"/>
                <w:lang w:eastAsia="cs-CZ"/>
              </w:rPr>
              <w:br/>
              <w:t>Položka č.7 se vztahuje k pracím, které budou provedeny mimo předanou staveništní plochu (plocha je ve vlastnictví MZM) a zhotovitel nemohl a nepředpokládal, že by práce v této části areálu prováděl. Jedná se demontáž a následnou montáž souvrství asfaltové komunikace před vjezdovými vraty objektu "Jugo".</w:t>
            </w:r>
            <w:r w:rsidRPr="006A7E8E">
              <w:rPr>
                <w:rFonts w:ascii="Palatino Linotype" w:eastAsia="Times New Roman" w:hAnsi="Palatino Linotype" w:cs="Arial"/>
                <w:sz w:val="20"/>
                <w:szCs w:val="20"/>
                <w:lang w:eastAsia="cs-CZ"/>
              </w:rPr>
              <w:br/>
              <w:t xml:space="preserve">V případě, že změna nebude provedena, nelze pokračovat ve stavebních pracích dle </w:t>
            </w:r>
            <w:proofErr w:type="spellStart"/>
            <w:r w:rsidRPr="006A7E8E">
              <w:rPr>
                <w:rFonts w:ascii="Palatino Linotype" w:eastAsia="Times New Roman" w:hAnsi="Palatino Linotype" w:cs="Arial"/>
                <w:sz w:val="20"/>
                <w:szCs w:val="20"/>
                <w:lang w:eastAsia="cs-CZ"/>
              </w:rPr>
              <w:t>SoD</w:t>
            </w:r>
            <w:proofErr w:type="spellEnd"/>
            <w:r w:rsidRPr="006A7E8E">
              <w:rPr>
                <w:rFonts w:ascii="Palatino Linotype" w:eastAsia="Times New Roman" w:hAnsi="Palatino Linotype" w:cs="Arial"/>
                <w:sz w:val="20"/>
                <w:szCs w:val="20"/>
                <w:lang w:eastAsia="cs-CZ"/>
              </w:rPr>
              <w:t xml:space="preserve"> č. H 469/25/5800100.</w:t>
            </w:r>
          </w:p>
        </w:tc>
      </w:tr>
      <w:tr w:rsidR="006A7E8E" w:rsidRPr="006A7E8E" w:rsidTr="006A7E8E">
        <w:trPr>
          <w:trHeight w:val="337"/>
        </w:trPr>
        <w:tc>
          <w:tcPr>
            <w:tcW w:w="9917" w:type="dxa"/>
            <w:gridSpan w:val="9"/>
            <w:tcBorders>
              <w:top w:val="single" w:sz="12" w:space="0" w:color="auto"/>
              <w:left w:val="single" w:sz="12" w:space="0" w:color="auto"/>
              <w:bottom w:val="nil"/>
              <w:right w:val="single" w:sz="12" w:space="0" w:color="000000"/>
            </w:tcBorders>
            <w:shd w:val="clear" w:color="auto" w:fill="auto"/>
            <w:noWrap/>
            <w:vAlign w:val="center"/>
            <w:hideMark/>
          </w:tcPr>
          <w:p w:rsidR="006A7E8E" w:rsidRPr="006A7E8E" w:rsidRDefault="006A7E8E" w:rsidP="006A7E8E">
            <w:pPr>
              <w:spacing w:after="0" w:line="240" w:lineRule="auto"/>
              <w:ind w:firstLineChars="100" w:firstLine="200"/>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Odůvodnění změny:</w:t>
            </w:r>
          </w:p>
        </w:tc>
      </w:tr>
      <w:tr w:rsidR="006A7E8E" w:rsidRPr="006A7E8E" w:rsidTr="006A7E8E">
        <w:trPr>
          <w:trHeight w:val="2537"/>
        </w:trPr>
        <w:tc>
          <w:tcPr>
            <w:tcW w:w="9917" w:type="dxa"/>
            <w:gridSpan w:val="9"/>
            <w:tcBorders>
              <w:top w:val="nil"/>
              <w:left w:val="single" w:sz="12" w:space="0" w:color="auto"/>
              <w:bottom w:val="single" w:sz="12" w:space="0" w:color="auto"/>
              <w:right w:val="single" w:sz="12" w:space="0" w:color="000000"/>
            </w:tcBorders>
            <w:shd w:val="clear" w:color="auto" w:fill="auto"/>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Během přípravných prací bylo zjištěno podzemní vedení NN, které nebylo uvedeno v žádných podkladech pro projektovou dokumentaci ani v koordinačních situacích inženýrských sítí. Toto vedení nebylo zadavatelem ani projektantem při přípravě veřejné zakázky známo a ani za využití veškeré odborné péče nebylo možné jeho existenci při zadávání veřejné zakázky předvídat.</w:t>
            </w:r>
            <w:r w:rsidRPr="006A7E8E">
              <w:rPr>
                <w:rFonts w:ascii="Palatino Linotype" w:eastAsia="Times New Roman" w:hAnsi="Palatino Linotype" w:cs="Arial"/>
                <w:sz w:val="20"/>
                <w:szCs w:val="20"/>
                <w:lang w:eastAsia="cs-CZ"/>
              </w:rPr>
              <w:br/>
              <w:t>Změna je nezbytná k zajištění bezpečného provedení stavby a zabránění poškození stávající infrastruktury. Vzhledem k tomu, že tyto skutečnosti vyšly najevo až po zahájení fyzických prací, není možné v realizaci pokračovat dle původního projektu.</w:t>
            </w:r>
            <w:r w:rsidRPr="006A7E8E">
              <w:rPr>
                <w:rFonts w:ascii="Palatino Linotype" w:eastAsia="Times New Roman" w:hAnsi="Palatino Linotype" w:cs="Arial"/>
                <w:sz w:val="20"/>
                <w:szCs w:val="20"/>
                <w:lang w:eastAsia="cs-CZ"/>
              </w:rPr>
              <w:br/>
              <w:t>Zněna je v souladu s ustanovením § 222 odst. 6 ZZVZ, neboť:</w:t>
            </w:r>
            <w:r w:rsidRPr="006A7E8E">
              <w:rPr>
                <w:rFonts w:ascii="Palatino Linotype" w:eastAsia="Times New Roman" w:hAnsi="Palatino Linotype" w:cs="Arial"/>
                <w:sz w:val="20"/>
                <w:szCs w:val="20"/>
                <w:lang w:eastAsia="cs-CZ"/>
              </w:rPr>
              <w:br/>
              <w:t>• jde o dodatečné stavební práce, které jsou nezbytné pro dokončení zakázky,</w:t>
            </w:r>
            <w:r w:rsidRPr="006A7E8E">
              <w:rPr>
                <w:rFonts w:ascii="Palatino Linotype" w:eastAsia="Times New Roman" w:hAnsi="Palatino Linotype" w:cs="Arial"/>
                <w:sz w:val="20"/>
                <w:szCs w:val="20"/>
                <w:lang w:eastAsia="cs-CZ"/>
              </w:rPr>
              <w:br/>
              <w:t>• nebylo možné je objektivně předvídat při zadávání zakázky.</w:t>
            </w:r>
          </w:p>
        </w:tc>
      </w:tr>
      <w:tr w:rsidR="006A7E8E" w:rsidRPr="006A7E8E" w:rsidTr="006A7E8E">
        <w:trPr>
          <w:trHeight w:val="442"/>
        </w:trPr>
        <w:tc>
          <w:tcPr>
            <w:tcW w:w="1611" w:type="dxa"/>
            <w:vMerge w:val="restart"/>
            <w:tcBorders>
              <w:top w:val="nil"/>
              <w:left w:val="single" w:sz="8" w:space="0" w:color="auto"/>
              <w:bottom w:val="nil"/>
              <w:right w:val="single" w:sz="4" w:space="0" w:color="auto"/>
            </w:tcBorders>
            <w:shd w:val="clear" w:color="auto" w:fill="auto"/>
            <w:noWrap/>
            <w:textDirection w:val="btLr"/>
            <w:vAlign w:val="center"/>
            <w:hideMark/>
          </w:tcPr>
          <w:p w:rsidR="006A7E8E" w:rsidRPr="006A7E8E" w:rsidRDefault="006A7E8E" w:rsidP="006A7E8E">
            <w:pPr>
              <w:spacing w:after="0" w:line="240" w:lineRule="auto"/>
              <w:jc w:val="center"/>
              <w:rPr>
                <w:rFonts w:ascii="Palatino Linotype" w:eastAsia="Times New Roman" w:hAnsi="Palatino Linotype" w:cs="Arial"/>
                <w:b/>
                <w:bCs/>
                <w:sz w:val="20"/>
                <w:szCs w:val="20"/>
                <w:lang w:eastAsia="cs-CZ"/>
              </w:rPr>
            </w:pPr>
            <w:r w:rsidRPr="006A7E8E">
              <w:rPr>
                <w:rFonts w:ascii="Palatino Linotype" w:eastAsia="Times New Roman" w:hAnsi="Palatino Linotype" w:cs="Arial"/>
                <w:b/>
                <w:bCs/>
                <w:sz w:val="20"/>
                <w:szCs w:val="20"/>
                <w:lang w:eastAsia="cs-CZ"/>
              </w:rPr>
              <w:t>údaje o změně</w:t>
            </w:r>
          </w:p>
        </w:tc>
        <w:tc>
          <w:tcPr>
            <w:tcW w:w="1056" w:type="dxa"/>
            <w:gridSpan w:val="2"/>
            <w:tcBorders>
              <w:top w:val="single" w:sz="12" w:space="0" w:color="auto"/>
              <w:left w:val="single" w:sz="4" w:space="0" w:color="auto"/>
              <w:bottom w:val="nil"/>
              <w:right w:val="nil"/>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Změnu vyvolal:</w:t>
            </w:r>
          </w:p>
        </w:tc>
        <w:tc>
          <w:tcPr>
            <w:tcW w:w="7249" w:type="dxa"/>
            <w:gridSpan w:val="6"/>
            <w:tcBorders>
              <w:top w:val="single" w:sz="12" w:space="0" w:color="auto"/>
              <w:left w:val="single" w:sz="4" w:space="0" w:color="auto"/>
              <w:bottom w:val="nil"/>
              <w:right w:val="single" w:sz="8" w:space="0" w:color="000000"/>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zhotovitel</w:t>
            </w:r>
          </w:p>
        </w:tc>
      </w:tr>
      <w:tr w:rsidR="006A7E8E" w:rsidRPr="006A7E8E" w:rsidTr="006A7E8E">
        <w:trPr>
          <w:trHeight w:val="314"/>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105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Jedná se o změnu: (zatrhnout)</w:t>
            </w:r>
          </w:p>
        </w:tc>
        <w:tc>
          <w:tcPr>
            <w:tcW w:w="4968"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16"/>
                <w:szCs w:val="16"/>
                <w:lang w:eastAsia="cs-CZ"/>
              </w:rPr>
            </w:pPr>
            <w:r w:rsidRPr="006A7E8E">
              <w:rPr>
                <w:rFonts w:ascii="Palatino Linotype" w:eastAsia="Times New Roman" w:hAnsi="Palatino Linotype" w:cs="Arial"/>
                <w:sz w:val="16"/>
                <w:szCs w:val="16"/>
                <w:lang w:eastAsia="cs-CZ"/>
              </w:rPr>
              <w:t xml:space="preserve">zúžení předmětu díla, </w:t>
            </w:r>
            <w:proofErr w:type="gramStart"/>
            <w:r w:rsidRPr="006A7E8E">
              <w:rPr>
                <w:rFonts w:ascii="Palatino Linotype" w:eastAsia="Times New Roman" w:hAnsi="Palatino Linotype" w:cs="Arial"/>
                <w:sz w:val="16"/>
                <w:szCs w:val="16"/>
                <w:lang w:eastAsia="cs-CZ"/>
              </w:rPr>
              <w:t>kterou</w:t>
            </w:r>
            <w:proofErr w:type="gramEnd"/>
            <w:r w:rsidRPr="006A7E8E">
              <w:rPr>
                <w:rFonts w:ascii="Palatino Linotype" w:eastAsia="Times New Roman" w:hAnsi="Palatino Linotype" w:cs="Arial"/>
                <w:sz w:val="16"/>
                <w:szCs w:val="16"/>
                <w:lang w:eastAsia="cs-CZ"/>
              </w:rPr>
              <w:t xml:space="preserve"> se snižuje cena díla</w:t>
            </w:r>
          </w:p>
        </w:tc>
        <w:tc>
          <w:tcPr>
            <w:tcW w:w="2280" w:type="dxa"/>
            <w:tcBorders>
              <w:top w:val="single" w:sz="8" w:space="0" w:color="auto"/>
              <w:left w:val="nil"/>
              <w:bottom w:val="single" w:sz="8" w:space="0" w:color="auto"/>
              <w:right w:val="single" w:sz="8" w:space="0" w:color="auto"/>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w:t>
            </w:r>
          </w:p>
        </w:tc>
      </w:tr>
      <w:tr w:rsidR="006A7E8E" w:rsidRPr="006A7E8E" w:rsidTr="006A7E8E">
        <w:trPr>
          <w:trHeight w:val="314"/>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1056" w:type="dxa"/>
            <w:gridSpan w:val="2"/>
            <w:vMerge/>
            <w:tcBorders>
              <w:top w:val="single" w:sz="4" w:space="0" w:color="auto"/>
              <w:left w:val="single" w:sz="4" w:space="0" w:color="auto"/>
              <w:bottom w:val="single" w:sz="4" w:space="0" w:color="000000"/>
              <w:right w:val="single" w:sz="4" w:space="0" w:color="000000"/>
            </w:tcBorders>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p>
        </w:tc>
        <w:tc>
          <w:tcPr>
            <w:tcW w:w="4968"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16"/>
                <w:szCs w:val="16"/>
                <w:lang w:eastAsia="cs-CZ"/>
              </w:rPr>
            </w:pPr>
            <w:r w:rsidRPr="006A7E8E">
              <w:rPr>
                <w:rFonts w:ascii="Palatino Linotype" w:eastAsia="Times New Roman" w:hAnsi="Palatino Linotype" w:cs="Arial"/>
                <w:sz w:val="16"/>
                <w:szCs w:val="16"/>
                <w:lang w:eastAsia="cs-CZ"/>
              </w:rPr>
              <w:t>úprava předmětu díla bez vlivu na cenu díla</w:t>
            </w:r>
          </w:p>
        </w:tc>
        <w:tc>
          <w:tcPr>
            <w:tcW w:w="2280" w:type="dxa"/>
            <w:tcBorders>
              <w:top w:val="nil"/>
              <w:left w:val="nil"/>
              <w:bottom w:val="single" w:sz="8" w:space="0" w:color="auto"/>
              <w:right w:val="single" w:sz="8" w:space="0" w:color="auto"/>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w:t>
            </w:r>
          </w:p>
        </w:tc>
      </w:tr>
      <w:tr w:rsidR="006A7E8E" w:rsidRPr="006A7E8E" w:rsidTr="006A7E8E">
        <w:trPr>
          <w:trHeight w:val="314"/>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1056" w:type="dxa"/>
            <w:gridSpan w:val="2"/>
            <w:vMerge/>
            <w:tcBorders>
              <w:top w:val="single" w:sz="4" w:space="0" w:color="auto"/>
              <w:left w:val="single" w:sz="4" w:space="0" w:color="auto"/>
              <w:bottom w:val="single" w:sz="4" w:space="0" w:color="000000"/>
              <w:right w:val="single" w:sz="4" w:space="0" w:color="000000"/>
            </w:tcBorders>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p>
        </w:tc>
        <w:tc>
          <w:tcPr>
            <w:tcW w:w="4968"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color w:val="000000"/>
                <w:sz w:val="16"/>
                <w:szCs w:val="16"/>
                <w:lang w:eastAsia="cs-CZ"/>
              </w:rPr>
            </w:pPr>
            <w:r w:rsidRPr="006A7E8E">
              <w:rPr>
                <w:rFonts w:ascii="Palatino Linotype" w:eastAsia="Times New Roman" w:hAnsi="Palatino Linotype" w:cs="Arial"/>
                <w:color w:val="000000"/>
                <w:sz w:val="16"/>
                <w:szCs w:val="16"/>
                <w:lang w:eastAsia="cs-CZ"/>
              </w:rPr>
              <w:t>práce, které mají být realizované a hrazené nad rámec ceny díla</w:t>
            </w:r>
          </w:p>
        </w:tc>
        <w:tc>
          <w:tcPr>
            <w:tcW w:w="2280" w:type="dxa"/>
            <w:tcBorders>
              <w:top w:val="nil"/>
              <w:left w:val="nil"/>
              <w:bottom w:val="single" w:sz="8" w:space="0" w:color="auto"/>
              <w:right w:val="single" w:sz="8" w:space="0" w:color="auto"/>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X</w:t>
            </w:r>
          </w:p>
        </w:tc>
      </w:tr>
      <w:tr w:rsidR="006A7E8E" w:rsidRPr="006A7E8E" w:rsidTr="006A7E8E">
        <w:trPr>
          <w:trHeight w:val="299"/>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105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Jedná se o změnu ve smyslu zákona: (zatrhnout)</w:t>
            </w:r>
          </w:p>
        </w:tc>
        <w:tc>
          <w:tcPr>
            <w:tcW w:w="4968"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16"/>
                <w:szCs w:val="16"/>
                <w:lang w:eastAsia="cs-CZ"/>
              </w:rPr>
            </w:pPr>
            <w:r w:rsidRPr="006A7E8E">
              <w:rPr>
                <w:rFonts w:ascii="Palatino Linotype" w:eastAsia="Times New Roman" w:hAnsi="Palatino Linotype" w:cs="Arial"/>
                <w:sz w:val="16"/>
                <w:szCs w:val="16"/>
                <w:lang w:eastAsia="cs-CZ"/>
              </w:rPr>
              <w:t>§ 222 odst. 4</w:t>
            </w:r>
          </w:p>
        </w:tc>
        <w:tc>
          <w:tcPr>
            <w:tcW w:w="2280" w:type="dxa"/>
            <w:tcBorders>
              <w:top w:val="nil"/>
              <w:left w:val="nil"/>
              <w:bottom w:val="single" w:sz="8" w:space="0" w:color="auto"/>
              <w:right w:val="single" w:sz="8" w:space="0" w:color="auto"/>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w:t>
            </w:r>
          </w:p>
        </w:tc>
      </w:tr>
      <w:tr w:rsidR="006A7E8E" w:rsidRPr="006A7E8E" w:rsidTr="006A7E8E">
        <w:trPr>
          <w:trHeight w:val="314"/>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1056" w:type="dxa"/>
            <w:gridSpan w:val="2"/>
            <w:vMerge/>
            <w:tcBorders>
              <w:top w:val="single" w:sz="4" w:space="0" w:color="auto"/>
              <w:left w:val="single" w:sz="4" w:space="0" w:color="auto"/>
              <w:bottom w:val="single" w:sz="4" w:space="0" w:color="000000"/>
              <w:right w:val="single" w:sz="4" w:space="0" w:color="000000"/>
            </w:tcBorders>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p>
        </w:tc>
        <w:tc>
          <w:tcPr>
            <w:tcW w:w="4968"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16"/>
                <w:szCs w:val="16"/>
                <w:lang w:eastAsia="cs-CZ"/>
              </w:rPr>
            </w:pPr>
            <w:r w:rsidRPr="006A7E8E">
              <w:rPr>
                <w:rFonts w:ascii="Palatino Linotype" w:eastAsia="Times New Roman" w:hAnsi="Palatino Linotype" w:cs="Arial"/>
                <w:sz w:val="16"/>
                <w:szCs w:val="16"/>
                <w:lang w:eastAsia="cs-CZ"/>
              </w:rPr>
              <w:t>§ 222 odst. 5</w:t>
            </w:r>
          </w:p>
        </w:tc>
        <w:tc>
          <w:tcPr>
            <w:tcW w:w="2280" w:type="dxa"/>
            <w:tcBorders>
              <w:top w:val="nil"/>
              <w:left w:val="nil"/>
              <w:bottom w:val="single" w:sz="8" w:space="0" w:color="auto"/>
              <w:right w:val="single" w:sz="8" w:space="0" w:color="auto"/>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w:t>
            </w:r>
          </w:p>
        </w:tc>
      </w:tr>
      <w:tr w:rsidR="006A7E8E" w:rsidRPr="006A7E8E" w:rsidTr="006A7E8E">
        <w:trPr>
          <w:trHeight w:val="314"/>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1056" w:type="dxa"/>
            <w:gridSpan w:val="2"/>
            <w:vMerge/>
            <w:tcBorders>
              <w:top w:val="single" w:sz="4" w:space="0" w:color="auto"/>
              <w:left w:val="single" w:sz="4" w:space="0" w:color="auto"/>
              <w:bottom w:val="single" w:sz="4" w:space="0" w:color="000000"/>
              <w:right w:val="single" w:sz="4" w:space="0" w:color="000000"/>
            </w:tcBorders>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p>
        </w:tc>
        <w:tc>
          <w:tcPr>
            <w:tcW w:w="4968"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16"/>
                <w:szCs w:val="16"/>
                <w:lang w:eastAsia="cs-CZ"/>
              </w:rPr>
            </w:pPr>
            <w:r w:rsidRPr="006A7E8E">
              <w:rPr>
                <w:rFonts w:ascii="Palatino Linotype" w:eastAsia="Times New Roman" w:hAnsi="Palatino Linotype" w:cs="Arial"/>
                <w:sz w:val="16"/>
                <w:szCs w:val="16"/>
                <w:lang w:eastAsia="cs-CZ"/>
              </w:rPr>
              <w:t>§ 222 odst. 6</w:t>
            </w:r>
          </w:p>
        </w:tc>
        <w:tc>
          <w:tcPr>
            <w:tcW w:w="2280" w:type="dxa"/>
            <w:tcBorders>
              <w:top w:val="nil"/>
              <w:left w:val="nil"/>
              <w:bottom w:val="single" w:sz="8" w:space="0" w:color="auto"/>
              <w:right w:val="single" w:sz="8" w:space="0" w:color="auto"/>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X</w:t>
            </w:r>
          </w:p>
        </w:tc>
      </w:tr>
      <w:tr w:rsidR="006A7E8E" w:rsidRPr="006A7E8E" w:rsidTr="006A7E8E">
        <w:trPr>
          <w:trHeight w:val="314"/>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1056" w:type="dxa"/>
            <w:gridSpan w:val="2"/>
            <w:vMerge/>
            <w:tcBorders>
              <w:top w:val="single" w:sz="4" w:space="0" w:color="auto"/>
              <w:left w:val="single" w:sz="4" w:space="0" w:color="auto"/>
              <w:bottom w:val="single" w:sz="4" w:space="0" w:color="000000"/>
              <w:right w:val="single" w:sz="4" w:space="0" w:color="000000"/>
            </w:tcBorders>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p>
        </w:tc>
        <w:tc>
          <w:tcPr>
            <w:tcW w:w="4968"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16"/>
                <w:szCs w:val="16"/>
                <w:lang w:eastAsia="cs-CZ"/>
              </w:rPr>
            </w:pPr>
            <w:r w:rsidRPr="006A7E8E">
              <w:rPr>
                <w:rFonts w:ascii="Palatino Linotype" w:eastAsia="Times New Roman" w:hAnsi="Palatino Linotype" w:cs="Arial"/>
                <w:sz w:val="16"/>
                <w:szCs w:val="16"/>
                <w:lang w:eastAsia="cs-CZ"/>
              </w:rPr>
              <w:t>§ 222 odst. 7</w:t>
            </w:r>
          </w:p>
        </w:tc>
        <w:tc>
          <w:tcPr>
            <w:tcW w:w="2280" w:type="dxa"/>
            <w:tcBorders>
              <w:top w:val="nil"/>
              <w:left w:val="nil"/>
              <w:bottom w:val="single" w:sz="8" w:space="0" w:color="auto"/>
              <w:right w:val="single" w:sz="8" w:space="0" w:color="auto"/>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w:t>
            </w:r>
          </w:p>
        </w:tc>
      </w:tr>
      <w:tr w:rsidR="006A7E8E" w:rsidRPr="006A7E8E" w:rsidTr="006A7E8E">
        <w:trPr>
          <w:trHeight w:val="314"/>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1056" w:type="dxa"/>
            <w:gridSpan w:val="2"/>
            <w:vMerge w:val="restart"/>
            <w:tcBorders>
              <w:top w:val="nil"/>
              <w:left w:val="single" w:sz="4" w:space="0" w:color="auto"/>
              <w:bottom w:val="single" w:sz="8" w:space="0" w:color="000000"/>
              <w:right w:val="single" w:sz="4" w:space="0" w:color="000000"/>
            </w:tcBorders>
            <w:shd w:val="clear" w:color="auto" w:fill="auto"/>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Způsob projekčního řešení změny: (zaškrtnout)</w:t>
            </w:r>
          </w:p>
        </w:tc>
        <w:tc>
          <w:tcPr>
            <w:tcW w:w="4968" w:type="dxa"/>
            <w:gridSpan w:val="5"/>
            <w:tcBorders>
              <w:top w:val="nil"/>
              <w:left w:val="nil"/>
              <w:bottom w:val="single" w:sz="4" w:space="0" w:color="auto"/>
              <w:right w:val="single" w:sz="4" w:space="0" w:color="auto"/>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16"/>
                <w:szCs w:val="16"/>
                <w:lang w:eastAsia="cs-CZ"/>
              </w:rPr>
            </w:pPr>
            <w:r w:rsidRPr="006A7E8E">
              <w:rPr>
                <w:rFonts w:ascii="Palatino Linotype" w:eastAsia="Times New Roman" w:hAnsi="Palatino Linotype" w:cs="Arial"/>
                <w:sz w:val="16"/>
                <w:szCs w:val="16"/>
                <w:lang w:eastAsia="cs-CZ"/>
              </w:rPr>
              <w:t>zápis do SD (deníku změn)</w:t>
            </w:r>
          </w:p>
        </w:tc>
        <w:tc>
          <w:tcPr>
            <w:tcW w:w="2280" w:type="dxa"/>
            <w:tcBorders>
              <w:top w:val="nil"/>
              <w:left w:val="single" w:sz="8" w:space="0" w:color="auto"/>
              <w:bottom w:val="single" w:sz="8" w:space="0" w:color="auto"/>
              <w:right w:val="single" w:sz="8" w:space="0" w:color="auto"/>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w:t>
            </w:r>
          </w:p>
        </w:tc>
      </w:tr>
      <w:tr w:rsidR="006A7E8E" w:rsidRPr="006A7E8E" w:rsidTr="006A7E8E">
        <w:trPr>
          <w:trHeight w:val="314"/>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1056" w:type="dxa"/>
            <w:gridSpan w:val="2"/>
            <w:vMerge/>
            <w:tcBorders>
              <w:top w:val="nil"/>
              <w:left w:val="single" w:sz="4" w:space="0" w:color="auto"/>
              <w:bottom w:val="single" w:sz="8" w:space="0" w:color="000000"/>
              <w:right w:val="single" w:sz="4" w:space="0" w:color="000000"/>
            </w:tcBorders>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p>
        </w:tc>
        <w:tc>
          <w:tcPr>
            <w:tcW w:w="4968" w:type="dxa"/>
            <w:gridSpan w:val="5"/>
            <w:tcBorders>
              <w:top w:val="single" w:sz="4" w:space="0" w:color="auto"/>
              <w:left w:val="nil"/>
              <w:bottom w:val="single" w:sz="4" w:space="0" w:color="auto"/>
              <w:right w:val="single" w:sz="4" w:space="0" w:color="auto"/>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16"/>
                <w:szCs w:val="16"/>
                <w:lang w:eastAsia="cs-CZ"/>
              </w:rPr>
            </w:pPr>
            <w:r w:rsidRPr="006A7E8E">
              <w:rPr>
                <w:rFonts w:ascii="Palatino Linotype" w:eastAsia="Times New Roman" w:hAnsi="Palatino Linotype" w:cs="Arial"/>
                <w:sz w:val="16"/>
                <w:szCs w:val="16"/>
                <w:lang w:eastAsia="cs-CZ"/>
              </w:rPr>
              <w:t>dodatek k PD</w:t>
            </w:r>
          </w:p>
        </w:tc>
        <w:tc>
          <w:tcPr>
            <w:tcW w:w="2280" w:type="dxa"/>
            <w:tcBorders>
              <w:top w:val="nil"/>
              <w:left w:val="single" w:sz="8" w:space="0" w:color="auto"/>
              <w:bottom w:val="single" w:sz="8" w:space="0" w:color="auto"/>
              <w:right w:val="single" w:sz="8" w:space="0" w:color="auto"/>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X</w:t>
            </w:r>
          </w:p>
        </w:tc>
      </w:tr>
      <w:tr w:rsidR="006A7E8E" w:rsidRPr="006A7E8E" w:rsidTr="006A7E8E">
        <w:trPr>
          <w:trHeight w:val="314"/>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1056" w:type="dxa"/>
            <w:gridSpan w:val="2"/>
            <w:vMerge/>
            <w:tcBorders>
              <w:top w:val="nil"/>
              <w:left w:val="single" w:sz="4" w:space="0" w:color="auto"/>
              <w:bottom w:val="single" w:sz="8" w:space="0" w:color="000000"/>
              <w:right w:val="single" w:sz="4" w:space="0" w:color="000000"/>
            </w:tcBorders>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p>
        </w:tc>
        <w:tc>
          <w:tcPr>
            <w:tcW w:w="4968" w:type="dxa"/>
            <w:gridSpan w:val="5"/>
            <w:tcBorders>
              <w:top w:val="single" w:sz="4" w:space="0" w:color="auto"/>
              <w:left w:val="nil"/>
              <w:bottom w:val="single" w:sz="4" w:space="0" w:color="auto"/>
              <w:right w:val="single" w:sz="4" w:space="0" w:color="auto"/>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16"/>
                <w:szCs w:val="16"/>
                <w:lang w:eastAsia="cs-CZ"/>
              </w:rPr>
            </w:pPr>
            <w:r w:rsidRPr="006A7E8E">
              <w:rPr>
                <w:rFonts w:ascii="Palatino Linotype" w:eastAsia="Times New Roman" w:hAnsi="Palatino Linotype" w:cs="Arial"/>
                <w:sz w:val="16"/>
                <w:szCs w:val="16"/>
                <w:lang w:eastAsia="cs-CZ"/>
              </w:rPr>
              <w:t xml:space="preserve">dokumentace </w:t>
            </w:r>
            <w:proofErr w:type="spellStart"/>
            <w:proofErr w:type="gramStart"/>
            <w:r w:rsidRPr="006A7E8E">
              <w:rPr>
                <w:rFonts w:ascii="Palatino Linotype" w:eastAsia="Times New Roman" w:hAnsi="Palatino Linotype" w:cs="Arial"/>
                <w:sz w:val="16"/>
                <w:szCs w:val="16"/>
                <w:lang w:eastAsia="cs-CZ"/>
              </w:rPr>
              <w:t>skut</w:t>
            </w:r>
            <w:proofErr w:type="gramEnd"/>
            <w:r w:rsidRPr="006A7E8E">
              <w:rPr>
                <w:rFonts w:ascii="Palatino Linotype" w:eastAsia="Times New Roman" w:hAnsi="Palatino Linotype" w:cs="Arial"/>
                <w:sz w:val="16"/>
                <w:szCs w:val="16"/>
                <w:lang w:eastAsia="cs-CZ"/>
              </w:rPr>
              <w:t>.</w:t>
            </w:r>
            <w:proofErr w:type="gramStart"/>
            <w:r w:rsidRPr="006A7E8E">
              <w:rPr>
                <w:rFonts w:ascii="Palatino Linotype" w:eastAsia="Times New Roman" w:hAnsi="Palatino Linotype" w:cs="Arial"/>
                <w:sz w:val="16"/>
                <w:szCs w:val="16"/>
                <w:lang w:eastAsia="cs-CZ"/>
              </w:rPr>
              <w:t>provedení</w:t>
            </w:r>
            <w:proofErr w:type="spellEnd"/>
            <w:proofErr w:type="gramEnd"/>
          </w:p>
        </w:tc>
        <w:tc>
          <w:tcPr>
            <w:tcW w:w="2280" w:type="dxa"/>
            <w:tcBorders>
              <w:top w:val="nil"/>
              <w:left w:val="single" w:sz="8" w:space="0" w:color="auto"/>
              <w:bottom w:val="single" w:sz="8" w:space="0" w:color="auto"/>
              <w:right w:val="single" w:sz="8" w:space="0" w:color="auto"/>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w:t>
            </w:r>
          </w:p>
        </w:tc>
      </w:tr>
      <w:tr w:rsidR="006A7E8E" w:rsidRPr="006A7E8E" w:rsidTr="006A7E8E">
        <w:trPr>
          <w:trHeight w:val="314"/>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1056" w:type="dxa"/>
            <w:gridSpan w:val="2"/>
            <w:vMerge/>
            <w:tcBorders>
              <w:top w:val="nil"/>
              <w:left w:val="single" w:sz="4" w:space="0" w:color="auto"/>
              <w:bottom w:val="single" w:sz="8" w:space="0" w:color="000000"/>
              <w:right w:val="single" w:sz="4" w:space="0" w:color="000000"/>
            </w:tcBorders>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p>
        </w:tc>
        <w:tc>
          <w:tcPr>
            <w:tcW w:w="4968" w:type="dxa"/>
            <w:gridSpan w:val="5"/>
            <w:tcBorders>
              <w:top w:val="single" w:sz="4" w:space="0" w:color="auto"/>
              <w:left w:val="nil"/>
              <w:bottom w:val="nil"/>
              <w:right w:val="single" w:sz="4" w:space="0" w:color="auto"/>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16"/>
                <w:szCs w:val="16"/>
                <w:lang w:eastAsia="cs-CZ"/>
              </w:rPr>
            </w:pPr>
            <w:r w:rsidRPr="006A7E8E">
              <w:rPr>
                <w:rFonts w:ascii="Palatino Linotype" w:eastAsia="Times New Roman" w:hAnsi="Palatino Linotype" w:cs="Arial"/>
                <w:sz w:val="16"/>
                <w:szCs w:val="16"/>
                <w:lang w:eastAsia="cs-CZ"/>
              </w:rPr>
              <w:t>jiné</w:t>
            </w:r>
          </w:p>
        </w:tc>
        <w:tc>
          <w:tcPr>
            <w:tcW w:w="2280" w:type="dxa"/>
            <w:tcBorders>
              <w:top w:val="nil"/>
              <w:left w:val="single" w:sz="8" w:space="0" w:color="auto"/>
              <w:bottom w:val="nil"/>
              <w:right w:val="single" w:sz="8" w:space="0" w:color="auto"/>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w:t>
            </w:r>
          </w:p>
        </w:tc>
      </w:tr>
      <w:tr w:rsidR="006A7E8E" w:rsidRPr="006A7E8E" w:rsidTr="006A7E8E">
        <w:trPr>
          <w:trHeight w:val="299"/>
        </w:trPr>
        <w:tc>
          <w:tcPr>
            <w:tcW w:w="1611"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rsidR="006A7E8E" w:rsidRPr="006A7E8E" w:rsidRDefault="006A7E8E" w:rsidP="006A7E8E">
            <w:pPr>
              <w:spacing w:after="0" w:line="240" w:lineRule="auto"/>
              <w:jc w:val="center"/>
              <w:rPr>
                <w:rFonts w:ascii="Palatino Linotype" w:eastAsia="Times New Roman" w:hAnsi="Palatino Linotype" w:cs="Arial"/>
                <w:b/>
                <w:bCs/>
                <w:sz w:val="20"/>
                <w:szCs w:val="20"/>
                <w:lang w:eastAsia="cs-CZ"/>
              </w:rPr>
            </w:pPr>
            <w:r w:rsidRPr="006A7E8E">
              <w:rPr>
                <w:rFonts w:ascii="Palatino Linotype" w:eastAsia="Times New Roman" w:hAnsi="Palatino Linotype" w:cs="Arial"/>
                <w:b/>
                <w:bCs/>
                <w:sz w:val="20"/>
                <w:szCs w:val="20"/>
                <w:lang w:eastAsia="cs-CZ"/>
              </w:rPr>
              <w:t>údaje o složení ceny změny</w:t>
            </w:r>
          </w:p>
        </w:tc>
        <w:tc>
          <w:tcPr>
            <w:tcW w:w="3891" w:type="dxa"/>
            <w:gridSpan w:val="4"/>
            <w:tcBorders>
              <w:top w:val="single" w:sz="8" w:space="0" w:color="auto"/>
              <w:left w:val="nil"/>
              <w:bottom w:val="single" w:sz="4" w:space="0" w:color="auto"/>
              <w:right w:val="single" w:sz="4" w:space="0" w:color="auto"/>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hodnota přípočtů (víceprací)</w:t>
            </w:r>
          </w:p>
        </w:tc>
        <w:tc>
          <w:tcPr>
            <w:tcW w:w="4413"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6A7E8E" w:rsidRPr="006A7E8E" w:rsidRDefault="006A7E8E" w:rsidP="006A7E8E">
            <w:pPr>
              <w:spacing w:after="0" w:line="240" w:lineRule="auto"/>
              <w:jc w:val="right"/>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510 964,10 Kč</w:t>
            </w:r>
          </w:p>
        </w:tc>
      </w:tr>
      <w:tr w:rsidR="006A7E8E" w:rsidRPr="006A7E8E" w:rsidTr="006A7E8E">
        <w:trPr>
          <w:trHeight w:val="314"/>
        </w:trPr>
        <w:tc>
          <w:tcPr>
            <w:tcW w:w="1611" w:type="dxa"/>
            <w:vMerge/>
            <w:tcBorders>
              <w:top w:val="single" w:sz="8" w:space="0" w:color="auto"/>
              <w:left w:val="single" w:sz="8" w:space="0" w:color="auto"/>
              <w:bottom w:val="single" w:sz="8" w:space="0" w:color="000000"/>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3891" w:type="dxa"/>
            <w:gridSpan w:val="4"/>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celkem v Kč bez DPH</w:t>
            </w:r>
          </w:p>
        </w:tc>
        <w:tc>
          <w:tcPr>
            <w:tcW w:w="4413" w:type="dxa"/>
            <w:gridSpan w:val="4"/>
            <w:vMerge/>
            <w:tcBorders>
              <w:top w:val="single" w:sz="8" w:space="0" w:color="auto"/>
              <w:left w:val="single" w:sz="8" w:space="0" w:color="auto"/>
              <w:bottom w:val="single" w:sz="8" w:space="0" w:color="000000"/>
              <w:right w:val="single" w:sz="8" w:space="0" w:color="000000"/>
            </w:tcBorders>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p>
        </w:tc>
      </w:tr>
      <w:tr w:rsidR="006A7E8E" w:rsidRPr="006A7E8E" w:rsidTr="006A7E8E">
        <w:trPr>
          <w:trHeight w:val="299"/>
        </w:trPr>
        <w:tc>
          <w:tcPr>
            <w:tcW w:w="1611" w:type="dxa"/>
            <w:vMerge/>
            <w:tcBorders>
              <w:top w:val="single" w:sz="8" w:space="0" w:color="auto"/>
              <w:left w:val="single" w:sz="8" w:space="0" w:color="auto"/>
              <w:bottom w:val="single" w:sz="8" w:space="0" w:color="000000"/>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3891" w:type="dxa"/>
            <w:gridSpan w:val="4"/>
            <w:tcBorders>
              <w:top w:val="nil"/>
              <w:left w:val="nil"/>
              <w:bottom w:val="single" w:sz="4" w:space="0" w:color="auto"/>
              <w:right w:val="single" w:sz="4" w:space="0" w:color="auto"/>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hodnota odpočtů (méněprací)</w:t>
            </w:r>
          </w:p>
        </w:tc>
        <w:tc>
          <w:tcPr>
            <w:tcW w:w="4413"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6A7E8E" w:rsidRPr="006A7E8E" w:rsidRDefault="006A7E8E" w:rsidP="006A7E8E">
            <w:pPr>
              <w:spacing w:after="0" w:line="240" w:lineRule="auto"/>
              <w:jc w:val="right"/>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0,00</w:t>
            </w:r>
          </w:p>
        </w:tc>
      </w:tr>
      <w:tr w:rsidR="006A7E8E" w:rsidRPr="006A7E8E" w:rsidTr="006A7E8E">
        <w:trPr>
          <w:trHeight w:val="314"/>
        </w:trPr>
        <w:tc>
          <w:tcPr>
            <w:tcW w:w="1611" w:type="dxa"/>
            <w:vMerge/>
            <w:tcBorders>
              <w:top w:val="single" w:sz="8" w:space="0" w:color="auto"/>
              <w:left w:val="single" w:sz="8" w:space="0" w:color="auto"/>
              <w:bottom w:val="single" w:sz="8" w:space="0" w:color="000000"/>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3891" w:type="dxa"/>
            <w:gridSpan w:val="4"/>
            <w:tcBorders>
              <w:top w:val="single" w:sz="4" w:space="0" w:color="auto"/>
              <w:left w:val="nil"/>
              <w:bottom w:val="single" w:sz="8" w:space="0" w:color="auto"/>
              <w:right w:val="single" w:sz="4" w:space="0" w:color="auto"/>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celkem v Kč bez DPH</w:t>
            </w:r>
          </w:p>
        </w:tc>
        <w:tc>
          <w:tcPr>
            <w:tcW w:w="4413" w:type="dxa"/>
            <w:gridSpan w:val="4"/>
            <w:vMerge/>
            <w:tcBorders>
              <w:top w:val="single" w:sz="8" w:space="0" w:color="auto"/>
              <w:left w:val="single" w:sz="8" w:space="0" w:color="auto"/>
              <w:bottom w:val="single" w:sz="8" w:space="0" w:color="000000"/>
              <w:right w:val="single" w:sz="8" w:space="0" w:color="000000"/>
            </w:tcBorders>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p>
        </w:tc>
      </w:tr>
      <w:tr w:rsidR="006A7E8E" w:rsidRPr="006A7E8E" w:rsidTr="006A7E8E">
        <w:trPr>
          <w:trHeight w:val="419"/>
        </w:trPr>
        <w:tc>
          <w:tcPr>
            <w:tcW w:w="1611" w:type="dxa"/>
            <w:vMerge w:val="restart"/>
            <w:tcBorders>
              <w:top w:val="nil"/>
              <w:left w:val="single" w:sz="8" w:space="0" w:color="auto"/>
              <w:bottom w:val="nil"/>
              <w:right w:val="single" w:sz="4" w:space="0" w:color="auto"/>
            </w:tcBorders>
            <w:shd w:val="clear" w:color="auto" w:fill="auto"/>
            <w:textDirection w:val="btLr"/>
            <w:vAlign w:val="center"/>
            <w:hideMark/>
          </w:tcPr>
          <w:p w:rsidR="006A7E8E" w:rsidRPr="006A7E8E" w:rsidRDefault="006A7E8E" w:rsidP="006A7E8E">
            <w:pPr>
              <w:spacing w:after="0" w:line="240" w:lineRule="auto"/>
              <w:jc w:val="center"/>
              <w:rPr>
                <w:rFonts w:ascii="Palatino Linotype" w:eastAsia="Times New Roman" w:hAnsi="Palatino Linotype" w:cs="Arial"/>
                <w:b/>
                <w:bCs/>
                <w:sz w:val="20"/>
                <w:szCs w:val="20"/>
                <w:lang w:eastAsia="cs-CZ"/>
              </w:rPr>
            </w:pPr>
            <w:r w:rsidRPr="006A7E8E">
              <w:rPr>
                <w:rFonts w:ascii="Palatino Linotype" w:eastAsia="Times New Roman" w:hAnsi="Palatino Linotype" w:cs="Arial"/>
                <w:b/>
                <w:bCs/>
                <w:sz w:val="20"/>
                <w:szCs w:val="20"/>
                <w:lang w:eastAsia="cs-CZ"/>
              </w:rPr>
              <w:t>údaje o ceně změny</w:t>
            </w:r>
          </w:p>
        </w:tc>
        <w:tc>
          <w:tcPr>
            <w:tcW w:w="3891" w:type="dxa"/>
            <w:gridSpan w:val="4"/>
            <w:tcBorders>
              <w:top w:val="single" w:sz="8" w:space="0" w:color="auto"/>
              <w:left w:val="nil"/>
              <w:bottom w:val="single" w:sz="4" w:space="0" w:color="auto"/>
              <w:right w:val="nil"/>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ocenění změny předložil:</w:t>
            </w:r>
          </w:p>
        </w:tc>
        <w:tc>
          <w:tcPr>
            <w:tcW w:w="4413" w:type="dxa"/>
            <w:gridSpan w:val="4"/>
            <w:tcBorders>
              <w:top w:val="single" w:sz="8" w:space="0" w:color="auto"/>
              <w:left w:val="single" w:sz="4" w:space="0" w:color="auto"/>
              <w:bottom w:val="single" w:sz="12" w:space="0" w:color="auto"/>
              <w:right w:val="single" w:sz="8" w:space="0" w:color="000000"/>
            </w:tcBorders>
            <w:shd w:val="clear" w:color="auto" w:fill="auto"/>
            <w:noWrap/>
            <w:vAlign w:val="center"/>
            <w:hideMark/>
          </w:tcPr>
          <w:p w:rsidR="006A7E8E" w:rsidRPr="006A7E8E" w:rsidRDefault="006A7E8E" w:rsidP="006A7E8E">
            <w:pPr>
              <w:spacing w:after="0" w:line="240" w:lineRule="auto"/>
              <w:jc w:val="right"/>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zhotovitel</w:t>
            </w:r>
          </w:p>
        </w:tc>
      </w:tr>
      <w:tr w:rsidR="006A7E8E" w:rsidRPr="006A7E8E" w:rsidTr="006A7E8E">
        <w:trPr>
          <w:trHeight w:val="442"/>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3891" w:type="dxa"/>
            <w:gridSpan w:val="4"/>
            <w:tcBorders>
              <w:top w:val="single" w:sz="4" w:space="0" w:color="auto"/>
              <w:left w:val="nil"/>
              <w:bottom w:val="nil"/>
              <w:right w:val="nil"/>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náklady na změnu v Kč bez DPH</w:t>
            </w:r>
          </w:p>
        </w:tc>
        <w:tc>
          <w:tcPr>
            <w:tcW w:w="4413" w:type="dxa"/>
            <w:gridSpan w:val="4"/>
            <w:tcBorders>
              <w:top w:val="single" w:sz="12" w:space="0" w:color="auto"/>
              <w:left w:val="single" w:sz="12" w:space="0" w:color="auto"/>
              <w:bottom w:val="single" w:sz="8" w:space="0" w:color="auto"/>
              <w:right w:val="single" w:sz="12" w:space="0" w:color="000000"/>
            </w:tcBorders>
            <w:shd w:val="clear" w:color="auto" w:fill="auto"/>
            <w:noWrap/>
            <w:vAlign w:val="center"/>
            <w:hideMark/>
          </w:tcPr>
          <w:p w:rsidR="006A7E8E" w:rsidRPr="006A7E8E" w:rsidRDefault="006A7E8E" w:rsidP="006A7E8E">
            <w:pPr>
              <w:spacing w:after="0" w:line="240" w:lineRule="auto"/>
              <w:jc w:val="right"/>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510 964,10</w:t>
            </w:r>
          </w:p>
        </w:tc>
      </w:tr>
      <w:tr w:rsidR="006A7E8E" w:rsidRPr="006A7E8E" w:rsidTr="006A7E8E">
        <w:trPr>
          <w:trHeight w:val="442"/>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1056" w:type="dxa"/>
            <w:gridSpan w:val="2"/>
            <w:tcBorders>
              <w:top w:val="single" w:sz="4" w:space="0" w:color="auto"/>
              <w:left w:val="nil"/>
              <w:bottom w:val="single" w:sz="4" w:space="0" w:color="auto"/>
              <w:right w:val="nil"/>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Výše DPH</w:t>
            </w:r>
          </w:p>
        </w:tc>
        <w:tc>
          <w:tcPr>
            <w:tcW w:w="1026" w:type="dxa"/>
            <w:tcBorders>
              <w:top w:val="single" w:sz="4" w:space="0" w:color="auto"/>
              <w:left w:val="nil"/>
              <w:bottom w:val="single" w:sz="4" w:space="0" w:color="auto"/>
              <w:right w:val="nil"/>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sazba:</w:t>
            </w:r>
          </w:p>
        </w:tc>
        <w:tc>
          <w:tcPr>
            <w:tcW w:w="1809" w:type="dxa"/>
            <w:tcBorders>
              <w:top w:val="single" w:sz="8" w:space="0" w:color="auto"/>
              <w:left w:val="single" w:sz="8" w:space="0" w:color="auto"/>
              <w:bottom w:val="single" w:sz="8" w:space="0" w:color="auto"/>
              <w:right w:val="nil"/>
            </w:tcBorders>
            <w:shd w:val="clear" w:color="auto" w:fill="auto"/>
            <w:noWrap/>
            <w:vAlign w:val="center"/>
            <w:hideMark/>
          </w:tcPr>
          <w:p w:rsidR="006A7E8E" w:rsidRPr="006A7E8E" w:rsidRDefault="006A7E8E" w:rsidP="006A7E8E">
            <w:pPr>
              <w:spacing w:after="0" w:line="240" w:lineRule="auto"/>
              <w:jc w:val="right"/>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21%</w:t>
            </w:r>
          </w:p>
        </w:tc>
        <w:tc>
          <w:tcPr>
            <w:tcW w:w="4413" w:type="dxa"/>
            <w:gridSpan w:val="4"/>
            <w:tcBorders>
              <w:top w:val="single" w:sz="8" w:space="0" w:color="auto"/>
              <w:left w:val="single" w:sz="12" w:space="0" w:color="auto"/>
              <w:bottom w:val="single" w:sz="8" w:space="0" w:color="auto"/>
              <w:right w:val="single" w:sz="12" w:space="0" w:color="000000"/>
            </w:tcBorders>
            <w:shd w:val="clear" w:color="auto" w:fill="auto"/>
            <w:noWrap/>
            <w:vAlign w:val="center"/>
            <w:hideMark/>
          </w:tcPr>
          <w:p w:rsidR="006A7E8E" w:rsidRPr="006A7E8E" w:rsidRDefault="006A7E8E" w:rsidP="006A7E8E">
            <w:pPr>
              <w:spacing w:after="0" w:line="240" w:lineRule="auto"/>
              <w:jc w:val="right"/>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107 302,46</w:t>
            </w:r>
          </w:p>
        </w:tc>
      </w:tr>
      <w:tr w:rsidR="006A7E8E" w:rsidRPr="006A7E8E" w:rsidTr="006A7E8E">
        <w:trPr>
          <w:trHeight w:val="442"/>
        </w:trPr>
        <w:tc>
          <w:tcPr>
            <w:tcW w:w="1611" w:type="dxa"/>
            <w:vMerge/>
            <w:tcBorders>
              <w:top w:val="nil"/>
              <w:left w:val="single" w:sz="8" w:space="0" w:color="auto"/>
              <w:bottom w:val="nil"/>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3891" w:type="dxa"/>
            <w:gridSpan w:val="4"/>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náklady na změnu vč. DPH</w:t>
            </w:r>
          </w:p>
        </w:tc>
        <w:tc>
          <w:tcPr>
            <w:tcW w:w="4413" w:type="dxa"/>
            <w:gridSpan w:val="4"/>
            <w:tcBorders>
              <w:top w:val="single" w:sz="8" w:space="0" w:color="auto"/>
              <w:left w:val="single" w:sz="12" w:space="0" w:color="auto"/>
              <w:bottom w:val="single" w:sz="12" w:space="0" w:color="auto"/>
              <w:right w:val="single" w:sz="12" w:space="0" w:color="000000"/>
            </w:tcBorders>
            <w:shd w:val="clear" w:color="auto" w:fill="auto"/>
            <w:noWrap/>
            <w:vAlign w:val="center"/>
            <w:hideMark/>
          </w:tcPr>
          <w:p w:rsidR="006A7E8E" w:rsidRPr="006A7E8E" w:rsidRDefault="006A7E8E" w:rsidP="006A7E8E">
            <w:pPr>
              <w:spacing w:after="0" w:line="240" w:lineRule="auto"/>
              <w:jc w:val="right"/>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618 266,56</w:t>
            </w:r>
          </w:p>
        </w:tc>
      </w:tr>
      <w:tr w:rsidR="006A7E8E" w:rsidRPr="006A7E8E" w:rsidTr="006A7E8E">
        <w:trPr>
          <w:trHeight w:val="397"/>
        </w:trPr>
        <w:tc>
          <w:tcPr>
            <w:tcW w:w="1611" w:type="dxa"/>
            <w:vMerge w:val="restart"/>
            <w:tcBorders>
              <w:top w:val="single" w:sz="8" w:space="0" w:color="auto"/>
              <w:left w:val="single" w:sz="8" w:space="0" w:color="auto"/>
              <w:bottom w:val="single" w:sz="8" w:space="0" w:color="000000"/>
              <w:right w:val="single" w:sz="4" w:space="0" w:color="auto"/>
            </w:tcBorders>
            <w:shd w:val="clear" w:color="auto" w:fill="auto"/>
            <w:noWrap/>
            <w:textDirection w:val="btLr"/>
            <w:vAlign w:val="center"/>
            <w:hideMark/>
          </w:tcPr>
          <w:p w:rsidR="006A7E8E" w:rsidRPr="006A7E8E" w:rsidRDefault="006A7E8E" w:rsidP="006A7E8E">
            <w:pPr>
              <w:spacing w:after="0" w:line="240" w:lineRule="auto"/>
              <w:jc w:val="center"/>
              <w:rPr>
                <w:rFonts w:ascii="Palatino Linotype" w:eastAsia="Times New Roman" w:hAnsi="Palatino Linotype" w:cs="Arial"/>
                <w:b/>
                <w:bCs/>
                <w:sz w:val="20"/>
                <w:szCs w:val="20"/>
                <w:lang w:eastAsia="cs-CZ"/>
              </w:rPr>
            </w:pPr>
            <w:r w:rsidRPr="006A7E8E">
              <w:rPr>
                <w:rFonts w:ascii="Palatino Linotype" w:eastAsia="Times New Roman" w:hAnsi="Palatino Linotype" w:cs="Arial"/>
                <w:b/>
                <w:bCs/>
                <w:sz w:val="20"/>
                <w:szCs w:val="20"/>
                <w:lang w:eastAsia="cs-CZ"/>
              </w:rPr>
              <w:t>termíny</w:t>
            </w:r>
          </w:p>
        </w:tc>
        <w:tc>
          <w:tcPr>
            <w:tcW w:w="3891" w:type="dxa"/>
            <w:gridSpan w:val="4"/>
            <w:tcBorders>
              <w:top w:val="single" w:sz="8" w:space="0" w:color="auto"/>
              <w:left w:val="nil"/>
              <w:bottom w:val="single" w:sz="4" w:space="0" w:color="auto"/>
              <w:right w:val="single" w:sz="4" w:space="0" w:color="auto"/>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Termín realizace změny:</w:t>
            </w:r>
          </w:p>
        </w:tc>
        <w:tc>
          <w:tcPr>
            <w:tcW w:w="4413" w:type="dxa"/>
            <w:gridSpan w:val="4"/>
            <w:tcBorders>
              <w:top w:val="single" w:sz="8"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jc w:val="right"/>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v době plnění dle SOD</w:t>
            </w:r>
          </w:p>
        </w:tc>
      </w:tr>
      <w:tr w:rsidR="006A7E8E" w:rsidRPr="006A7E8E" w:rsidTr="006A7E8E">
        <w:trPr>
          <w:trHeight w:val="434"/>
        </w:trPr>
        <w:tc>
          <w:tcPr>
            <w:tcW w:w="1611" w:type="dxa"/>
            <w:vMerge/>
            <w:tcBorders>
              <w:top w:val="single" w:sz="8" w:space="0" w:color="auto"/>
              <w:left w:val="single" w:sz="8" w:space="0" w:color="auto"/>
              <w:bottom w:val="single" w:sz="8" w:space="0" w:color="000000"/>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3891" w:type="dxa"/>
            <w:gridSpan w:val="4"/>
            <w:tcBorders>
              <w:top w:val="single" w:sz="4" w:space="0" w:color="auto"/>
              <w:left w:val="nil"/>
              <w:bottom w:val="single" w:sz="8" w:space="0" w:color="auto"/>
              <w:right w:val="single" w:sz="4" w:space="0" w:color="auto"/>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xml:space="preserve">Vliv změny na </w:t>
            </w:r>
            <w:proofErr w:type="spellStart"/>
            <w:r w:rsidRPr="006A7E8E">
              <w:rPr>
                <w:rFonts w:ascii="Palatino Linotype" w:eastAsia="Times New Roman" w:hAnsi="Palatino Linotype" w:cs="Arial"/>
                <w:sz w:val="20"/>
                <w:szCs w:val="20"/>
                <w:lang w:eastAsia="cs-CZ"/>
              </w:rPr>
              <w:t>terním</w:t>
            </w:r>
            <w:proofErr w:type="spellEnd"/>
            <w:r w:rsidRPr="006A7E8E">
              <w:rPr>
                <w:rFonts w:ascii="Palatino Linotype" w:eastAsia="Times New Roman" w:hAnsi="Palatino Linotype" w:cs="Arial"/>
                <w:sz w:val="20"/>
                <w:szCs w:val="20"/>
                <w:lang w:eastAsia="cs-CZ"/>
              </w:rPr>
              <w:t xml:space="preserve"> dokončení díla:</w:t>
            </w:r>
          </w:p>
        </w:tc>
        <w:tc>
          <w:tcPr>
            <w:tcW w:w="4413" w:type="dxa"/>
            <w:gridSpan w:val="4"/>
            <w:tcBorders>
              <w:top w:val="single" w:sz="4" w:space="0" w:color="auto"/>
              <w:left w:val="nil"/>
              <w:bottom w:val="single" w:sz="8" w:space="0" w:color="auto"/>
              <w:right w:val="single" w:sz="8" w:space="0" w:color="000000"/>
            </w:tcBorders>
            <w:shd w:val="clear" w:color="auto" w:fill="auto"/>
            <w:noWrap/>
            <w:vAlign w:val="center"/>
            <w:hideMark/>
          </w:tcPr>
          <w:p w:rsidR="006A7E8E" w:rsidRPr="006A7E8E" w:rsidRDefault="006A7E8E" w:rsidP="006A7E8E">
            <w:pPr>
              <w:spacing w:after="0" w:line="240" w:lineRule="auto"/>
              <w:jc w:val="right"/>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bez vlivu</w:t>
            </w:r>
          </w:p>
        </w:tc>
      </w:tr>
      <w:tr w:rsidR="006A7E8E" w:rsidRPr="006A7E8E" w:rsidTr="006A7E8E">
        <w:trPr>
          <w:trHeight w:val="359"/>
        </w:trPr>
        <w:tc>
          <w:tcPr>
            <w:tcW w:w="1611"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6A7E8E" w:rsidRPr="006A7E8E" w:rsidRDefault="006A7E8E" w:rsidP="006A7E8E">
            <w:pPr>
              <w:spacing w:after="0" w:line="240" w:lineRule="auto"/>
              <w:jc w:val="center"/>
              <w:rPr>
                <w:rFonts w:ascii="Palatino Linotype" w:eastAsia="Times New Roman" w:hAnsi="Palatino Linotype" w:cs="Arial"/>
                <w:b/>
                <w:bCs/>
                <w:sz w:val="20"/>
                <w:szCs w:val="20"/>
                <w:lang w:eastAsia="cs-CZ"/>
              </w:rPr>
            </w:pPr>
            <w:r w:rsidRPr="006A7E8E">
              <w:rPr>
                <w:rFonts w:ascii="Palatino Linotype" w:eastAsia="Times New Roman" w:hAnsi="Palatino Linotype" w:cs="Arial"/>
                <w:b/>
                <w:bCs/>
                <w:sz w:val="20"/>
                <w:szCs w:val="20"/>
                <w:lang w:eastAsia="cs-CZ"/>
              </w:rPr>
              <w:t>odsouhlasení změny</w:t>
            </w:r>
          </w:p>
        </w:tc>
        <w:tc>
          <w:tcPr>
            <w:tcW w:w="3891" w:type="dxa"/>
            <w:gridSpan w:val="4"/>
            <w:tcBorders>
              <w:top w:val="single" w:sz="8" w:space="0" w:color="auto"/>
              <w:left w:val="nil"/>
              <w:bottom w:val="nil"/>
              <w:right w:val="single" w:sz="4" w:space="0" w:color="auto"/>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r w:rsidRPr="006A7E8E">
              <w:rPr>
                <w:rFonts w:ascii="Palatino Linotype" w:eastAsia="Times New Roman" w:hAnsi="Palatino Linotype" w:cs="Arial"/>
                <w:b/>
                <w:bCs/>
                <w:sz w:val="20"/>
                <w:szCs w:val="20"/>
                <w:lang w:eastAsia="cs-CZ"/>
              </w:rPr>
              <w:t>Změnu odsouhlasil:</w:t>
            </w:r>
          </w:p>
        </w:tc>
        <w:tc>
          <w:tcPr>
            <w:tcW w:w="4413" w:type="dxa"/>
            <w:gridSpan w:val="4"/>
            <w:tcBorders>
              <w:top w:val="single" w:sz="8"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b/>
                <w:bCs/>
                <w:sz w:val="20"/>
                <w:szCs w:val="20"/>
                <w:lang w:eastAsia="cs-CZ"/>
              </w:rPr>
            </w:pPr>
            <w:r w:rsidRPr="006A7E8E">
              <w:rPr>
                <w:rFonts w:ascii="Palatino Linotype" w:eastAsia="Times New Roman" w:hAnsi="Palatino Linotype" w:cs="Arial"/>
                <w:b/>
                <w:bCs/>
                <w:sz w:val="20"/>
                <w:szCs w:val="20"/>
                <w:lang w:eastAsia="cs-CZ"/>
              </w:rPr>
              <w:t>elektronický podpis</w:t>
            </w:r>
          </w:p>
        </w:tc>
      </w:tr>
      <w:tr w:rsidR="006A7E8E" w:rsidRPr="006A7E8E" w:rsidTr="006A7E8E">
        <w:trPr>
          <w:trHeight w:val="850"/>
        </w:trPr>
        <w:tc>
          <w:tcPr>
            <w:tcW w:w="1611" w:type="dxa"/>
            <w:vMerge/>
            <w:tcBorders>
              <w:top w:val="nil"/>
              <w:left w:val="single" w:sz="8" w:space="0" w:color="auto"/>
              <w:bottom w:val="single" w:sz="8" w:space="0" w:color="000000"/>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3891" w:type="dxa"/>
            <w:gridSpan w:val="4"/>
            <w:tcBorders>
              <w:top w:val="single" w:sz="4" w:space="0" w:color="auto"/>
              <w:left w:val="nil"/>
              <w:bottom w:val="single" w:sz="4" w:space="0" w:color="auto"/>
              <w:right w:val="single" w:sz="4" w:space="0" w:color="000000"/>
            </w:tcBorders>
            <w:shd w:val="clear" w:color="auto" w:fill="auto"/>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xml:space="preserve">Zhotovitel </w:t>
            </w:r>
            <w:proofErr w:type="spellStart"/>
            <w:r>
              <w:rPr>
                <w:rFonts w:ascii="Palatino Linotype" w:eastAsia="Times New Roman" w:hAnsi="Palatino Linotype" w:cs="Arial"/>
                <w:sz w:val="20"/>
                <w:szCs w:val="20"/>
                <w:lang w:eastAsia="cs-CZ"/>
              </w:rPr>
              <w:t>xxxxxxxxxxx</w:t>
            </w:r>
            <w:proofErr w:type="spellEnd"/>
          </w:p>
        </w:tc>
        <w:tc>
          <w:tcPr>
            <w:tcW w:w="4413" w:type="dxa"/>
            <w:gridSpan w:val="4"/>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w:t>
            </w:r>
          </w:p>
        </w:tc>
      </w:tr>
      <w:tr w:rsidR="006A7E8E" w:rsidRPr="006A7E8E" w:rsidTr="006A7E8E">
        <w:trPr>
          <w:trHeight w:val="850"/>
        </w:trPr>
        <w:tc>
          <w:tcPr>
            <w:tcW w:w="1611" w:type="dxa"/>
            <w:vMerge/>
            <w:tcBorders>
              <w:top w:val="nil"/>
              <w:left w:val="single" w:sz="8" w:space="0" w:color="auto"/>
              <w:bottom w:val="single" w:sz="8" w:space="0" w:color="000000"/>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3891" w:type="dxa"/>
            <w:gridSpan w:val="4"/>
            <w:tcBorders>
              <w:top w:val="single" w:sz="4" w:space="0" w:color="auto"/>
              <w:left w:val="nil"/>
              <w:bottom w:val="single" w:sz="4" w:space="0" w:color="auto"/>
              <w:right w:val="single" w:sz="4" w:space="0" w:color="000000"/>
            </w:tcBorders>
            <w:shd w:val="clear" w:color="auto" w:fill="auto"/>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xml:space="preserve">TDI: </w:t>
            </w:r>
            <w:proofErr w:type="spellStart"/>
            <w:r>
              <w:rPr>
                <w:rFonts w:ascii="Palatino Linotype" w:eastAsia="Times New Roman" w:hAnsi="Palatino Linotype" w:cs="Arial"/>
                <w:sz w:val="20"/>
                <w:szCs w:val="20"/>
                <w:lang w:eastAsia="cs-CZ"/>
              </w:rPr>
              <w:t>xxxxxxxxxxx</w:t>
            </w:r>
            <w:proofErr w:type="spellEnd"/>
          </w:p>
        </w:tc>
        <w:tc>
          <w:tcPr>
            <w:tcW w:w="4413" w:type="dxa"/>
            <w:gridSpan w:val="4"/>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w:t>
            </w:r>
          </w:p>
        </w:tc>
      </w:tr>
      <w:tr w:rsidR="006A7E8E" w:rsidRPr="006A7E8E" w:rsidTr="006A7E8E">
        <w:trPr>
          <w:trHeight w:val="850"/>
        </w:trPr>
        <w:tc>
          <w:tcPr>
            <w:tcW w:w="1611" w:type="dxa"/>
            <w:vMerge/>
            <w:tcBorders>
              <w:top w:val="nil"/>
              <w:left w:val="single" w:sz="8" w:space="0" w:color="auto"/>
              <w:bottom w:val="single" w:sz="8" w:space="0" w:color="000000"/>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3891" w:type="dxa"/>
            <w:gridSpan w:val="4"/>
            <w:tcBorders>
              <w:top w:val="single" w:sz="4" w:space="0" w:color="auto"/>
              <w:left w:val="nil"/>
              <w:bottom w:val="single" w:sz="4" w:space="0" w:color="auto"/>
              <w:right w:val="single" w:sz="4" w:space="0" w:color="000000"/>
            </w:tcBorders>
            <w:shd w:val="clear" w:color="auto" w:fill="auto"/>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Projektant</w:t>
            </w:r>
            <w:r>
              <w:rPr>
                <w:rFonts w:ascii="Palatino Linotype" w:eastAsia="Times New Roman" w:hAnsi="Palatino Linotype" w:cs="Arial"/>
                <w:sz w:val="20"/>
                <w:szCs w:val="20"/>
                <w:lang w:eastAsia="cs-CZ"/>
              </w:rPr>
              <w:t xml:space="preserve"> </w:t>
            </w:r>
            <w:proofErr w:type="spellStart"/>
            <w:r>
              <w:rPr>
                <w:rFonts w:ascii="Palatino Linotype" w:eastAsia="Times New Roman" w:hAnsi="Palatino Linotype" w:cs="Arial"/>
                <w:sz w:val="20"/>
                <w:szCs w:val="20"/>
                <w:lang w:eastAsia="cs-CZ"/>
              </w:rPr>
              <w:t>xxxxxxxxxxx</w:t>
            </w:r>
            <w:proofErr w:type="spellEnd"/>
          </w:p>
        </w:tc>
        <w:tc>
          <w:tcPr>
            <w:tcW w:w="4413" w:type="dxa"/>
            <w:gridSpan w:val="4"/>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w:t>
            </w:r>
          </w:p>
        </w:tc>
      </w:tr>
      <w:tr w:rsidR="006A7E8E" w:rsidRPr="006A7E8E" w:rsidTr="006A7E8E">
        <w:trPr>
          <w:trHeight w:val="850"/>
        </w:trPr>
        <w:tc>
          <w:tcPr>
            <w:tcW w:w="1611" w:type="dxa"/>
            <w:vMerge/>
            <w:tcBorders>
              <w:top w:val="nil"/>
              <w:left w:val="single" w:sz="8" w:space="0" w:color="auto"/>
              <w:bottom w:val="single" w:sz="8" w:space="0" w:color="000000"/>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3891" w:type="dxa"/>
            <w:gridSpan w:val="4"/>
            <w:tcBorders>
              <w:top w:val="single" w:sz="4" w:space="0" w:color="auto"/>
              <w:left w:val="nil"/>
              <w:bottom w:val="single" w:sz="4" w:space="0" w:color="auto"/>
              <w:right w:val="single" w:sz="4" w:space="0" w:color="000000"/>
            </w:tcBorders>
            <w:shd w:val="clear" w:color="auto" w:fill="auto"/>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xml:space="preserve">Objednatel: </w:t>
            </w:r>
            <w:proofErr w:type="spellStart"/>
            <w:r>
              <w:rPr>
                <w:rFonts w:ascii="Palatino Linotype" w:eastAsia="Times New Roman" w:hAnsi="Palatino Linotype" w:cs="Arial"/>
                <w:sz w:val="20"/>
                <w:szCs w:val="20"/>
                <w:lang w:eastAsia="cs-CZ"/>
              </w:rPr>
              <w:t>xxxxxxxxxxx</w:t>
            </w:r>
            <w:proofErr w:type="spellEnd"/>
          </w:p>
        </w:tc>
        <w:tc>
          <w:tcPr>
            <w:tcW w:w="4413" w:type="dxa"/>
            <w:gridSpan w:val="4"/>
            <w:tcBorders>
              <w:top w:val="single" w:sz="4" w:space="0" w:color="auto"/>
              <w:left w:val="nil"/>
              <w:bottom w:val="single" w:sz="4" w:space="0" w:color="auto"/>
              <w:right w:val="single" w:sz="8" w:space="0" w:color="000000"/>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w:t>
            </w:r>
          </w:p>
        </w:tc>
      </w:tr>
      <w:tr w:rsidR="006A7E8E" w:rsidRPr="006A7E8E" w:rsidTr="006A7E8E">
        <w:trPr>
          <w:trHeight w:val="850"/>
        </w:trPr>
        <w:tc>
          <w:tcPr>
            <w:tcW w:w="1611" w:type="dxa"/>
            <w:vMerge/>
            <w:tcBorders>
              <w:top w:val="nil"/>
              <w:left w:val="single" w:sz="8" w:space="0" w:color="auto"/>
              <w:bottom w:val="single" w:sz="8" w:space="0" w:color="000000"/>
              <w:right w:val="single" w:sz="4" w:space="0" w:color="auto"/>
            </w:tcBorders>
            <w:vAlign w:val="center"/>
            <w:hideMark/>
          </w:tcPr>
          <w:p w:rsidR="006A7E8E" w:rsidRPr="006A7E8E" w:rsidRDefault="006A7E8E" w:rsidP="006A7E8E">
            <w:pPr>
              <w:spacing w:after="0" w:line="240" w:lineRule="auto"/>
              <w:rPr>
                <w:rFonts w:ascii="Palatino Linotype" w:eastAsia="Times New Roman" w:hAnsi="Palatino Linotype" w:cs="Arial"/>
                <w:b/>
                <w:bCs/>
                <w:sz w:val="20"/>
                <w:szCs w:val="20"/>
                <w:lang w:eastAsia="cs-CZ"/>
              </w:rPr>
            </w:pPr>
          </w:p>
        </w:tc>
        <w:tc>
          <w:tcPr>
            <w:tcW w:w="3891" w:type="dxa"/>
            <w:gridSpan w:val="4"/>
            <w:tcBorders>
              <w:top w:val="single" w:sz="4" w:space="0" w:color="auto"/>
              <w:left w:val="nil"/>
              <w:bottom w:val="single" w:sz="8" w:space="0" w:color="auto"/>
              <w:right w:val="single" w:sz="4" w:space="0" w:color="000000"/>
            </w:tcBorders>
            <w:shd w:val="clear" w:color="auto" w:fill="auto"/>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Objednatel (statutární zástupce): Mgr. Jiří Mitáček, Ph.D.</w:t>
            </w:r>
          </w:p>
        </w:tc>
        <w:tc>
          <w:tcPr>
            <w:tcW w:w="4413" w:type="dxa"/>
            <w:gridSpan w:val="4"/>
            <w:tcBorders>
              <w:top w:val="single" w:sz="4" w:space="0" w:color="auto"/>
              <w:left w:val="nil"/>
              <w:bottom w:val="single" w:sz="8" w:space="0" w:color="auto"/>
              <w:right w:val="single" w:sz="8" w:space="0" w:color="000000"/>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 </w:t>
            </w:r>
          </w:p>
        </w:tc>
      </w:tr>
      <w:tr w:rsidR="006A7E8E" w:rsidRPr="006A7E8E" w:rsidTr="006A7E8E">
        <w:trPr>
          <w:trHeight w:val="442"/>
        </w:trPr>
        <w:tc>
          <w:tcPr>
            <w:tcW w:w="1611" w:type="dxa"/>
            <w:tcBorders>
              <w:top w:val="nil"/>
              <w:left w:val="single" w:sz="8" w:space="0" w:color="auto"/>
              <w:bottom w:val="single" w:sz="8" w:space="0" w:color="auto"/>
              <w:right w:val="single" w:sz="4" w:space="0" w:color="auto"/>
            </w:tcBorders>
            <w:shd w:val="clear" w:color="auto" w:fill="auto"/>
            <w:noWrap/>
            <w:vAlign w:val="center"/>
            <w:hideMark/>
          </w:tcPr>
          <w:p w:rsidR="006A7E8E" w:rsidRPr="006A7E8E" w:rsidRDefault="006A7E8E" w:rsidP="006A7E8E">
            <w:pPr>
              <w:spacing w:after="0" w:line="240" w:lineRule="auto"/>
              <w:jc w:val="center"/>
              <w:rPr>
                <w:rFonts w:ascii="Palatino Linotype" w:eastAsia="Times New Roman" w:hAnsi="Palatino Linotype" w:cs="Arial"/>
                <w:b/>
                <w:bCs/>
                <w:sz w:val="20"/>
                <w:szCs w:val="20"/>
                <w:lang w:eastAsia="cs-CZ"/>
              </w:rPr>
            </w:pPr>
            <w:r w:rsidRPr="006A7E8E">
              <w:rPr>
                <w:rFonts w:ascii="Palatino Linotype" w:eastAsia="Times New Roman" w:hAnsi="Palatino Linotype" w:cs="Arial"/>
                <w:b/>
                <w:bCs/>
                <w:sz w:val="20"/>
                <w:szCs w:val="20"/>
                <w:lang w:eastAsia="cs-CZ"/>
              </w:rPr>
              <w:t>Přílohy</w:t>
            </w:r>
          </w:p>
        </w:tc>
        <w:tc>
          <w:tcPr>
            <w:tcW w:w="8305" w:type="dxa"/>
            <w:gridSpan w:val="8"/>
            <w:tcBorders>
              <w:top w:val="nil"/>
              <w:left w:val="nil"/>
              <w:bottom w:val="single" w:sz="8" w:space="0" w:color="auto"/>
              <w:right w:val="single" w:sz="8" w:space="0" w:color="000000"/>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r w:rsidRPr="006A7E8E">
              <w:rPr>
                <w:rFonts w:ascii="Palatino Linotype" w:eastAsia="Times New Roman" w:hAnsi="Palatino Linotype" w:cs="Arial"/>
                <w:sz w:val="20"/>
                <w:szCs w:val="20"/>
                <w:lang w:eastAsia="cs-CZ"/>
              </w:rPr>
              <w:t>Situace POV - zákres stávající a budoucí polohy přípojky NN a rozpočet změn</w:t>
            </w:r>
          </w:p>
        </w:tc>
      </w:tr>
      <w:tr w:rsidR="006A7E8E" w:rsidRPr="006A7E8E" w:rsidTr="006A7E8E">
        <w:trPr>
          <w:trHeight w:val="299"/>
        </w:trPr>
        <w:tc>
          <w:tcPr>
            <w:tcW w:w="1611"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Palatino Linotype" w:eastAsia="Times New Roman" w:hAnsi="Palatino Linotype" w:cs="Arial"/>
                <w:sz w:val="20"/>
                <w:szCs w:val="20"/>
                <w:lang w:eastAsia="cs-CZ"/>
              </w:rPr>
            </w:pPr>
          </w:p>
        </w:tc>
        <w:tc>
          <w:tcPr>
            <w:tcW w:w="525"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531"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1026"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1809"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676"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728"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728"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c>
          <w:tcPr>
            <w:tcW w:w="2280" w:type="dxa"/>
            <w:tcBorders>
              <w:top w:val="nil"/>
              <w:left w:val="nil"/>
              <w:bottom w:val="nil"/>
              <w:right w:val="nil"/>
            </w:tcBorders>
            <w:shd w:val="clear" w:color="auto" w:fill="auto"/>
            <w:noWrap/>
            <w:vAlign w:val="center"/>
            <w:hideMark/>
          </w:tcPr>
          <w:p w:rsidR="006A7E8E" w:rsidRPr="006A7E8E" w:rsidRDefault="006A7E8E" w:rsidP="006A7E8E">
            <w:pPr>
              <w:spacing w:after="0" w:line="240" w:lineRule="auto"/>
              <w:rPr>
                <w:rFonts w:ascii="Times New Roman" w:eastAsia="Times New Roman" w:hAnsi="Times New Roman" w:cs="Times New Roman"/>
                <w:sz w:val="20"/>
                <w:szCs w:val="20"/>
                <w:lang w:eastAsia="cs-CZ"/>
              </w:rPr>
            </w:pPr>
          </w:p>
        </w:tc>
      </w:tr>
    </w:tbl>
    <w:p w:rsidR="00235479" w:rsidRDefault="00235479">
      <w:bookmarkStart w:id="0" w:name="_GoBack"/>
      <w:bookmarkEnd w:id="0"/>
    </w:p>
    <w:sectPr w:rsidR="00235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C9"/>
    <w:rsid w:val="00235479"/>
    <w:rsid w:val="003778C9"/>
    <w:rsid w:val="006A7E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FA5E"/>
  <w15:chartTrackingRefBased/>
  <w15:docId w15:val="{7DFA8222-3F40-4DD8-A9A6-62455663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5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3629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Moravské zemské muzeum</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dc:creator>
  <cp:keywords/>
  <dc:description/>
  <cp:lastModifiedBy>pravni</cp:lastModifiedBy>
  <cp:revision>2</cp:revision>
  <dcterms:created xsi:type="dcterms:W3CDTF">2025-09-16T11:52:00Z</dcterms:created>
  <dcterms:modified xsi:type="dcterms:W3CDTF">2025-09-16T11:52:00Z</dcterms:modified>
</cp:coreProperties>
</file>