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 smlouvy objednatele: 926/2025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Blšanka, suché stromy a polomy; úsek Blšany – Přibenice</w:t>
      </w:r>
    </w:p>
    <w:p>
      <w:pPr>
        <w:pStyle w:val="Style12"/>
        <w:keepNext/>
        <w:keepLines/>
        <w:widowControl w:val="0"/>
        <w:shd w:val="clear" w:color="auto" w:fill="auto"/>
        <w:bidi w:val="0"/>
        <w:spacing w:before="0" w:after="300" w:line="240" w:lineRule="auto"/>
        <w:ind w:left="0" w:right="0" w:firstLine="0"/>
        <w:jc w:val="both"/>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2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CZ 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2467"/>
        <w:gridCol w:w="6605"/>
      </w:tblGrid>
      <w:tr>
        <w:trPr>
          <w:trHeight w:val="27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top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360" w:right="0" w:firstLine="0"/>
              <w:jc w:val="left"/>
            </w:pPr>
            <w:r>
              <w:rPr>
                <w:b/>
                <w:bCs/>
                <w:color w:val="000000"/>
                <w:spacing w:val="0"/>
                <w:w w:val="100"/>
                <w:position w:val="0"/>
                <w:shd w:val="clear" w:color="auto" w:fill="auto"/>
                <w:lang w:val="cs-CZ" w:eastAsia="cs-CZ" w:bidi="cs-CZ"/>
              </w:rPr>
              <w:t>Radek Kubač</w:t>
            </w:r>
          </w:p>
        </w:tc>
      </w:tr>
      <w:tr>
        <w:trPr>
          <w:trHeight w:val="2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w:t>
            </w:r>
          </w:p>
        </w:tc>
        <w:tc>
          <w:tcPr>
            <w:tcBorders>
              <w:top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Vančurova 1256, 43601 Litvínov - Horní Litvínov</w:t>
            </w:r>
          </w:p>
        </w:tc>
      </w:tr>
      <w:tr>
        <w:trPr>
          <w:trHeight w:val="288"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66685851</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widowControl w:val="0"/>
        <w:spacing w:after="299" w:line="1" w:lineRule="exact"/>
      </w:pPr>
    </w:p>
    <w:p>
      <w:pPr>
        <w:pStyle w:val="Style2"/>
        <w:keepNext w:val="0"/>
        <w:keepLines w:val="0"/>
        <w:widowControl w:val="0"/>
        <w:shd w:val="clear" w:color="auto" w:fill="auto"/>
        <w:bidi w:val="0"/>
        <w:spacing w:before="0" w:after="16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left="300" w:right="0" w:hanging="30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Blšanka, suché stromy a polomy; úsek Blšany - Přibenice</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0" w:line="240" w:lineRule="auto"/>
        <w:ind w:left="300" w:right="0" w:hanging="30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probírka břehových porostů na obou březích vodního toku Blšanka v k. ú. Kryry, Očihov, a Blšany (ř. km 20,600-35,250). Stromy určené ke kácení jsou suché a značně vykloněné.</w:t>
      </w:r>
      <w:bookmarkEnd w:id="10"/>
      <w:bookmarkEnd w:id="11"/>
      <w:bookmarkEnd w:id="13"/>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3" w:lineRule="auto"/>
        <w:ind w:left="720" w:right="0" w:hanging="36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130 ks stromů </w:t>
      </w:r>
      <w:r>
        <w:rPr>
          <w:color w:val="000000"/>
          <w:spacing w:val="0"/>
          <w:w w:val="100"/>
          <w:position w:val="0"/>
          <w:shd w:val="clear" w:color="auto" w:fill="auto"/>
          <w:lang w:val="cs-CZ" w:eastAsia="cs-CZ" w:bidi="cs-CZ"/>
        </w:rPr>
        <w:t>(71 ks vrba, 46 ks olše, 1 ks topol, 1 ks jasan, 11 ks střemcha)</w:t>
      </w:r>
    </w:p>
    <w:p>
      <w:pPr>
        <w:pStyle w:val="Style2"/>
        <w:keepNext w:val="0"/>
        <w:keepLines w:val="0"/>
        <w:widowControl w:val="0"/>
        <w:shd w:val="clear" w:color="auto" w:fill="auto"/>
        <w:bidi w:val="0"/>
        <w:spacing w:before="0" w:after="0" w:line="223" w:lineRule="auto"/>
        <w:ind w:left="0" w:right="0" w:firstLine="30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likvidace veškeré nevyužitelné dřevní hmoty na místě štěpkováním</w:t>
      </w:r>
    </w:p>
    <w:p>
      <w:pPr>
        <w:pStyle w:val="Style12"/>
        <w:keepNext/>
        <w:keepLines/>
        <w:widowControl w:val="0"/>
        <w:shd w:val="clear" w:color="auto" w:fill="auto"/>
        <w:bidi w:val="0"/>
        <w:spacing w:before="0" w:after="180" w:line="240" w:lineRule="auto"/>
        <w:ind w:left="300" w:right="0" w:firstLine="6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105,41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 za jednotkovou cenu 400 Kč bez DPH za 1 plm.</w:t>
      </w:r>
      <w:bookmarkEnd w:id="14"/>
      <w:bookmarkEnd w:id="15"/>
      <w:bookmarkEnd w:id="16"/>
    </w:p>
    <w:p>
      <w:pPr>
        <w:pStyle w:val="Style2"/>
        <w:keepNext w:val="0"/>
        <w:keepLines w:val="0"/>
        <w:widowControl w:val="0"/>
        <w:shd w:val="clear" w:color="auto" w:fill="auto"/>
        <w:bidi w:val="0"/>
        <w:spacing w:before="0" w:after="0" w:line="240" w:lineRule="auto"/>
        <w:ind w:left="300" w:right="0" w:firstLine="60"/>
        <w:jc w:val="left"/>
      </w:pPr>
      <w:r>
        <w:rPr>
          <w:color w:val="000000"/>
          <w:spacing w:val="0"/>
          <w:w w:val="100"/>
          <w:position w:val="0"/>
          <w:shd w:val="clear" w:color="auto" w:fill="auto"/>
          <w:lang w:val="cs-CZ" w:eastAsia="cs-CZ" w:bidi="cs-CZ"/>
        </w:rPr>
        <w:t>Místo provádění díla je rozděleno na níže uvedené 4 úseky:</w:t>
      </w:r>
    </w:p>
    <w:p>
      <w:pPr>
        <w:pStyle w:val="Style2"/>
        <w:keepNext w:val="0"/>
        <w:keepLines w:val="0"/>
        <w:widowControl w:val="0"/>
        <w:numPr>
          <w:ilvl w:val="0"/>
          <w:numId w:val="3"/>
        </w:numPr>
        <w:shd w:val="clear" w:color="auto" w:fill="auto"/>
        <w:tabs>
          <w:tab w:pos="697" w:val="left"/>
        </w:tabs>
        <w:bidi w:val="0"/>
        <w:spacing w:before="0" w:after="0" w:line="240" w:lineRule="auto"/>
        <w:ind w:left="0" w:right="0" w:firstLine="300"/>
        <w:jc w:val="left"/>
      </w:pPr>
      <w:bookmarkStart w:id="17" w:name="bookmark17"/>
      <w:bookmarkEnd w:id="17"/>
      <w:r>
        <w:rPr>
          <w:b/>
          <w:bCs/>
          <w:color w:val="000000"/>
          <w:spacing w:val="0"/>
          <w:w w:val="100"/>
          <w:position w:val="0"/>
          <w:shd w:val="clear" w:color="auto" w:fill="auto"/>
          <w:lang w:val="cs-CZ" w:eastAsia="cs-CZ" w:bidi="cs-CZ"/>
        </w:rPr>
        <w:t>Blšany ZD – Silniční most Očihov</w:t>
      </w:r>
    </w:p>
    <w:p>
      <w:pPr>
        <w:pStyle w:val="Style2"/>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ř. km 20,600 - 24,300, délka úseku 3700 m</w:t>
      </w:r>
    </w:p>
    <w:p>
      <w:pPr>
        <w:pStyle w:val="Style2"/>
        <w:keepNext w:val="0"/>
        <w:keepLines w:val="0"/>
        <w:widowControl w:val="0"/>
        <w:shd w:val="clear" w:color="auto" w:fill="auto"/>
        <w:bidi w:val="0"/>
        <w:spacing w:before="0" w:line="240" w:lineRule="auto"/>
        <w:ind w:left="720" w:right="0" w:firstLine="20"/>
        <w:jc w:val="left"/>
      </w:pPr>
      <w:r>
        <w:rPr>
          <w:color w:val="000000"/>
          <w:spacing w:val="0"/>
          <w:w w:val="100"/>
          <w:position w:val="0"/>
          <w:shd w:val="clear" w:color="auto" w:fill="auto"/>
          <w:lang w:val="cs-CZ" w:eastAsia="cs-CZ" w:bidi="cs-CZ"/>
        </w:rPr>
        <w:t>38 ks stromů (22 ks vrb, 15 ks olší, 1 ks topol) Množství využitelné dřevní hmoty: 37,35 plm (m3) Množství nevyužitelné dřevní hmoty: 10,38 plm (m3) GPS - začátek úseku: 50.2212586N, 13.4769403E GPS – konec úseku: 50.1977186N, 13.4628483E Pozemky: p. p. č. 1604/1 v k. ú. Blšany; p. p. č. 2862/1 v k. ú. Očihov</w:t>
      </w:r>
    </w:p>
    <w:p>
      <w:pPr>
        <w:pStyle w:val="Style2"/>
        <w:keepNext w:val="0"/>
        <w:keepLines w:val="0"/>
        <w:widowControl w:val="0"/>
        <w:numPr>
          <w:ilvl w:val="0"/>
          <w:numId w:val="3"/>
        </w:numPr>
        <w:shd w:val="clear" w:color="auto" w:fill="auto"/>
        <w:tabs>
          <w:tab w:pos="697" w:val="left"/>
        </w:tabs>
        <w:bidi w:val="0"/>
        <w:spacing w:before="0" w:after="0" w:line="240" w:lineRule="auto"/>
        <w:ind w:left="0" w:right="0" w:firstLine="300"/>
        <w:jc w:val="left"/>
      </w:pPr>
      <w:bookmarkStart w:id="18" w:name="bookmark18"/>
      <w:bookmarkEnd w:id="18"/>
      <w:r>
        <w:rPr>
          <w:b/>
          <w:bCs/>
          <w:color w:val="000000"/>
          <w:spacing w:val="0"/>
          <w:w w:val="100"/>
          <w:position w:val="0"/>
          <w:shd w:val="clear" w:color="auto" w:fill="auto"/>
          <w:lang w:val="cs-CZ" w:eastAsia="cs-CZ" w:bidi="cs-CZ"/>
        </w:rPr>
        <w:t>Silniční most Očihov - Jez Očihov</w:t>
      </w:r>
    </w:p>
    <w:p>
      <w:pPr>
        <w:pStyle w:val="Style2"/>
        <w:keepNext w:val="0"/>
        <w:keepLines w:val="0"/>
        <w:widowControl w:val="0"/>
        <w:shd w:val="clear" w:color="auto" w:fill="auto"/>
        <w:bidi w:val="0"/>
        <w:spacing w:before="0" w:line="240" w:lineRule="auto"/>
        <w:ind w:left="720" w:right="0" w:firstLine="20"/>
        <w:jc w:val="left"/>
      </w:pPr>
      <w:r>
        <w:rPr>
          <w:color w:val="000000"/>
          <w:spacing w:val="0"/>
          <w:w w:val="100"/>
          <w:position w:val="0"/>
          <w:shd w:val="clear" w:color="auto" w:fill="auto"/>
          <w:lang w:val="cs-CZ" w:eastAsia="cs-CZ" w:bidi="cs-CZ"/>
        </w:rPr>
        <w:t>ř. km 24,300 - 25,620, délka úseku 1320 m 15 ks stromů (8 ks vrby, 7 ks olší) Množství využitelné dřevní hmoty: 5,324 plm (m3) Množství nevyužitelné dřevní hmoty: 0,476 plm (m3) GPS - začátek úseku: 50.1977186N, 13.4628483E (navazuje na úsek č. 1) GPS – konec úseku: 50.1880542N, 13.4572125E Pozemky: p. p. č. 2862/1 v k. ú. Očihov</w:t>
      </w:r>
    </w:p>
    <w:p>
      <w:pPr>
        <w:pStyle w:val="Style2"/>
        <w:keepNext w:val="0"/>
        <w:keepLines w:val="0"/>
        <w:widowControl w:val="0"/>
        <w:numPr>
          <w:ilvl w:val="0"/>
          <w:numId w:val="3"/>
        </w:numPr>
        <w:shd w:val="clear" w:color="auto" w:fill="auto"/>
        <w:tabs>
          <w:tab w:pos="697" w:val="left"/>
        </w:tabs>
        <w:bidi w:val="0"/>
        <w:spacing w:before="0" w:after="0" w:line="240" w:lineRule="auto"/>
        <w:ind w:left="0" w:right="0" w:firstLine="300"/>
        <w:jc w:val="left"/>
      </w:pPr>
      <w:bookmarkStart w:id="19" w:name="bookmark19"/>
      <w:bookmarkEnd w:id="19"/>
      <w:r>
        <w:rPr>
          <w:b/>
          <w:bCs/>
          <w:color w:val="000000"/>
          <w:spacing w:val="0"/>
          <w:w w:val="100"/>
          <w:position w:val="0"/>
          <w:shd w:val="clear" w:color="auto" w:fill="auto"/>
          <w:lang w:val="cs-CZ" w:eastAsia="cs-CZ" w:bidi="cs-CZ"/>
        </w:rPr>
        <w:t>Jez Očihov - cvičiště Kryry</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ř. km 25,620 - 27,865, délka úseku 2245 m</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35 ks stromů (23 ks vrb, 12 ks olší)</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Množství využitelné dřevní hmoty: 34,055 plm (m3)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Množství nevyužitelné dřevní hmoty: 30,31 plm (m3)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GPS - začátek úseku: 50.1880542N, 13.4572125E (navazuje na úsek č. 2)</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GPS – konec úseku: 50.1773006N, 13.4344936E</w:t>
      </w:r>
    </w:p>
    <w:p>
      <w:pPr>
        <w:pStyle w:val="Style2"/>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Pozemky: p. p. č. 2862/1, 2862/6 v k. ú. Očihov a p. p. č. 4889 v k. ú. Kryry</w:t>
      </w:r>
    </w:p>
    <w:p>
      <w:pPr>
        <w:pStyle w:val="Style2"/>
        <w:keepNext w:val="0"/>
        <w:keepLines w:val="0"/>
        <w:widowControl w:val="0"/>
        <w:numPr>
          <w:ilvl w:val="0"/>
          <w:numId w:val="3"/>
        </w:numPr>
        <w:shd w:val="clear" w:color="auto" w:fill="auto"/>
        <w:tabs>
          <w:tab w:pos="697" w:val="left"/>
        </w:tabs>
        <w:bidi w:val="0"/>
        <w:spacing w:before="0" w:after="0" w:line="240" w:lineRule="auto"/>
        <w:ind w:left="0" w:right="0" w:firstLine="300"/>
        <w:jc w:val="left"/>
      </w:pPr>
      <w:bookmarkStart w:id="20" w:name="bookmark20"/>
      <w:bookmarkEnd w:id="20"/>
      <w:r>
        <w:rPr>
          <w:b/>
          <w:bCs/>
          <w:color w:val="000000"/>
          <w:spacing w:val="0"/>
          <w:w w:val="100"/>
          <w:position w:val="0"/>
          <w:shd w:val="clear" w:color="auto" w:fill="auto"/>
          <w:lang w:val="cs-CZ" w:eastAsia="cs-CZ" w:bidi="cs-CZ"/>
        </w:rPr>
        <w:t>Mukoděly - Přibenice</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ř. km 33,550 - 35,250, délka úseku 1700 m</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42 ks stromů (18 ks vrb, 12 ks olší. 1 ks jasan, 11 ks střemcha)</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Množství využitelné dřevní hmoty: 28,68 plm (m3)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Množství nevyužitelné dřevní hmoty: 29,39 plm (m3)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GPS - začátek úseku: 50.1488475N, 13.3946825E</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GPS – konec úseku: 50.1406361N, 13.3781978E</w:t>
      </w:r>
    </w:p>
    <w:p>
      <w:pPr>
        <w:pStyle w:val="Style2"/>
        <w:keepNext w:val="0"/>
        <w:keepLines w:val="0"/>
        <w:widowControl w:val="0"/>
        <w:shd w:val="clear" w:color="auto" w:fill="auto"/>
        <w:bidi w:val="0"/>
        <w:spacing w:before="0" w:line="240" w:lineRule="auto"/>
        <w:ind w:left="720" w:right="0" w:firstLine="20"/>
        <w:jc w:val="left"/>
      </w:pPr>
      <w:r>
        <w:rPr>
          <w:color w:val="000000"/>
          <w:spacing w:val="0"/>
          <w:w w:val="100"/>
          <w:position w:val="0"/>
          <w:shd w:val="clear" w:color="auto" w:fill="auto"/>
          <w:lang w:val="cs-CZ" w:eastAsia="cs-CZ" w:bidi="cs-CZ"/>
        </w:rPr>
        <w:t>Pozemky: p. p. č. 906 v k. ú. Mukoděly a p. p. č. 1182, 1168/1, 1168/2, 934/3, 1168/8 v k. ú. Přibenice</w:t>
      </w:r>
    </w:p>
    <w:p>
      <w:pPr>
        <w:pStyle w:val="Style12"/>
        <w:keepNext/>
        <w:keepLines/>
        <w:widowControl w:val="0"/>
        <w:numPr>
          <w:ilvl w:val="0"/>
          <w:numId w:val="1"/>
        </w:numPr>
        <w:shd w:val="clear" w:color="auto" w:fill="auto"/>
        <w:tabs>
          <w:tab w:pos="382" w:val="left"/>
        </w:tabs>
        <w:bidi w:val="0"/>
        <w:spacing w:before="0" w:after="200" w:line="240" w:lineRule="auto"/>
        <w:ind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21"/>
      <w:bookmarkEnd w:id="22"/>
      <w:bookmarkEnd w:id="24"/>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Za předmět díla se dále považuje:</w:t>
      </w:r>
      <w:bookmarkEnd w:id="25"/>
      <w:bookmarkEnd w:id="26"/>
      <w:bookmarkEnd w:id="28"/>
    </w:p>
    <w:p>
      <w:pPr>
        <w:pStyle w:val="Style2"/>
        <w:keepNext w:val="0"/>
        <w:keepLines w:val="0"/>
        <w:widowControl w:val="0"/>
        <w:numPr>
          <w:ilvl w:val="0"/>
          <w:numId w:val="5"/>
        </w:numPr>
        <w:shd w:val="clear" w:color="auto" w:fill="auto"/>
        <w:tabs>
          <w:tab w:pos="817" w:val="left"/>
        </w:tabs>
        <w:bidi w:val="0"/>
        <w:spacing w:before="0" w:after="0" w:line="288" w:lineRule="auto"/>
        <w:ind w:left="800" w:right="0" w:hanging="380"/>
        <w:jc w:val="both"/>
      </w:pPr>
      <w:bookmarkStart w:id="29" w:name="bookmark29"/>
      <w:bookmarkEnd w:id="29"/>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p>
    <w:p>
      <w:pPr>
        <w:pStyle w:val="Style2"/>
        <w:keepNext w:val="0"/>
        <w:keepLines w:val="0"/>
        <w:widowControl w:val="0"/>
        <w:numPr>
          <w:ilvl w:val="0"/>
          <w:numId w:val="5"/>
        </w:numPr>
        <w:shd w:val="clear" w:color="auto" w:fill="auto"/>
        <w:tabs>
          <w:tab w:pos="817" w:val="left"/>
        </w:tabs>
        <w:bidi w:val="0"/>
        <w:spacing w:before="0" w:after="0" w:line="288" w:lineRule="auto"/>
        <w:ind w:left="800" w:right="0" w:hanging="380"/>
        <w:jc w:val="both"/>
      </w:pPr>
      <w:bookmarkStart w:id="30" w:name="bookmark30"/>
      <w:bookmarkEnd w:id="30"/>
      <w:r>
        <w:rPr>
          <w:color w:val="000000"/>
          <w:spacing w:val="0"/>
          <w:w w:val="100"/>
          <w:position w:val="0"/>
          <w:shd w:val="clear" w:color="auto" w:fill="auto"/>
          <w:lang w:val="cs-CZ" w:eastAsia="cs-CZ" w:bidi="cs-CZ"/>
        </w:rPr>
        <w:t>práce je třeba provádět uceleně v jednotlivých úsecích. Vždy je třeba kompletně dokončit práce v započatém úseku než budou práce zahájeny v dalším.</w:t>
      </w:r>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zdokumentování současného stavu, pro pozdější porovnání stavu po dokončení díla.</w:t>
      </w:r>
      <w:bookmarkEnd w:id="31"/>
      <w:bookmarkEnd w:id="32"/>
      <w:bookmarkEnd w:id="34"/>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pravidelné čištění a úklid příjezdových a manipulačních ploch,</w:t>
      </w:r>
      <w:bookmarkEnd w:id="35"/>
      <w:bookmarkEnd w:id="36"/>
      <w:bookmarkEnd w:id="38"/>
    </w:p>
    <w:p>
      <w:pPr>
        <w:pStyle w:val="Style12"/>
        <w:keepNext/>
        <w:keepLines/>
        <w:widowControl w:val="0"/>
        <w:numPr>
          <w:ilvl w:val="0"/>
          <w:numId w:val="5"/>
        </w:numPr>
        <w:shd w:val="clear" w:color="auto" w:fill="auto"/>
        <w:tabs>
          <w:tab w:pos="817" w:val="left"/>
        </w:tabs>
        <w:bidi w:val="0"/>
        <w:spacing w:before="0" w:after="0" w:line="240" w:lineRule="auto"/>
        <w:ind w:left="80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9"/>
      <w:bookmarkEnd w:id="40"/>
      <w:bookmarkEnd w:id="42"/>
    </w:p>
    <w:p>
      <w:pPr>
        <w:pStyle w:val="Style12"/>
        <w:keepNext/>
        <w:keepLines/>
        <w:widowControl w:val="0"/>
        <w:numPr>
          <w:ilvl w:val="0"/>
          <w:numId w:val="5"/>
        </w:numPr>
        <w:shd w:val="clear" w:color="auto" w:fill="auto"/>
        <w:tabs>
          <w:tab w:pos="817" w:val="left"/>
        </w:tabs>
        <w:bidi w:val="0"/>
        <w:spacing w:before="0" w:after="0" w:line="240" w:lineRule="auto"/>
        <w:ind w:left="800"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3"/>
      <w:bookmarkEnd w:id="44"/>
      <w:bookmarkEnd w:id="46"/>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zajištění povolení zvláštního užívání silnic, bude-li potřeba,</w:t>
      </w:r>
      <w:bookmarkEnd w:id="47"/>
      <w:bookmarkEnd w:id="48"/>
      <w:bookmarkEnd w:id="50"/>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povolení pálení a nahlášení pálení dřevní hmoty příslušným orgánům,</w:t>
      </w:r>
      <w:bookmarkEnd w:id="51"/>
      <w:bookmarkEnd w:id="52"/>
      <w:bookmarkEnd w:id="54"/>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průběžná taxace vytěžené dřevní hmoty,</w:t>
      </w:r>
      <w:bookmarkEnd w:id="55"/>
      <w:bookmarkEnd w:id="56"/>
      <w:bookmarkEnd w:id="58"/>
    </w:p>
    <w:p>
      <w:pPr>
        <w:pStyle w:val="Style12"/>
        <w:keepNext/>
        <w:keepLines/>
        <w:widowControl w:val="0"/>
        <w:numPr>
          <w:ilvl w:val="0"/>
          <w:numId w:val="5"/>
        </w:numPr>
        <w:shd w:val="clear" w:color="auto" w:fill="auto"/>
        <w:tabs>
          <w:tab w:pos="817" w:val="left"/>
        </w:tabs>
        <w:bidi w:val="0"/>
        <w:spacing w:before="0" w:after="0" w:line="240" w:lineRule="auto"/>
        <w:ind w:left="80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9"/>
      <w:bookmarkEnd w:id="60"/>
      <w:bookmarkEnd w:id="62"/>
    </w:p>
    <w:p>
      <w:pPr>
        <w:pStyle w:val="Style12"/>
        <w:keepNext/>
        <w:keepLines/>
        <w:widowControl w:val="0"/>
        <w:numPr>
          <w:ilvl w:val="0"/>
          <w:numId w:val="5"/>
        </w:numPr>
        <w:shd w:val="clear" w:color="auto" w:fill="auto"/>
        <w:tabs>
          <w:tab w:pos="817" w:val="left"/>
        </w:tabs>
        <w:bidi w:val="0"/>
        <w:spacing w:before="0" w:after="0" w:line="240" w:lineRule="auto"/>
        <w:ind w:left="800"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3"/>
      <w:bookmarkEnd w:id="64"/>
      <w:bookmarkEnd w:id="66"/>
    </w:p>
    <w:p>
      <w:pPr>
        <w:pStyle w:val="Style12"/>
        <w:keepNext/>
        <w:keepLines/>
        <w:widowControl w:val="0"/>
        <w:numPr>
          <w:ilvl w:val="0"/>
          <w:numId w:val="5"/>
        </w:numPr>
        <w:shd w:val="clear" w:color="auto" w:fill="auto"/>
        <w:tabs>
          <w:tab w:pos="817" w:val="left"/>
        </w:tabs>
        <w:bidi w:val="0"/>
        <w:spacing w:before="0" w:after="0" w:line="240" w:lineRule="auto"/>
        <w:ind w:left="800"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7"/>
      <w:bookmarkEnd w:id="68"/>
      <w:bookmarkEnd w:id="70"/>
    </w:p>
    <w:p>
      <w:pPr>
        <w:pStyle w:val="Style12"/>
        <w:keepNext/>
        <w:keepLines/>
        <w:widowControl w:val="0"/>
        <w:numPr>
          <w:ilvl w:val="0"/>
          <w:numId w:val="5"/>
        </w:numPr>
        <w:shd w:val="clear" w:color="auto" w:fill="auto"/>
        <w:tabs>
          <w:tab w:pos="874" w:val="left"/>
        </w:tabs>
        <w:bidi w:val="0"/>
        <w:spacing w:before="0" w:after="0" w:line="240" w:lineRule="auto"/>
        <w:ind w:left="800"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1"/>
      <w:bookmarkEnd w:id="72"/>
      <w:bookmarkEnd w:id="74"/>
    </w:p>
    <w:p>
      <w:pPr>
        <w:pStyle w:val="Style12"/>
        <w:keepNext/>
        <w:keepLines/>
        <w:widowControl w:val="0"/>
        <w:numPr>
          <w:ilvl w:val="0"/>
          <w:numId w:val="5"/>
        </w:numPr>
        <w:shd w:val="clear" w:color="auto" w:fill="auto"/>
        <w:tabs>
          <w:tab w:pos="874" w:val="left"/>
        </w:tabs>
        <w:bidi w:val="0"/>
        <w:spacing w:before="0" w:after="0" w:line="240" w:lineRule="auto"/>
        <w:ind w:left="800" w:right="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5"/>
      <w:bookmarkEnd w:id="76"/>
      <w:bookmarkEnd w:id="78"/>
    </w:p>
    <w:p>
      <w:pPr>
        <w:pStyle w:val="Style12"/>
        <w:keepNext/>
        <w:keepLines/>
        <w:widowControl w:val="0"/>
        <w:numPr>
          <w:ilvl w:val="0"/>
          <w:numId w:val="5"/>
        </w:numPr>
        <w:shd w:val="clear" w:color="auto" w:fill="auto"/>
        <w:tabs>
          <w:tab w:pos="874" w:val="left"/>
        </w:tabs>
        <w:bidi w:val="0"/>
        <w:spacing w:before="0" w:after="0" w:line="240" w:lineRule="auto"/>
        <w:ind w:left="800"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9"/>
      <w:bookmarkEnd w:id="80"/>
      <w:bookmarkEnd w:id="82"/>
    </w:p>
    <w:p>
      <w:pPr>
        <w:pStyle w:val="Style12"/>
        <w:keepNext/>
        <w:keepLines/>
        <w:widowControl w:val="0"/>
        <w:numPr>
          <w:ilvl w:val="0"/>
          <w:numId w:val="5"/>
        </w:numPr>
        <w:shd w:val="clear" w:color="auto" w:fill="auto"/>
        <w:tabs>
          <w:tab w:pos="834" w:val="left"/>
        </w:tabs>
        <w:bidi w:val="0"/>
        <w:spacing w:before="0" w:after="0" w:line="240" w:lineRule="auto"/>
        <w:ind w:left="0" w:right="0" w:firstLine="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zhotovitel zodpovídá za místo realizace zakázky i v době přerušení prací,</w:t>
      </w:r>
      <w:bookmarkEnd w:id="83"/>
      <w:bookmarkEnd w:id="84"/>
      <w:bookmarkEnd w:id="86"/>
    </w:p>
    <w:p>
      <w:pPr>
        <w:pStyle w:val="Style12"/>
        <w:keepNext/>
        <w:keepLines/>
        <w:widowControl w:val="0"/>
        <w:numPr>
          <w:ilvl w:val="0"/>
          <w:numId w:val="5"/>
        </w:numPr>
        <w:shd w:val="clear" w:color="auto" w:fill="auto"/>
        <w:tabs>
          <w:tab w:pos="874" w:val="left"/>
        </w:tabs>
        <w:bidi w:val="0"/>
        <w:spacing w:before="0" w:after="200" w:line="240" w:lineRule="auto"/>
        <w:ind w:left="800"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7"/>
      <w:bookmarkEnd w:id="88"/>
      <w:bookmarkEnd w:id="90"/>
    </w:p>
    <w:p>
      <w:pPr>
        <w:pStyle w:val="Style12"/>
        <w:keepNext/>
        <w:keepLines/>
        <w:widowControl w:val="0"/>
        <w:numPr>
          <w:ilvl w:val="0"/>
          <w:numId w:val="1"/>
        </w:numPr>
        <w:shd w:val="clear" w:color="auto" w:fill="auto"/>
        <w:tabs>
          <w:tab w:pos="382" w:val="left"/>
        </w:tabs>
        <w:bidi w:val="0"/>
        <w:spacing w:before="0" w:after="20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1"/>
      <w:bookmarkEnd w:id="92"/>
      <w:bookmarkEnd w:id="94"/>
    </w:p>
    <w:p>
      <w:pPr>
        <w:pStyle w:val="Style12"/>
        <w:keepNext/>
        <w:keepLines/>
        <w:widowControl w:val="0"/>
        <w:numPr>
          <w:ilvl w:val="0"/>
          <w:numId w:val="1"/>
        </w:numPr>
        <w:shd w:val="clear" w:color="auto" w:fill="auto"/>
        <w:tabs>
          <w:tab w:pos="382" w:val="left"/>
        </w:tabs>
        <w:bidi w:val="0"/>
        <w:spacing w:before="0" w:after="200" w:line="240" w:lineRule="auto"/>
        <w:ind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5"/>
      <w:bookmarkEnd w:id="96"/>
      <w:bookmarkEnd w:id="98"/>
    </w:p>
    <w:p>
      <w:pPr>
        <w:pStyle w:val="Style12"/>
        <w:keepNext/>
        <w:keepLines/>
        <w:widowControl w:val="0"/>
        <w:numPr>
          <w:ilvl w:val="0"/>
          <w:numId w:val="1"/>
        </w:numPr>
        <w:shd w:val="clear" w:color="auto" w:fill="auto"/>
        <w:tabs>
          <w:tab w:pos="382" w:val="left"/>
        </w:tabs>
        <w:bidi w:val="0"/>
        <w:spacing w:before="0" w:after="0" w:line="240" w:lineRule="auto"/>
        <w:ind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Objednatel předá zhotoviteli pracoviště (nebo jeho ucelenou část) prosté práv třetích osob.</w:t>
      </w:r>
      <w:bookmarkEnd w:id="100"/>
      <w:bookmarkEnd w:id="102"/>
      <w:bookmarkEnd w:id="99"/>
    </w:p>
    <w:p>
      <w:pPr>
        <w:pStyle w:val="Style12"/>
        <w:keepNext/>
        <w:keepLines/>
        <w:widowControl w:val="0"/>
        <w:shd w:val="clear" w:color="auto" w:fill="auto"/>
        <w:bidi w:val="0"/>
        <w:spacing w:before="0" w:after="200" w:line="240" w:lineRule="auto"/>
        <w:ind w:right="0" w:firstLine="4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3"/>
      <w:bookmarkEnd w:id="104"/>
      <w:bookmarkEnd w:id="105"/>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382" w:val="left"/>
        </w:tabs>
        <w:bidi w:val="0"/>
        <w:spacing w:before="0" w:after="140" w:line="240" w:lineRule="auto"/>
        <w:ind w:left="0" w:right="0" w:firstLine="0"/>
        <w:jc w:val="left"/>
      </w:pPr>
      <w:bookmarkStart w:id="106" w:name="bookmark106"/>
      <w:bookmarkEnd w:id="10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07" w:name="bookmark107"/>
      <w:bookmarkEnd w:id="107"/>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720" w:right="0" w:firstLine="4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left"/>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109" w:name="bookmark109"/>
      <w:bookmarkEnd w:id="109"/>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31.12.2025</w:t>
      </w:r>
    </w:p>
    <w:p>
      <w:pPr>
        <w:pStyle w:val="Style2"/>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110" w:name="bookmark110"/>
      <w:bookmarkEnd w:id="110"/>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after="200" w:line="240" w:lineRule="auto"/>
        <w:ind w:left="720" w:right="0" w:firstLine="4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7"/>
        </w:numPr>
        <w:shd w:val="clear" w:color="auto" w:fill="auto"/>
        <w:tabs>
          <w:tab w:pos="382" w:val="left"/>
        </w:tabs>
        <w:bidi w:val="0"/>
        <w:spacing w:before="0" w:after="140" w:line="288" w:lineRule="auto"/>
        <w:ind w:left="380" w:right="0" w:hanging="380"/>
        <w:jc w:val="both"/>
      </w:pPr>
      <w:bookmarkStart w:id="111" w:name="bookmark111"/>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0" w:right="0" w:firstLine="380"/>
        <w:jc w:val="both"/>
      </w:pPr>
      <w:r>
        <w:rPr>
          <w:b/>
          <w:bCs/>
          <w:color w:val="000000"/>
          <w:spacing w:val="0"/>
          <w:w w:val="100"/>
          <w:position w:val="0"/>
          <w:shd w:val="clear" w:color="auto" w:fill="auto"/>
          <w:lang w:val="cs-CZ" w:eastAsia="cs-CZ" w:bidi="cs-CZ"/>
        </w:rPr>
        <w:t>Cena za dílo: 186.800,00 Kč bez DPH</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76" w:val="left"/>
        </w:tabs>
        <w:bidi w:val="0"/>
        <w:spacing w:before="0" w:after="200" w:line="240" w:lineRule="auto"/>
        <w:ind w:left="380" w:right="0" w:hanging="380"/>
        <w:jc w:val="both"/>
      </w:pPr>
      <w:bookmarkStart w:id="115" w:name="bookmark115"/>
      <w:bookmarkEnd w:id="115"/>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42.164,00 Kč bez DPH </w:t>
      </w:r>
      <w:r>
        <w:rPr>
          <w:color w:val="000000"/>
          <w:spacing w:val="0"/>
          <w:w w:val="100"/>
          <w:position w:val="0"/>
          <w:shd w:val="clear" w:color="auto" w:fill="auto"/>
          <w:lang w:val="cs-CZ" w:eastAsia="cs-CZ" w:bidi="cs-CZ"/>
        </w:rPr>
        <w:t>(výpočet: 400 Kč bez DPH x 105,41plm). K ceně vytěžené dřevní hmoty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76"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6" w:val="left"/>
        </w:tabs>
        <w:bidi w:val="0"/>
        <w:spacing w:before="0" w:after="20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6" w:val="left"/>
        </w:tabs>
        <w:bidi w:val="0"/>
        <w:spacing w:before="0" w:after="200" w:line="240" w:lineRule="auto"/>
        <w:ind w:left="0" w:right="0" w:firstLine="0"/>
        <w:jc w:val="both"/>
      </w:pPr>
      <w:bookmarkStart w:id="118" w:name="bookmark118"/>
      <w:bookmarkEnd w:id="118"/>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76" w:val="left"/>
        </w:tabs>
        <w:bidi w:val="0"/>
        <w:spacing w:before="0" w:after="6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3"/>
        </w:numPr>
        <w:shd w:val="clear" w:color="auto" w:fill="auto"/>
        <w:tabs>
          <w:tab w:pos="376" w:val="left"/>
        </w:tabs>
        <w:bidi w:val="0"/>
        <w:spacing w:before="0" w:after="6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3"/>
        </w:numPr>
        <w:shd w:val="clear" w:color="auto" w:fill="auto"/>
        <w:tabs>
          <w:tab w:pos="376" w:val="left"/>
        </w:tabs>
        <w:bidi w:val="0"/>
        <w:spacing w:before="0" w:after="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76" w:val="left"/>
        </w:tabs>
        <w:bidi w:val="0"/>
        <w:spacing w:before="0" w:after="2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numPr>
          <w:ilvl w:val="0"/>
          <w:numId w:val="13"/>
        </w:numPr>
        <w:shd w:val="clear" w:color="auto" w:fill="auto"/>
        <w:tabs>
          <w:tab w:pos="376"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76" w:val="left"/>
        </w:tabs>
        <w:bidi w:val="0"/>
        <w:spacing w:before="0" w:after="20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76"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96"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96"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76" w:val="left"/>
        </w:tabs>
        <w:bidi w:val="0"/>
        <w:spacing w:before="0" w:after="0" w:line="240" w:lineRule="auto"/>
        <w:ind w:left="0" w:right="0" w:firstLine="0"/>
        <w:jc w:val="left"/>
      </w:pPr>
      <w:bookmarkStart w:id="137" w:name="bookmark137"/>
      <w:bookmarkEnd w:id="13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38" w:name="bookmark138"/>
      <w:bookmarkEnd w:id="13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39" w:name="bookmark139"/>
      <w:bookmarkEnd w:id="13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40" w:name="bookmark140"/>
      <w:bookmarkEnd w:id="14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59" w:val="left"/>
        </w:tabs>
        <w:bidi w:val="0"/>
        <w:spacing w:before="0" w:after="6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3"/>
        </w:numPr>
        <w:shd w:val="clear" w:color="auto" w:fill="auto"/>
        <w:tabs>
          <w:tab w:pos="359" w:val="left"/>
        </w:tabs>
        <w:bidi w:val="0"/>
        <w:spacing w:before="0" w:after="3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1"/>
      <w:bookmarkEnd w:id="152"/>
      <w:bookmarkEnd w:id="154"/>
    </w:p>
    <w:p>
      <w:pPr>
        <w:pStyle w:val="Style1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bezdůvodném přerušení prací zhotovitele, které trvá více než 14 dnů,</w:t>
      </w:r>
      <w:bookmarkEnd w:id="155"/>
      <w:bookmarkEnd w:id="156"/>
      <w:bookmarkEnd w:id="158"/>
    </w:p>
    <w:p>
      <w:pPr>
        <w:pStyle w:val="Style12"/>
        <w:keepNext/>
        <w:keepLines/>
        <w:widowControl w:val="0"/>
        <w:numPr>
          <w:ilvl w:val="0"/>
          <w:numId w:val="27"/>
        </w:numPr>
        <w:shd w:val="clear" w:color="auto" w:fill="auto"/>
        <w:tabs>
          <w:tab w:pos="1410" w:val="left"/>
        </w:tabs>
        <w:bidi w:val="0"/>
        <w:spacing w:before="0" w:after="0" w:line="240" w:lineRule="auto"/>
        <w:ind w:left="1160" w:right="0" w:hanging="3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59"/>
      <w:bookmarkEnd w:id="160"/>
      <w:bookmarkEnd w:id="162"/>
    </w:p>
    <w:p>
      <w:pPr>
        <w:pStyle w:val="Style12"/>
        <w:keepNext/>
        <w:keepLines/>
        <w:widowControl w:val="0"/>
        <w:numPr>
          <w:ilvl w:val="0"/>
          <w:numId w:val="27"/>
        </w:numPr>
        <w:shd w:val="clear" w:color="auto" w:fill="auto"/>
        <w:tabs>
          <w:tab w:pos="1179" w:val="left"/>
        </w:tabs>
        <w:bidi w:val="0"/>
        <w:spacing w:before="0" w:after="200" w:line="240" w:lineRule="auto"/>
        <w:ind w:left="0" w:right="0" w:firstLine="80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neplněním povinností zhotovitele vést řádně zápisy do stavebního deníku.</w:t>
      </w:r>
      <w:bookmarkEnd w:id="163"/>
      <w:bookmarkEnd w:id="164"/>
      <w:bookmarkEnd w:id="166"/>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 w:pos="3298" w:val="left"/>
          <w:tab w:pos="6106" w:val="left"/>
          <w:tab w:pos="8722" w:val="left"/>
        </w:tabs>
        <w:bidi w:val="0"/>
        <w:spacing w:before="0" w:after="0" w:line="240" w:lineRule="auto"/>
        <w:ind w:left="380" w:right="0" w:hanging="380"/>
        <w:jc w:val="left"/>
      </w:pPr>
      <w:bookmarkStart w:id="172" w:name="bookmark172"/>
      <w:bookmarkEnd w:id="172"/>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left"/>
      </w:pPr>
      <w:bookmarkStart w:id="173" w:name="bookmark173"/>
      <w:bookmarkEnd w:id="1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left"/>
      </w:pPr>
      <w:bookmarkStart w:id="174" w:name="bookmark174"/>
      <w:bookmarkEnd w:id="17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502" w:val="left"/>
        </w:tabs>
        <w:bidi w:val="0"/>
        <w:spacing w:before="0" w:after="20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502" w:val="left"/>
        </w:tabs>
        <w:bidi w:val="0"/>
        <w:spacing w:before="0" w:after="200" w:line="240" w:lineRule="auto"/>
        <w:ind w:left="380" w:right="0" w:hanging="380"/>
        <w:jc w:val="left"/>
      </w:pPr>
      <w:bookmarkStart w:id="176" w:name="bookmark176"/>
      <w:bookmarkEnd w:id="17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502" w:val="left"/>
        </w:tabs>
        <w:bidi w:val="0"/>
        <w:spacing w:before="0" w:after="200" w:line="240" w:lineRule="auto"/>
        <w:ind w:left="380" w:right="0" w:hanging="380"/>
        <w:jc w:val="left"/>
      </w:pPr>
      <w:bookmarkStart w:id="177" w:name="bookmark177"/>
      <w:bookmarkEnd w:id="17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502" w:val="left"/>
        </w:tabs>
        <w:bidi w:val="0"/>
        <w:spacing w:before="0" w:after="0" w:line="240" w:lineRule="auto"/>
        <w:ind w:left="380" w:right="0" w:hanging="380"/>
        <w:jc w:val="left"/>
      </w:pPr>
      <w:bookmarkStart w:id="178" w:name="bookmark178"/>
      <w:bookmarkEnd w:id="17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3) Příloha č. 1: Taxace dřevin 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700" w:line="240" w:lineRule="auto"/>
        <w:ind w:left="0" w:right="0" w:firstLine="0"/>
        <w:jc w:val="left"/>
      </w:pPr>
      <w:r>
        <mc:AlternateContent>
          <mc:Choice Requires="wps">
            <w:drawing>
              <wp:anchor distT="0" distB="0" distL="0" distR="0" simplePos="0" relativeHeight="125829380" behindDoc="0" locked="0" layoutInCell="1" allowOverlap="1">
                <wp:simplePos x="0" y="0"/>
                <wp:positionH relativeFrom="page">
                  <wp:posOffset>1802765</wp:posOffset>
                </wp:positionH>
                <wp:positionV relativeFrom="paragraph">
                  <wp:posOffset>152400</wp:posOffset>
                </wp:positionV>
                <wp:extent cx="539750" cy="225425"/>
                <wp:wrapSquare wrapText="bothSides"/>
                <wp:docPr id="7" name="Shape 7"/>
                <a:graphic xmlns:a="http://schemas.openxmlformats.org/drawingml/2006/main">
                  <a:graphicData uri="http://schemas.microsoft.com/office/word/2010/wordprocessingShape">
                    <wps:wsp>
                      <wps:cNvSpPr txBox="1"/>
                      <wps:spPr>
                        <a:xfrm>
                          <a:ext cx="539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wps:txbx>
                      <wps:bodyPr wrap="none" lIns="0" tIns="0" rIns="0" bIns="0">
                        <a:noAutoFit/>
                      </wps:bodyPr>
                    </wps:wsp>
                  </a:graphicData>
                </a:graphic>
              </wp:anchor>
            </w:drawing>
          </mc:Choice>
          <mc:Fallback>
            <w:pict>
              <v:shape id="_x0000_s1033" type="#_x0000_t202" style="position:absolute;margin-left:141.95000000000002pt;margin-top:12.pt;width:42.5pt;height:17.7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v:textbox>
                <w10:wrap type="square" anchorx="page"/>
              </v:shape>
            </w:pict>
          </mc:Fallback>
        </mc:AlternateContent>
      </w:r>
      <w:r>
        <w:rPr>
          <w:color w:val="000000"/>
          <w:spacing w:val="0"/>
          <w:w w:val="100"/>
          <w:position w:val="0"/>
          <w:shd w:val="clear" w:color="auto" w:fill="auto"/>
          <w:lang w:val="cs-CZ" w:eastAsia="cs-CZ" w:bidi="cs-CZ"/>
        </w:rPr>
        <w:t>Priorita 1) Příloha č. 4: Čestné prohlášení o společensky odpovědném plnění veřejné</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69" w:left="1375" w:right="1307" w:bottom="1249"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4088765</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94999999999999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11" w:left="0" w:right="0" w:bottom="14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pPr>
      <w:r>
        <w:rPr>
          <w:color w:val="000000"/>
          <w:spacing w:val="0"/>
          <w:w w:val="100"/>
          <w:position w:val="0"/>
          <w:shd w:val="clear" w:color="auto" w:fill="auto"/>
          <w:lang w:val="cs-CZ" w:eastAsia="cs-CZ" w:bidi="cs-CZ"/>
        </w:rPr>
        <w:t>Radek Kubač</w:t>
      </w:r>
    </w:p>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9959975</wp:posOffset>
              </wp:positionV>
              <wp:extent cx="673735" cy="161290"/>
              <wp:wrapNone/>
              <wp:docPr id="5" name="Shape 5"/>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71.69999999999999pt;margin-top:784.25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380365</wp:posOffset>
              </wp:positionV>
              <wp:extent cx="838200" cy="170815"/>
              <wp:wrapNone/>
              <wp:docPr id="3" name="Shape 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264.80000000000001pt;margin-top:29.949999999999999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