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7F529C42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B365C1">
        <w:rPr>
          <w:rFonts w:ascii="Arial" w:hAnsi="Arial"/>
          <w:spacing w:val="0"/>
          <w:kern w:val="0"/>
          <w:sz w:val="24"/>
          <w:szCs w:val="24"/>
        </w:rPr>
        <w:t>3</w:t>
      </w:r>
      <w:r w:rsidR="00B45FF0">
        <w:rPr>
          <w:rFonts w:ascii="Arial" w:hAnsi="Arial"/>
          <w:spacing w:val="0"/>
          <w:kern w:val="0"/>
          <w:sz w:val="24"/>
          <w:szCs w:val="24"/>
        </w:rPr>
        <w:t>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32C71231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8641E1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564712F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3F8AEE0D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B365C1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B365C1">
        <w:rPr>
          <w:rFonts w:ascii="Arial" w:hAnsi="Arial" w:cs="Arial"/>
          <w:sz w:val="20"/>
          <w:szCs w:val="22"/>
        </w:rPr>
        <w:t>Trpkošem</w:t>
      </w:r>
      <w:proofErr w:type="spellEnd"/>
      <w:r w:rsidR="00B365C1">
        <w:rPr>
          <w:rFonts w:ascii="Arial" w:hAnsi="Arial" w:cs="Arial"/>
          <w:sz w:val="20"/>
          <w:szCs w:val="22"/>
        </w:rPr>
        <w:t xml:space="preserve">, vrchním ředitelem sekce informačních technologií 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95AD5A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90CC9D4" w14:textId="77777777" w:rsidR="001D21DD" w:rsidRPr="00001F62" w:rsidRDefault="001D21DD" w:rsidP="001D21DD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01F62">
        <w:rPr>
          <w:rFonts w:ascii="Arial" w:hAnsi="Arial" w:cs="Arial"/>
          <w:b/>
          <w:bCs/>
          <w:color w:val="auto"/>
          <w:sz w:val="20"/>
          <w:szCs w:val="20"/>
        </w:rPr>
        <w:t xml:space="preserve">Ernst &amp; </w:t>
      </w:r>
      <w:proofErr w:type="spellStart"/>
      <w:r w:rsidRPr="00001F62">
        <w:rPr>
          <w:rFonts w:ascii="Arial" w:hAnsi="Arial" w:cs="Arial"/>
          <w:b/>
          <w:bCs/>
          <w:color w:val="auto"/>
          <w:sz w:val="20"/>
          <w:szCs w:val="20"/>
        </w:rPr>
        <w:t>Young</w:t>
      </w:r>
      <w:proofErr w:type="spellEnd"/>
      <w:r w:rsidRPr="00001F62">
        <w:rPr>
          <w:rFonts w:ascii="Arial" w:hAnsi="Arial" w:cs="Arial"/>
          <w:b/>
          <w:bCs/>
          <w:color w:val="auto"/>
          <w:sz w:val="20"/>
          <w:szCs w:val="20"/>
        </w:rPr>
        <w:t>, s.r.o.</w:t>
      </w:r>
    </w:p>
    <w:p w14:paraId="1AA78164" w14:textId="77777777" w:rsidR="001D21DD" w:rsidRPr="00A16B28" w:rsidRDefault="001D21DD" w:rsidP="001D21DD">
      <w:pPr>
        <w:pStyle w:val="Defaul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001F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01F62">
        <w:rPr>
          <w:rFonts w:ascii="Arial" w:hAnsi="Arial" w:cs="Arial"/>
          <w:bCs/>
          <w:color w:val="auto"/>
          <w:sz w:val="20"/>
          <w:szCs w:val="20"/>
        </w:rPr>
        <w:t>Na Florenci 2116/15, 110 00 Praha 1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271B95B9" w14:textId="77777777" w:rsidR="001D21DD" w:rsidRPr="00A16B28" w:rsidRDefault="001D21DD" w:rsidP="001D21D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26705338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684B9D1E" w14:textId="77777777" w:rsidR="001D21DD" w:rsidRPr="00A16B28" w:rsidRDefault="001D21DD" w:rsidP="001D21D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26705338</w:t>
      </w:r>
    </w:p>
    <w:p w14:paraId="37D7699B" w14:textId="1EA30A2C" w:rsidR="001D21DD" w:rsidRDefault="001D21DD" w:rsidP="001D21D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bookmarkStart w:id="0" w:name="_Hlk208562891"/>
      <w:r w:rsidR="000B6847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bookmarkEnd w:id="0"/>
    <w:p w14:paraId="27B10208" w14:textId="65ED52E5" w:rsidR="001D21DD" w:rsidRPr="001D21DD" w:rsidRDefault="001D21DD" w:rsidP="001D21D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č. účtu: </w:t>
      </w:r>
      <w:r>
        <w:rPr>
          <w:rFonts w:ascii="Arial" w:hAnsi="Arial" w:cs="Arial"/>
          <w:sz w:val="20"/>
          <w:szCs w:val="22"/>
        </w:rPr>
        <w:tab/>
      </w:r>
      <w:r w:rsidR="000B6847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5DFB33C0" w14:textId="77777777" w:rsidR="001D21DD" w:rsidRPr="00A16B28" w:rsidRDefault="001D21DD" w:rsidP="001D21D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Ing. Petrem Plecháčkem, na základě plné moci</w:t>
      </w:r>
    </w:p>
    <w:p w14:paraId="08FD41CB" w14:textId="77777777" w:rsidR="001D21DD" w:rsidRPr="00A16B28" w:rsidRDefault="001D21DD" w:rsidP="001D21D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>C,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>
        <w:rPr>
          <w:rFonts w:ascii="Arial" w:hAnsi="Arial" w:cs="Arial"/>
          <w:sz w:val="20"/>
          <w:szCs w:val="20"/>
        </w:rPr>
        <w:t xml:space="preserve"> 108716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151729E" w14:textId="1B06A1E5" w:rsidR="00DE017F" w:rsidRPr="000E3CD1" w:rsidRDefault="00F06FC1" w:rsidP="00DE017F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DE017F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8B4264" w:rsidRPr="00DE017F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772170" w:rsidRPr="00DE017F">
        <w:rPr>
          <w:rFonts w:ascii="Arial" w:hAnsi="Arial" w:cs="Arial"/>
          <w:sz w:val="20"/>
          <w:szCs w:val="20"/>
          <w:lang w:eastAsia="en-US"/>
        </w:rPr>
        <w:t>IT odborník</w:t>
      </w:r>
      <w:r w:rsidR="00DE017F" w:rsidRPr="00DE017F">
        <w:rPr>
          <w:rFonts w:ascii="Arial" w:hAnsi="Arial" w:cs="Arial"/>
          <w:sz w:val="20"/>
          <w:szCs w:val="20"/>
          <w:lang w:eastAsia="en-US"/>
        </w:rPr>
        <w:t>a</w:t>
      </w:r>
      <w:r w:rsidR="00772170" w:rsidRPr="00DE017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3CD1" w:rsidRPr="000E3CD1">
        <w:rPr>
          <w:rFonts w:ascii="Arial" w:hAnsi="Arial" w:cs="Arial"/>
          <w:sz w:val="20"/>
          <w:szCs w:val="20"/>
          <w:lang w:eastAsia="en-US"/>
        </w:rPr>
        <w:t>v oblasti business architektury a analýzy, které budou spočívat zejména v těchto činnostech, které jsou spojené s resortem MPSV (ÚP, ČSSZ</w:t>
      </w:r>
      <w:r w:rsidR="00DE017F" w:rsidRPr="00DE017F">
        <w:rPr>
          <w:rFonts w:ascii="Arial" w:hAnsi="Arial" w:cs="Arial"/>
          <w:sz w:val="20"/>
          <w:szCs w:val="20"/>
          <w:lang w:eastAsia="en-US"/>
        </w:rPr>
        <w:t>):</w:t>
      </w:r>
    </w:p>
    <w:p w14:paraId="0CA6F2AA" w14:textId="7D115947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zmapování jednotlivých procesů úřadu</w:t>
      </w:r>
      <w:r w:rsidR="00FD09E9">
        <w:rPr>
          <w:rFonts w:ascii="Arial" w:hAnsi="Arial" w:cs="Arial"/>
          <w:b w:val="0"/>
          <w:bCs/>
          <w:sz w:val="20"/>
          <w:szCs w:val="22"/>
        </w:rPr>
        <w:t xml:space="preserve"> –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</w:t>
      </w:r>
      <w:r w:rsidR="00FD09E9">
        <w:rPr>
          <w:rFonts w:ascii="Arial" w:hAnsi="Arial" w:cs="Arial"/>
          <w:b w:val="0"/>
          <w:bCs/>
          <w:sz w:val="20"/>
          <w:szCs w:val="22"/>
        </w:rPr>
        <w:t>v</w:t>
      </w:r>
      <w:r w:rsidRPr="00DE017F">
        <w:rPr>
          <w:rFonts w:ascii="Arial" w:hAnsi="Arial" w:cs="Arial"/>
          <w:b w:val="0"/>
          <w:bCs/>
          <w:sz w:val="20"/>
          <w:szCs w:val="22"/>
        </w:rPr>
        <w:t>e spolupráci s věcnými sekcemi návrh optimalizace procesů pro digitální i asistovanou obsluhu klientů; zohlednění klientského zážitku i pohledu náročnosti zpracování na straně úřadu a jeho efektivity;</w:t>
      </w:r>
    </w:p>
    <w:p w14:paraId="7BB8205F" w14:textId="0BF66FB1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identifikac</w:t>
      </w:r>
      <w:r>
        <w:rPr>
          <w:rFonts w:ascii="Arial" w:hAnsi="Arial" w:cs="Arial"/>
          <w:b w:val="0"/>
          <w:bCs/>
          <w:sz w:val="20"/>
          <w:szCs w:val="22"/>
        </w:rPr>
        <w:t>i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úzkých hrdel při zpracování jednotlivých procesů na základě měření a datové analýzy procesů a ve spolupráci s věcnými sekcemi ministerstva návrh</w:t>
      </w:r>
      <w:r>
        <w:rPr>
          <w:rFonts w:ascii="Arial" w:hAnsi="Arial" w:cs="Arial"/>
          <w:b w:val="0"/>
          <w:bCs/>
          <w:sz w:val="20"/>
          <w:szCs w:val="22"/>
        </w:rPr>
        <w:t>u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nápravných opatření;</w:t>
      </w:r>
    </w:p>
    <w:p w14:paraId="61BEDAB0" w14:textId="071B159C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identifikování činností vhodných k automatizaci v oblasti zvyšování efektivity, případně k centralizaci zpracování na specializovaná pracoviště;</w:t>
      </w:r>
    </w:p>
    <w:p w14:paraId="71D88DA4" w14:textId="28FD114A" w:rsidR="00DE017F" w:rsidRPr="00DE017F" w:rsidRDefault="00DE017F" w:rsidP="008208C1">
      <w:pPr>
        <w:pStyle w:val="RLlneksmlouvy"/>
        <w:numPr>
          <w:ilvl w:val="0"/>
          <w:numId w:val="49"/>
        </w:numPr>
        <w:spacing w:before="0" w:after="0" w:line="280" w:lineRule="atLeast"/>
        <w:ind w:left="1135" w:hanging="284"/>
        <w:rPr>
          <w:rFonts w:ascii="Arial" w:hAnsi="Arial" w:cs="Arial"/>
          <w:b w:val="0"/>
          <w:bCs/>
          <w:sz w:val="20"/>
          <w:szCs w:val="22"/>
        </w:rPr>
      </w:pPr>
      <w:r w:rsidRPr="00DE017F">
        <w:rPr>
          <w:rFonts w:ascii="Arial" w:hAnsi="Arial" w:cs="Arial"/>
          <w:b w:val="0"/>
          <w:bCs/>
          <w:sz w:val="20"/>
          <w:szCs w:val="22"/>
        </w:rPr>
        <w:t>příprav</w:t>
      </w:r>
      <w:r>
        <w:rPr>
          <w:rFonts w:ascii="Arial" w:hAnsi="Arial" w:cs="Arial"/>
          <w:b w:val="0"/>
          <w:bCs/>
          <w:sz w:val="20"/>
          <w:szCs w:val="22"/>
        </w:rPr>
        <w:t>ě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a analýz</w:t>
      </w:r>
      <w:r>
        <w:rPr>
          <w:rFonts w:ascii="Arial" w:hAnsi="Arial" w:cs="Arial"/>
          <w:b w:val="0"/>
          <w:bCs/>
          <w:sz w:val="20"/>
          <w:szCs w:val="22"/>
        </w:rPr>
        <w:t>e</w:t>
      </w:r>
      <w:r w:rsidRPr="00DE017F">
        <w:rPr>
          <w:rFonts w:ascii="Arial" w:hAnsi="Arial" w:cs="Arial"/>
          <w:b w:val="0"/>
          <w:bCs/>
          <w:sz w:val="20"/>
          <w:szCs w:val="22"/>
        </w:rPr>
        <w:t xml:space="preserve"> požadavků na změny do jednotlivých IT systémů úřadu</w:t>
      </w:r>
      <w:r>
        <w:rPr>
          <w:rFonts w:ascii="Arial" w:hAnsi="Arial" w:cs="Arial"/>
          <w:b w:val="0"/>
          <w:bCs/>
          <w:sz w:val="20"/>
          <w:szCs w:val="22"/>
        </w:rPr>
        <w:t>;</w:t>
      </w:r>
    </w:p>
    <w:p w14:paraId="6272667D" w14:textId="4903C02B" w:rsidR="00AD0064" w:rsidRPr="00AD0064" w:rsidRDefault="00AD0064" w:rsidP="00AD0064">
      <w:pPr>
        <w:spacing w:before="60" w:after="0" w:line="280" w:lineRule="atLeast"/>
        <w:ind w:left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“).</w:t>
      </w:r>
    </w:p>
    <w:p w14:paraId="0F8CDE0B" w14:textId="01872743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> poskytnutí Služeb prostřednictvím</w:t>
      </w:r>
      <w:r w:rsidRPr="00E470A8">
        <w:rPr>
          <w:rFonts w:ascii="Arial" w:hAnsi="Arial" w:cs="Arial"/>
          <w:sz w:val="20"/>
          <w:szCs w:val="20"/>
        </w:rPr>
        <w:t xml:space="preserve"> pozic</w:t>
      </w:r>
      <w:r w:rsidR="00C17BBD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0A7978">
        <w:rPr>
          <w:rFonts w:ascii="Arial" w:hAnsi="Arial" w:cs="Arial"/>
          <w:sz w:val="20"/>
          <w:szCs w:val="20"/>
        </w:rPr>
        <w:t>Subject</w:t>
      </w:r>
      <w:proofErr w:type="spellEnd"/>
      <w:r w:rsidR="000A79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7978">
        <w:rPr>
          <w:rFonts w:ascii="Arial" w:hAnsi="Arial" w:cs="Arial"/>
          <w:sz w:val="20"/>
          <w:szCs w:val="20"/>
        </w:rPr>
        <w:t>matter</w:t>
      </w:r>
      <w:proofErr w:type="spellEnd"/>
      <w:r w:rsidR="000A7978">
        <w:rPr>
          <w:rFonts w:ascii="Arial" w:hAnsi="Arial" w:cs="Arial"/>
          <w:sz w:val="20"/>
          <w:szCs w:val="20"/>
        </w:rPr>
        <w:t xml:space="preserve"> expert</w:t>
      </w:r>
      <w:r w:rsidRPr="00E470A8"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>předpokládaným rozsahem</w:t>
      </w:r>
      <w:r w:rsidR="00914BF8">
        <w:rPr>
          <w:rFonts w:ascii="Arial" w:hAnsi="Arial" w:cs="Arial"/>
          <w:sz w:val="20"/>
          <w:szCs w:val="20"/>
        </w:rPr>
        <w:t xml:space="preserve"> </w:t>
      </w:r>
      <w:r w:rsidR="000A7978">
        <w:rPr>
          <w:rFonts w:ascii="Arial" w:hAnsi="Arial" w:cs="Arial"/>
          <w:sz w:val="20"/>
          <w:szCs w:val="20"/>
        </w:rPr>
        <w:t>2</w:t>
      </w:r>
      <w:r w:rsidR="00DE017F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člověkodnů (MD)</w:t>
      </w:r>
      <w:r w:rsidR="00C17BBD">
        <w:rPr>
          <w:rFonts w:ascii="Arial" w:hAnsi="Arial" w:cs="Arial"/>
          <w:sz w:val="20"/>
          <w:szCs w:val="20"/>
        </w:rPr>
        <w:t>.</w:t>
      </w:r>
    </w:p>
    <w:p w14:paraId="649E8FA4" w14:textId="3066C137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C17BB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C17B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představuj</w:t>
      </w:r>
      <w:r w:rsidR="00C17B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BB495D">
        <w:rPr>
          <w:rFonts w:ascii="Arial" w:hAnsi="Arial" w:cs="Arial"/>
          <w:sz w:val="20"/>
          <w:szCs w:val="20"/>
        </w:rPr>
        <w:t xml:space="preserve">maximální </w:t>
      </w:r>
      <w:r>
        <w:rPr>
          <w:rFonts w:ascii="Arial" w:hAnsi="Arial" w:cs="Arial"/>
          <w:sz w:val="20"/>
          <w:szCs w:val="20"/>
        </w:rPr>
        <w:t>poč</w:t>
      </w:r>
      <w:r w:rsidR="00C17BB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E54049">
        <w:rPr>
          <w:rFonts w:ascii="Arial" w:hAnsi="Arial" w:cs="Arial"/>
          <w:sz w:val="20"/>
          <w:szCs w:val="20"/>
        </w:rPr>
        <w:t xml:space="preserve">dané </w:t>
      </w:r>
      <w:r>
        <w:rPr>
          <w:rFonts w:ascii="Arial" w:hAnsi="Arial" w:cs="Arial"/>
          <w:sz w:val="20"/>
          <w:szCs w:val="20"/>
        </w:rPr>
        <w:t>rol</w:t>
      </w:r>
      <w:r w:rsidR="00E540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</w:t>
      </w:r>
      <w:r w:rsidR="00E54049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C87BE7">
        <w:rPr>
          <w:rFonts w:ascii="Arial" w:hAnsi="Arial" w:cs="Arial"/>
          <w:sz w:val="20"/>
          <w:szCs w:val="20"/>
        </w:rPr>
        <w:t xml:space="preserve"> pro dan</w:t>
      </w:r>
      <w:r w:rsidR="00E54049">
        <w:rPr>
          <w:rFonts w:ascii="Arial" w:hAnsi="Arial" w:cs="Arial"/>
          <w:sz w:val="20"/>
          <w:szCs w:val="20"/>
        </w:rPr>
        <w:t>ou</w:t>
      </w:r>
      <w:r w:rsidR="00C87BE7">
        <w:rPr>
          <w:rFonts w:ascii="Arial" w:hAnsi="Arial" w:cs="Arial"/>
          <w:sz w:val="20"/>
          <w:szCs w:val="20"/>
        </w:rPr>
        <w:t xml:space="preserve"> rol</w:t>
      </w:r>
      <w:r w:rsidR="00E54049">
        <w:rPr>
          <w:rFonts w:ascii="Arial" w:hAnsi="Arial" w:cs="Arial"/>
          <w:sz w:val="20"/>
          <w:szCs w:val="20"/>
        </w:rPr>
        <w:t>i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</w:t>
      </w:r>
      <w:r w:rsidR="00BB495D">
        <w:rPr>
          <w:rFonts w:ascii="Arial" w:hAnsi="Arial" w:cs="Arial"/>
          <w:sz w:val="20"/>
          <w:szCs w:val="20"/>
        </w:rPr>
        <w:t xml:space="preserve">maximální </w:t>
      </w:r>
      <w:r>
        <w:rPr>
          <w:rFonts w:ascii="Arial" w:hAnsi="Arial" w:cs="Arial"/>
          <w:sz w:val="20"/>
          <w:szCs w:val="20"/>
        </w:rPr>
        <w:t>počet.</w:t>
      </w:r>
    </w:p>
    <w:p w14:paraId="01BC14BA" w14:textId="64468B3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E54049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E54049">
        <w:rPr>
          <w:rFonts w:ascii="Arial" w:hAnsi="Arial" w:cs="Arial"/>
          <w:sz w:val="20"/>
          <w:szCs w:val="20"/>
        </w:rPr>
        <w:t>ého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AD0064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9E35D37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 xml:space="preserve">ena za </w:t>
      </w:r>
      <w:r w:rsidR="00031BEC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</w:t>
      </w:r>
      <w:r w:rsidR="00031BEC">
        <w:rPr>
          <w:rFonts w:ascii="Arial" w:hAnsi="Arial" w:cs="Arial"/>
          <w:sz w:val="20"/>
          <w:szCs w:val="20"/>
        </w:rPr>
        <w:t>MD</w:t>
      </w:r>
      <w:r w:rsidRPr="00793B3D">
        <w:rPr>
          <w:rFonts w:ascii="Arial" w:hAnsi="Arial" w:cs="Arial"/>
          <w:sz w:val="20"/>
          <w:szCs w:val="20"/>
        </w:rPr>
        <w:t xml:space="preserve"> (tj. 8 hodin) s ohledem na</w:t>
      </w:r>
      <w:r w:rsidR="00031BEC">
        <w:rPr>
          <w:rFonts w:ascii="Arial" w:hAnsi="Arial" w:cs="Arial"/>
          <w:sz w:val="20"/>
          <w:szCs w:val="20"/>
        </w:rPr>
        <w:t> </w:t>
      </w:r>
      <w:r w:rsidRPr="00793B3D">
        <w:rPr>
          <w:rFonts w:ascii="Arial" w:hAnsi="Arial" w:cs="Arial"/>
          <w:sz w:val="20"/>
          <w:szCs w:val="20"/>
        </w:rPr>
        <w:t>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BB495D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za </w:t>
      </w:r>
      <w:r w:rsidR="00BB495D">
        <w:rPr>
          <w:rFonts w:ascii="Arial" w:hAnsi="Arial" w:cs="Arial"/>
          <w:sz w:val="20"/>
          <w:szCs w:val="20"/>
        </w:rPr>
        <w:t>danou roli je</w:t>
      </w:r>
      <w:r w:rsidRPr="00793B3D">
        <w:rPr>
          <w:rFonts w:ascii="Arial" w:hAnsi="Arial" w:cs="Arial"/>
          <w:sz w:val="20"/>
          <w:szCs w:val="20"/>
        </w:rPr>
        <w:t xml:space="preserve"> </w:t>
      </w:r>
      <w:r w:rsidRPr="00AD0064">
        <w:rPr>
          <w:rFonts w:ascii="Arial" w:hAnsi="Arial" w:cs="Arial"/>
          <w:sz w:val="20"/>
          <w:szCs w:val="20"/>
        </w:rPr>
        <w:t>uveden</w:t>
      </w:r>
      <w:r w:rsidR="00BB495D">
        <w:rPr>
          <w:rFonts w:ascii="Arial" w:hAnsi="Arial" w:cs="Arial"/>
          <w:sz w:val="20"/>
          <w:szCs w:val="20"/>
        </w:rPr>
        <w:t>a</w:t>
      </w:r>
      <w:r w:rsidRPr="00AD0064">
        <w:rPr>
          <w:rFonts w:ascii="Arial" w:hAnsi="Arial" w:cs="Arial"/>
          <w:sz w:val="20"/>
          <w:szCs w:val="20"/>
        </w:rPr>
        <w:t xml:space="preserve"> v Příloze č. </w:t>
      </w:r>
      <w:r w:rsidR="00AD0064" w:rsidRPr="00AD0064">
        <w:rPr>
          <w:rFonts w:ascii="Arial" w:hAnsi="Arial" w:cs="Arial"/>
          <w:sz w:val="20"/>
          <w:szCs w:val="20"/>
        </w:rPr>
        <w:t>1</w:t>
      </w:r>
      <w:r w:rsidRPr="00AD0064">
        <w:rPr>
          <w:rFonts w:ascii="Arial" w:hAnsi="Arial" w:cs="Arial"/>
          <w:sz w:val="20"/>
          <w:szCs w:val="20"/>
        </w:rPr>
        <w:t xml:space="preserve"> této Dílčí</w:t>
      </w:r>
      <w:r>
        <w:rPr>
          <w:rFonts w:ascii="Arial" w:hAnsi="Arial" w:cs="Arial"/>
          <w:sz w:val="20"/>
          <w:szCs w:val="20"/>
        </w:rPr>
        <w:t xml:space="preserve">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421C56C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1D21DD">
        <w:rPr>
          <w:rFonts w:ascii="Arial" w:hAnsi="Arial" w:cs="Arial"/>
          <w:sz w:val="20"/>
          <w:szCs w:val="20"/>
          <w:lang w:eastAsia="en-US"/>
        </w:rPr>
        <w:t xml:space="preserve"> 3 360 000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49DC883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E54049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E54049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09B8174D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F769F4">
        <w:rPr>
          <w:rFonts w:ascii="Arial" w:hAnsi="Arial" w:cs="Arial"/>
          <w:sz w:val="20"/>
          <w:szCs w:val="20"/>
          <w:lang w:eastAsia="en-US"/>
        </w:rPr>
        <w:t>na 12 měsíců ode dne nabytí účinnosti smlouvy</w:t>
      </w:r>
      <w:r w:rsidRPr="0081639B"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</w:t>
      </w:r>
      <w:r>
        <w:rPr>
          <w:rFonts w:ascii="Arial" w:hAnsi="Arial" w:cs="Arial"/>
          <w:sz w:val="20"/>
          <w:szCs w:val="20"/>
          <w:lang w:eastAsia="en-US"/>
        </w:rPr>
        <w:t xml:space="preserve">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50AE61A8" w14:textId="3450CB8F" w:rsidR="008641E1" w:rsidRDefault="008641E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8C2F10F" w14:textId="77777777" w:rsidR="00D61FFA" w:rsidRPr="00A16B28" w:rsidRDefault="00D61FFA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0154D224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1D21DD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1D21DD">
        <w:trPr>
          <w:trHeight w:val="1863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0CA362E4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2529E48" w14:textId="77777777" w:rsidR="001227A2" w:rsidRDefault="001D21DD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F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Ernst &amp; </w:t>
            </w:r>
            <w:proofErr w:type="spellStart"/>
            <w:r w:rsidRPr="00001F62">
              <w:rPr>
                <w:rFonts w:ascii="Arial" w:hAnsi="Arial" w:cs="Arial"/>
                <w:b/>
                <w:bCs/>
                <w:sz w:val="20"/>
                <w:szCs w:val="20"/>
              </w:rPr>
              <w:t>Young</w:t>
            </w:r>
            <w:proofErr w:type="spellEnd"/>
            <w:r w:rsidRPr="00001F62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  <w:p w14:paraId="63990D6F" w14:textId="73156F3C" w:rsidR="001D21DD" w:rsidRPr="00A16B28" w:rsidRDefault="001D21DD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C0A46" w14:textId="71975B55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15E5112E" w14:textId="29A6A2B2" w:rsidR="00D61FFA" w:rsidRDefault="00D61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07412C" w14:textId="77777777" w:rsidR="00D61FFA" w:rsidRDefault="00D61FFA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365224B2" w14:textId="77777777" w:rsidR="002E271A" w:rsidRDefault="002E271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0DBD682C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2C3ED9" w:rsidRPr="00A5360B" w14:paraId="7A55DB79" w14:textId="77777777" w:rsidTr="002E271A">
        <w:trPr>
          <w:trHeight w:val="464"/>
        </w:trPr>
        <w:tc>
          <w:tcPr>
            <w:tcW w:w="2405" w:type="dxa"/>
            <w:shd w:val="clear" w:color="auto" w:fill="auto"/>
            <w:vAlign w:val="center"/>
          </w:tcPr>
          <w:p w14:paraId="48BB9C81" w14:textId="2B3E9818" w:rsidR="002C3ED9" w:rsidRPr="00AA4914" w:rsidRDefault="002E271A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Subject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matter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expert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346B8B6C" w:rsidR="002C3ED9" w:rsidRPr="002224C8" w:rsidRDefault="000B6847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BAC40" w14:textId="1B5D9548" w:rsidR="002C3ED9" w:rsidRPr="00BB2C2E" w:rsidRDefault="002C3ED9" w:rsidP="002E27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36156E1F" w:rsidR="002C3ED9" w:rsidRPr="002224C8" w:rsidRDefault="001D21DD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D21DD"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8208C1">
      <w:headerReference w:type="default" r:id="rId11"/>
      <w:pgSz w:w="11906" w:h="16838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8F90" w14:textId="77777777" w:rsidR="00157833" w:rsidRDefault="00157833">
      <w:r>
        <w:separator/>
      </w:r>
    </w:p>
  </w:endnote>
  <w:endnote w:type="continuationSeparator" w:id="0">
    <w:p w14:paraId="45B17F44" w14:textId="77777777" w:rsidR="00157833" w:rsidRDefault="00157833">
      <w:r>
        <w:continuationSeparator/>
      </w:r>
    </w:p>
  </w:endnote>
  <w:endnote w:type="continuationNotice" w:id="1">
    <w:p w14:paraId="62C87768" w14:textId="77777777" w:rsidR="00157833" w:rsidRDefault="00157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812E" w14:textId="77777777" w:rsidR="00157833" w:rsidRDefault="00157833">
      <w:r>
        <w:separator/>
      </w:r>
    </w:p>
  </w:footnote>
  <w:footnote w:type="continuationSeparator" w:id="0">
    <w:p w14:paraId="545405A9" w14:textId="77777777" w:rsidR="00157833" w:rsidRDefault="00157833">
      <w:r>
        <w:continuationSeparator/>
      </w:r>
    </w:p>
  </w:footnote>
  <w:footnote w:type="continuationNotice" w:id="1">
    <w:p w14:paraId="1CE3431B" w14:textId="77777777" w:rsidR="00157833" w:rsidRDefault="00157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1D04" w14:textId="2E82C631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296359012" o:spid="_x0000_i1026" type="#_x0000_t75" style="width:180pt;height:136.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9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30" type="#_x0000_t75" style="width:7.5pt;height:7.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CBD64FE"/>
    <w:multiLevelType w:val="hybridMultilevel"/>
    <w:tmpl w:val="46D01F0C"/>
    <w:lvl w:ilvl="0" w:tplc="0B6479C4">
      <w:start w:val="1"/>
      <w:numFmt w:val="bullet"/>
      <w:lvlText w:val="-"/>
      <w:lvlJc w:val="left"/>
      <w:pPr>
        <w:ind w:left="1457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7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5"/>
  </w:num>
  <w:num w:numId="8" w16cid:durableId="2060742888">
    <w:abstractNumId w:val="48"/>
  </w:num>
  <w:num w:numId="9" w16cid:durableId="745686164">
    <w:abstractNumId w:val="30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2"/>
  </w:num>
  <w:num w:numId="13" w16cid:durableId="654459808">
    <w:abstractNumId w:val="31"/>
  </w:num>
  <w:num w:numId="14" w16cid:durableId="463155709">
    <w:abstractNumId w:val="11"/>
  </w:num>
  <w:num w:numId="15" w16cid:durableId="2120103895">
    <w:abstractNumId w:val="41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29"/>
  </w:num>
  <w:num w:numId="21" w16cid:durableId="106316517">
    <w:abstractNumId w:val="36"/>
  </w:num>
  <w:num w:numId="22" w16cid:durableId="1418865306">
    <w:abstractNumId w:val="40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39"/>
  </w:num>
  <w:num w:numId="28" w16cid:durableId="758210841">
    <w:abstractNumId w:val="45"/>
  </w:num>
  <w:num w:numId="29" w16cid:durableId="359165940">
    <w:abstractNumId w:val="47"/>
  </w:num>
  <w:num w:numId="30" w16cid:durableId="2027823902">
    <w:abstractNumId w:val="24"/>
  </w:num>
  <w:num w:numId="31" w16cid:durableId="1480613658">
    <w:abstractNumId w:val="34"/>
  </w:num>
  <w:num w:numId="32" w16cid:durableId="112411444">
    <w:abstractNumId w:val="43"/>
  </w:num>
  <w:num w:numId="33" w16cid:durableId="1384864722">
    <w:abstractNumId w:val="33"/>
  </w:num>
  <w:num w:numId="34" w16cid:durableId="1364398714">
    <w:abstractNumId w:val="28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5"/>
  </w:num>
  <w:num w:numId="42" w16cid:durableId="79330020">
    <w:abstractNumId w:val="21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6"/>
  </w:num>
  <w:num w:numId="47" w16cid:durableId="1609387607">
    <w:abstractNumId w:val="38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66889071">
    <w:abstractNumId w:val="46"/>
  </w:num>
  <w:num w:numId="50" w16cid:durableId="155499697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1BEC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4C1"/>
    <w:rsid w:val="000A09BB"/>
    <w:rsid w:val="000A10D7"/>
    <w:rsid w:val="000A1393"/>
    <w:rsid w:val="000A2AB5"/>
    <w:rsid w:val="000A589D"/>
    <w:rsid w:val="000A6746"/>
    <w:rsid w:val="000A6CF2"/>
    <w:rsid w:val="000A7978"/>
    <w:rsid w:val="000A7BEF"/>
    <w:rsid w:val="000B0C12"/>
    <w:rsid w:val="000B0C6A"/>
    <w:rsid w:val="000B13C6"/>
    <w:rsid w:val="000B31E3"/>
    <w:rsid w:val="000B419C"/>
    <w:rsid w:val="000B6158"/>
    <w:rsid w:val="000B6847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3CD1"/>
    <w:rsid w:val="000E415A"/>
    <w:rsid w:val="000E44AA"/>
    <w:rsid w:val="000E4774"/>
    <w:rsid w:val="000E4D22"/>
    <w:rsid w:val="000E6992"/>
    <w:rsid w:val="000E71A3"/>
    <w:rsid w:val="000E773A"/>
    <w:rsid w:val="000F03A2"/>
    <w:rsid w:val="000F0BE4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833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1DD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3ED9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271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066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B0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539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09DB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BC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17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DE8"/>
    <w:rsid w:val="00807EE7"/>
    <w:rsid w:val="00810C6E"/>
    <w:rsid w:val="008121C1"/>
    <w:rsid w:val="0081328E"/>
    <w:rsid w:val="00813A45"/>
    <w:rsid w:val="008146B2"/>
    <w:rsid w:val="008146D9"/>
    <w:rsid w:val="008162FE"/>
    <w:rsid w:val="0081639B"/>
    <w:rsid w:val="0081688B"/>
    <w:rsid w:val="00816F34"/>
    <w:rsid w:val="00817531"/>
    <w:rsid w:val="008177AE"/>
    <w:rsid w:val="008203DA"/>
    <w:rsid w:val="008208C1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41E1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BF8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064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5C1"/>
    <w:rsid w:val="00B36C4B"/>
    <w:rsid w:val="00B370FD"/>
    <w:rsid w:val="00B376B5"/>
    <w:rsid w:val="00B40167"/>
    <w:rsid w:val="00B403F9"/>
    <w:rsid w:val="00B42041"/>
    <w:rsid w:val="00B42DA0"/>
    <w:rsid w:val="00B431A4"/>
    <w:rsid w:val="00B435F9"/>
    <w:rsid w:val="00B439F3"/>
    <w:rsid w:val="00B45D0F"/>
    <w:rsid w:val="00B45FF0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495D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9BD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BBD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AB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3F4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868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70"/>
    <w:rsid w:val="00D61E06"/>
    <w:rsid w:val="00D61E6A"/>
    <w:rsid w:val="00D61FF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17F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3CF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049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80F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4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9E9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1054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19</cp:revision>
  <cp:lastPrinted>2022-11-22T11:37:00Z</cp:lastPrinted>
  <dcterms:created xsi:type="dcterms:W3CDTF">2025-05-02T09:11:00Z</dcterms:created>
  <dcterms:modified xsi:type="dcterms:W3CDTF">2025-09-12T07:48:00Z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