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6E" w:rsidRDefault="00CE2BA0">
      <w:pPr>
        <w:pStyle w:val="Heading310"/>
        <w:framePr w:w="9787" w:h="367" w:hRule="exact" w:wrap="none" w:vAnchor="page" w:hAnchor="page" w:x="1096" w:y="881"/>
        <w:shd w:val="clear" w:color="auto" w:fill="auto"/>
        <w:spacing w:after="0"/>
        <w:ind w:right="20"/>
      </w:pPr>
      <w:bookmarkStart w:id="0" w:name="bookmark0"/>
      <w:r>
        <w:t>Smlouva o administraci projektu</w:t>
      </w:r>
      <w:bookmarkEnd w:id="0"/>
    </w:p>
    <w:p w:rsidR="002D036E" w:rsidRDefault="00CE2BA0">
      <w:pPr>
        <w:pStyle w:val="Heading410"/>
        <w:framePr w:w="9787" w:h="1157" w:hRule="exact" w:wrap="none" w:vAnchor="page" w:hAnchor="page" w:x="1096" w:y="1380"/>
        <w:shd w:val="clear" w:color="auto" w:fill="auto"/>
        <w:spacing w:before="0"/>
      </w:pPr>
      <w:bookmarkStart w:id="1" w:name="bookmark1"/>
      <w:r>
        <w:t>Poskytovatel služby:</w:t>
      </w:r>
      <w:bookmarkEnd w:id="1"/>
    </w:p>
    <w:p w:rsidR="002D036E" w:rsidRDefault="00CE2BA0">
      <w:pPr>
        <w:pStyle w:val="Bodytext30"/>
        <w:framePr w:w="9787" w:h="1157" w:hRule="exact" w:wrap="none" w:vAnchor="page" w:hAnchor="page" w:x="1096" w:y="1380"/>
        <w:shd w:val="clear" w:color="auto" w:fill="auto"/>
      </w:pPr>
      <w:r>
        <w:t>Type.Bo s.r.o.</w:t>
      </w:r>
    </w:p>
    <w:p w:rsidR="002D036E" w:rsidRDefault="00CE2BA0">
      <w:pPr>
        <w:pStyle w:val="Bodytext20"/>
        <w:framePr w:w="9787" w:h="1157" w:hRule="exact" w:wrap="none" w:vAnchor="page" w:hAnchor="page" w:x="1096" w:y="1380"/>
        <w:shd w:val="clear" w:color="auto" w:fill="auto"/>
        <w:tabs>
          <w:tab w:val="left" w:pos="2108"/>
        </w:tabs>
        <w:ind w:firstLine="0"/>
      </w:pPr>
      <w:r>
        <w:t>Se sídlem:</w:t>
      </w:r>
      <w:r>
        <w:tab/>
        <w:t>Klapková 1874/83, 18200 Praha 8- Kobylisy</w:t>
      </w:r>
    </w:p>
    <w:p w:rsidR="002D036E" w:rsidRDefault="00CE2BA0">
      <w:pPr>
        <w:pStyle w:val="Bodytext20"/>
        <w:framePr w:w="9787" w:h="1157" w:hRule="exact" w:wrap="none" w:vAnchor="page" w:hAnchor="page" w:x="1096" w:y="1380"/>
        <w:shd w:val="clear" w:color="auto" w:fill="auto"/>
        <w:tabs>
          <w:tab w:val="left" w:pos="2108"/>
        </w:tabs>
        <w:ind w:firstLine="0"/>
      </w:pPr>
      <w:r>
        <w:t>IČ:</w:t>
      </w:r>
      <w:r>
        <w:tab/>
        <w:t>14305356</w:t>
      </w:r>
    </w:p>
    <w:p w:rsidR="002D036E" w:rsidRDefault="00CE2BA0">
      <w:pPr>
        <w:pStyle w:val="Bodytext20"/>
        <w:framePr w:w="9787" w:h="883" w:hRule="exact" w:wrap="none" w:vAnchor="page" w:hAnchor="page" w:x="1096" w:y="2484"/>
        <w:shd w:val="clear" w:color="auto" w:fill="auto"/>
        <w:tabs>
          <w:tab w:val="left" w:pos="2108"/>
        </w:tabs>
        <w:ind w:firstLine="0"/>
      </w:pPr>
      <w:r>
        <w:t>Zastoupena:</w:t>
      </w:r>
      <w:r>
        <w:tab/>
        <w:t>Bc. Veronikou Bočkovou, jednatelem společnosti</w:t>
      </w:r>
    </w:p>
    <w:p w:rsidR="002D036E" w:rsidRDefault="00CE2BA0">
      <w:pPr>
        <w:pStyle w:val="Bodytext20"/>
        <w:framePr w:w="9787" w:h="883" w:hRule="exact" w:wrap="none" w:vAnchor="page" w:hAnchor="page" w:x="1096" w:y="2484"/>
        <w:shd w:val="clear" w:color="auto" w:fill="auto"/>
        <w:tabs>
          <w:tab w:val="left" w:pos="2108"/>
        </w:tabs>
        <w:ind w:firstLine="0"/>
      </w:pPr>
      <w:r>
        <w:t>Kontaktní údaje</w:t>
      </w:r>
      <w:r>
        <w:rPr>
          <w:rStyle w:val="Bodytext21"/>
        </w:rPr>
        <w:t xml:space="preserve">  </w:t>
      </w:r>
    </w:p>
    <w:p w:rsidR="002D036E" w:rsidRDefault="00CE2BA0">
      <w:pPr>
        <w:pStyle w:val="Bodytext20"/>
        <w:framePr w:w="9787" w:h="883" w:hRule="exact" w:wrap="none" w:vAnchor="page" w:hAnchor="page" w:x="1096" w:y="2484"/>
        <w:shd w:val="clear" w:color="auto" w:fill="auto"/>
        <w:ind w:firstLine="0"/>
      </w:pPr>
      <w:r>
        <w:t>(dále „Poskytovatel</w:t>
      </w:r>
      <w:r>
        <w:rPr>
          <w:vertAlign w:val="superscript"/>
        </w:rPr>
        <w:t>14</w:t>
      </w:r>
      <w:r>
        <w:t>)</w:t>
      </w:r>
    </w:p>
    <w:p w:rsidR="002D036E" w:rsidRDefault="00CE2BA0">
      <w:pPr>
        <w:pStyle w:val="Heading410"/>
        <w:framePr w:w="9787" w:h="1440" w:hRule="exact" w:wrap="none" w:vAnchor="page" w:hAnchor="page" w:x="1096" w:y="3588"/>
        <w:shd w:val="clear" w:color="auto" w:fill="auto"/>
        <w:spacing w:before="0"/>
      </w:pPr>
      <w:bookmarkStart w:id="2" w:name="bookmark2"/>
      <w:r>
        <w:t>Příjemce služby</w:t>
      </w:r>
      <w:bookmarkEnd w:id="2"/>
    </w:p>
    <w:p w:rsidR="002D036E" w:rsidRDefault="00CE2BA0">
      <w:pPr>
        <w:pStyle w:val="Bodytext20"/>
        <w:framePr w:w="9787" w:h="1440" w:hRule="exact" w:wrap="none" w:vAnchor="page" w:hAnchor="page" w:x="1096" w:y="3588"/>
        <w:shd w:val="clear" w:color="auto" w:fill="auto"/>
        <w:ind w:right="600" w:firstLine="0"/>
        <w:jc w:val="left"/>
      </w:pPr>
      <w:r>
        <w:t xml:space="preserve">Základní škola a Mateřská škola Emy Destinnové, Praha 6, náměstí Svobody 3/930 se sídlem náměstí Svobody 3/930, 160 00 Praha 6, IČ 48133892, zastoupená statutárním zástupcem Otou </w:t>
      </w:r>
      <w:r>
        <w:t>Bažantem, ředitelem školy (dále jen „Příjemce</w:t>
      </w:r>
      <w:r>
        <w:rPr>
          <w:vertAlign w:val="superscript"/>
        </w:rPr>
        <w:t>11</w:t>
      </w:r>
      <w:r>
        <w:t>)</w:t>
      </w:r>
    </w:p>
    <w:p w:rsidR="002D036E" w:rsidRDefault="00CE2BA0">
      <w:pPr>
        <w:pStyle w:val="Heading410"/>
        <w:framePr w:w="9787" w:h="1678" w:hRule="exact" w:wrap="none" w:vAnchor="page" w:hAnchor="page" w:x="1096" w:y="5620"/>
        <w:numPr>
          <w:ilvl w:val="0"/>
          <w:numId w:val="1"/>
        </w:numPr>
        <w:shd w:val="clear" w:color="auto" w:fill="auto"/>
        <w:tabs>
          <w:tab w:val="left" w:pos="4565"/>
        </w:tabs>
        <w:spacing w:before="0" w:after="155" w:line="266" w:lineRule="exact"/>
        <w:ind w:left="3840"/>
        <w:jc w:val="left"/>
      </w:pPr>
      <w:bookmarkStart w:id="3" w:name="bookmark3"/>
      <w:r>
        <w:t>Předmět smlouvy</w:t>
      </w:r>
      <w:bookmarkEnd w:id="3"/>
    </w:p>
    <w:p w:rsidR="002D036E" w:rsidRDefault="00CE2BA0">
      <w:pPr>
        <w:pStyle w:val="Bodytext20"/>
        <w:framePr w:w="9787" w:h="1678" w:hRule="exact" w:wrap="none" w:vAnchor="page" w:hAnchor="page" w:x="1096" w:y="5620"/>
        <w:shd w:val="clear" w:color="auto" w:fill="auto"/>
        <w:spacing w:line="298" w:lineRule="exact"/>
        <w:ind w:firstLine="0"/>
      </w:pPr>
      <w:r>
        <w:t>Předmětem této smlouvy je závazek poskytovatele zabezpečit ve spolupráci s příjemcem přípravu žádosti včetně administrace v době hodnocení žádosti v rámci operačního programu OP JAK v rámci v</w:t>
      </w:r>
      <w:r>
        <w:t xml:space="preserve">ýzvy č. 02_24_034 pro Šablony pro MŠ a ZŠ II a dále po té, co projekt s názvem </w:t>
      </w:r>
      <w:r>
        <w:rPr>
          <w:rStyle w:val="Bodytext29pt"/>
        </w:rPr>
        <w:t xml:space="preserve">„LÉPE SPOLU V.“ </w:t>
      </w:r>
      <w:r>
        <w:t>získá dotaci, zabezpečit administraci projektu, po přiznání dotace ve vztahu k poskytovateli dotace.</w:t>
      </w:r>
    </w:p>
    <w:p w:rsidR="002D036E" w:rsidRDefault="00CE2BA0">
      <w:pPr>
        <w:pStyle w:val="Bodytext20"/>
        <w:framePr w:w="9787" w:h="6744" w:hRule="exact" w:wrap="none" w:vAnchor="page" w:hAnchor="page" w:x="1096" w:y="7727"/>
        <w:shd w:val="clear" w:color="auto" w:fill="auto"/>
        <w:spacing w:after="180" w:line="266" w:lineRule="exact"/>
        <w:ind w:left="400" w:firstLine="0"/>
        <w:jc w:val="left"/>
      </w:pPr>
      <w:r>
        <w:t>Tato činnost zahrnuje především tyto úkony:</w:t>
      </w:r>
    </w:p>
    <w:p w:rsidR="002D036E" w:rsidRDefault="00CE2BA0">
      <w:pPr>
        <w:pStyle w:val="Bodytext20"/>
        <w:framePr w:w="9787" w:h="6744" w:hRule="exact" w:wrap="none" w:vAnchor="page" w:hAnchor="page" w:x="1096" w:y="7727"/>
        <w:shd w:val="clear" w:color="auto" w:fill="auto"/>
        <w:spacing w:after="155" w:line="266" w:lineRule="exact"/>
        <w:ind w:firstLine="0"/>
      </w:pPr>
      <w:r>
        <w:t>A)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298" w:lineRule="exact"/>
        <w:ind w:left="1460" w:hanging="340"/>
        <w:jc w:val="left"/>
      </w:pPr>
      <w:r>
        <w:t xml:space="preserve">poskytování </w:t>
      </w:r>
      <w:r>
        <w:t>konzultace k zamýšlené podobě projektu, aktivní doporučení ze strany poskytovatele, sestavení či pomoc při sestavování předpokládaného rozpočtu projektu včetně posouzení uznatelnosti nákladů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zpracování žádosti projektu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přípravu podkladů pro zajištění potře</w:t>
      </w:r>
      <w:r>
        <w:t>bných dokumentů, stanovisek, rozhodnutí pro zpracování žádosti o podporu a to ve spolupráci s příjemcem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zajištění zpracování podkladů - analýz - pokud je to pro projekt či projektový záměr nezbytné a to ve spolupráci s příjemcem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kompletaci dalších povinnýc</w:t>
      </w:r>
      <w:r>
        <w:t>h příloh projektu, které budou vyžadovány na základě určujících podmínek pro uchazeče o dotaci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finální kompletace projektové žádosti a zajištění podání žádosti na sběrném místě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302" w:lineRule="exact"/>
        <w:ind w:left="1460" w:hanging="340"/>
        <w:jc w:val="left"/>
      </w:pPr>
      <w:r>
        <w:t>úpravy žádosti a podkladů vyplývajících z jednotlivých stupňů kontrol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after="209" w:line="302" w:lineRule="exact"/>
        <w:ind w:left="1460" w:hanging="340"/>
        <w:jc w:val="left"/>
      </w:pPr>
      <w:r>
        <w:t>sledování</w:t>
      </w:r>
      <w:r>
        <w:t xml:space="preserve"> projektové žádosti do přidělení dotace</w:t>
      </w:r>
    </w:p>
    <w:p w:rsidR="002D036E" w:rsidRDefault="00CE2BA0">
      <w:pPr>
        <w:pStyle w:val="Bodytext20"/>
        <w:framePr w:w="9787" w:h="6744" w:hRule="exact" w:wrap="none" w:vAnchor="page" w:hAnchor="page" w:x="1096" w:y="7727"/>
        <w:shd w:val="clear" w:color="auto" w:fill="auto"/>
        <w:spacing w:after="180" w:line="266" w:lineRule="exact"/>
        <w:ind w:firstLine="0"/>
      </w:pPr>
      <w:r>
        <w:t>B)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266" w:lineRule="exact"/>
        <w:ind w:left="1460" w:hanging="340"/>
        <w:jc w:val="left"/>
      </w:pPr>
      <w:r>
        <w:t>konzultační a poradenské služby pro realizační management k projektu</w:t>
      </w:r>
    </w:p>
    <w:p w:rsidR="002D036E" w:rsidRDefault="00CE2BA0">
      <w:pPr>
        <w:pStyle w:val="Bodytext20"/>
        <w:framePr w:w="9787" w:h="6744" w:hRule="exact" w:wrap="none" w:vAnchor="page" w:hAnchor="page" w:x="1096" w:y="7727"/>
        <w:numPr>
          <w:ilvl w:val="0"/>
          <w:numId w:val="2"/>
        </w:numPr>
        <w:shd w:val="clear" w:color="auto" w:fill="auto"/>
        <w:tabs>
          <w:tab w:val="left" w:pos="1458"/>
        </w:tabs>
        <w:spacing w:line="278" w:lineRule="exact"/>
        <w:ind w:left="1460" w:hanging="340"/>
        <w:jc w:val="left"/>
      </w:pPr>
      <w:r>
        <w:t>podpora, asistence a poradenství ve vztahu k tvorbě monitorovacích zpráv, žádostí o platbu včetně závěrečného vyúčtování</w:t>
      </w:r>
    </w:p>
    <w:p w:rsidR="002D036E" w:rsidRDefault="00CE2BA0">
      <w:pPr>
        <w:pStyle w:val="Bodytext20"/>
        <w:framePr w:w="9787" w:h="6744" w:hRule="exact" w:wrap="none" w:vAnchor="page" w:hAnchor="page" w:x="1096" w:y="7727"/>
        <w:shd w:val="clear" w:color="auto" w:fill="auto"/>
        <w:spacing w:line="278" w:lineRule="exact"/>
        <w:ind w:left="1460" w:hanging="340"/>
        <w:jc w:val="left"/>
      </w:pPr>
      <w:r>
        <w:t>(více viz Příloha č. 1)</w:t>
      </w:r>
    </w:p>
    <w:p w:rsidR="002D036E" w:rsidRDefault="00CE2BA0">
      <w:pPr>
        <w:pStyle w:val="Bodytext30"/>
        <w:framePr w:wrap="none" w:vAnchor="page" w:hAnchor="page" w:x="5330" w:y="15623"/>
        <w:shd w:val="clear" w:color="auto" w:fill="auto"/>
        <w:spacing w:line="266" w:lineRule="exact"/>
        <w:jc w:val="left"/>
      </w:pPr>
      <w:r>
        <w:t>II.</w:t>
      </w:r>
    </w:p>
    <w:p w:rsidR="002D036E" w:rsidRDefault="00CE2BA0">
      <w:pPr>
        <w:pStyle w:val="Heading410"/>
        <w:framePr w:wrap="none" w:vAnchor="page" w:hAnchor="page" w:x="1096" w:y="15613"/>
        <w:shd w:val="clear" w:color="auto" w:fill="auto"/>
        <w:spacing w:before="0" w:line="266" w:lineRule="exact"/>
        <w:ind w:left="4948" w:right="3927"/>
      </w:pPr>
      <w:bookmarkStart w:id="4" w:name="bookmark4"/>
      <w:r>
        <w:t>Odměna</w:t>
      </w:r>
      <w:bookmarkEnd w:id="4"/>
    </w:p>
    <w:p w:rsidR="002D036E" w:rsidRDefault="002D036E">
      <w:pPr>
        <w:rPr>
          <w:sz w:val="2"/>
          <w:szCs w:val="2"/>
        </w:rPr>
        <w:sectPr w:rsidR="002D03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36E" w:rsidRDefault="00CE2BA0">
      <w:pPr>
        <w:pStyle w:val="Bodytext20"/>
        <w:framePr w:w="9797" w:h="2745" w:hRule="exact" w:wrap="none" w:vAnchor="page" w:hAnchor="page" w:x="1091" w:y="872"/>
        <w:numPr>
          <w:ilvl w:val="0"/>
          <w:numId w:val="3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lastRenderedPageBreak/>
        <w:t xml:space="preserve">Za služby uvedené v článku I, poskytne příjemce poskytovateli odměnu ve výši 5 % bez DPH z celkové výše schválené dotace předmětného projektu, tj. </w:t>
      </w:r>
      <w:r>
        <w:rPr>
          <w:rStyle w:val="Bodytext2Bold"/>
        </w:rPr>
        <w:t xml:space="preserve">125.960 Kč bez DPH, tj. 152.411 Kč s DPH. </w:t>
      </w:r>
      <w:r>
        <w:t xml:space="preserve">Tato odměna je splatná po </w:t>
      </w:r>
      <w:r>
        <w:t>obdržení zálohové platby dotace na účet příjemce.</w:t>
      </w:r>
    </w:p>
    <w:p w:rsidR="002D036E" w:rsidRDefault="00CE2BA0">
      <w:pPr>
        <w:pStyle w:val="Bodytext20"/>
        <w:framePr w:w="9797" w:h="2745" w:hRule="exact" w:wrap="none" w:vAnchor="page" w:hAnchor="page" w:x="1091" w:y="872"/>
        <w:numPr>
          <w:ilvl w:val="0"/>
          <w:numId w:val="3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má na odměnu dle bodu 1) tohoto článku nárok pouze v případě, že projektová žádost bude schválena.</w:t>
      </w:r>
    </w:p>
    <w:p w:rsidR="002D036E" w:rsidRDefault="00CE2BA0">
      <w:pPr>
        <w:pStyle w:val="Bodytext20"/>
        <w:framePr w:w="9797" w:h="2745" w:hRule="exact" w:wrap="none" w:vAnchor="page" w:hAnchor="page" w:x="1091" w:y="872"/>
        <w:numPr>
          <w:ilvl w:val="0"/>
          <w:numId w:val="3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Výše uvedená odměna je konečná a poskytovatel nemá nárok ji jakkoliv navyšovat (např. nároková</w:t>
      </w:r>
      <w:r>
        <w:t>ním cestovného apod.).</w:t>
      </w:r>
    </w:p>
    <w:p w:rsidR="002D036E" w:rsidRDefault="00CE2BA0">
      <w:pPr>
        <w:pStyle w:val="Bodytext20"/>
        <w:framePr w:w="9797" w:h="2745" w:hRule="exact" w:wrap="none" w:vAnchor="page" w:hAnchor="page" w:x="1091" w:y="872"/>
        <w:numPr>
          <w:ilvl w:val="0"/>
          <w:numId w:val="3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Odměna dle bodu 1) tohoto článku bude vyplacena na základě daňového dokladu (faktury) vystaveného poskytovatelem.</w:t>
      </w:r>
    </w:p>
    <w:p w:rsidR="002D036E" w:rsidRDefault="00CE2BA0">
      <w:pPr>
        <w:pStyle w:val="Heading410"/>
        <w:framePr w:w="9797" w:h="11064" w:hRule="exact" w:wrap="none" w:vAnchor="page" w:hAnchor="page" w:x="1091" w:y="4457"/>
        <w:numPr>
          <w:ilvl w:val="0"/>
          <w:numId w:val="4"/>
        </w:numPr>
        <w:shd w:val="clear" w:color="auto" w:fill="auto"/>
        <w:tabs>
          <w:tab w:val="left" w:pos="3580"/>
        </w:tabs>
        <w:spacing w:before="0" w:line="298" w:lineRule="exact"/>
        <w:ind w:left="2860"/>
        <w:jc w:val="left"/>
      </w:pPr>
      <w:bookmarkStart w:id="5" w:name="bookmark5"/>
      <w:r>
        <w:t>Specifikace závazku smluvních stran</w:t>
      </w:r>
      <w:bookmarkEnd w:id="5"/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se zavazuje při plnění smlouvy postupovat s odbornou péčí v zájmu Příj</w:t>
      </w:r>
      <w:r>
        <w:t>emce, dle této smlouvy a platných ustanovení zákona.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je povinen uskutečňovat činnost, která je předmětem této smlouvy, podle pokynů Příjemce a v souladu s jeho zájmy. Poskytovatel neodpovídá za vady v dokončené a odevzdané práci, jestliže tyto</w:t>
      </w:r>
      <w:r>
        <w:t xml:space="preserve"> vady byly způsobeny použitím podkladů, informací a věcí, předaných mu ke zpracování Příjemcem.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se zavazuje, že bude průběžně informovat Příjemce o všech postupech a skutečnostech, které zjistí při zařizování záležitosti, pakliže mohou mít vli</w:t>
      </w:r>
      <w:r>
        <w:t>v na změnu pokynů Příjemce.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je oprávněn uskutečňovat část smluvního plnění prostřednictvím třetích osob (např. jinou právnickou nebo fyzickou osobou). Toto právo se vztahuje na činnosti, které nemůže Poskytovatel zajistit ze svých zdrojů.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</w:t>
      </w:r>
      <w:r>
        <w:t>ytovatel je povinen po ukončení spolupráce předat Příjemci bez zbytečného odkladu, na základě písemné výzvy Příjemce, věci, které za něho převzal při začátku a během plnění Smlouvy.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Zjistí-li Poskytovatel při zajišťování prací překážky, které znemožňují řá</w:t>
      </w:r>
      <w:r>
        <w:t xml:space="preserve">dné uskutečnění činnosti a právních úkonů dohodnutým způsobem, oznámí to neprodleně Příjemci, se kterým se dohodne na odstranění těchto překážek. Nedohodnou-li se strany na odstranění překážek, popř. změně smlouvy, ve lhůtě 7 dnů, je Poskytovatel oprávněn </w:t>
      </w:r>
      <w:r>
        <w:t>odstoupit od Smlouvy ve smyslu ustanovení čl. IV této části smlouvy. Poskytovatelovi náleží i v tomto případě sjednaná odměna dle ustanovení II ods. 1).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Poskytovatel je povinen zachovávat mlčenlivost o všech údajích, které jsou obsaženy v projektových, tec</w:t>
      </w:r>
      <w:r>
        <w:t>hnických a realizačních podkladech, nebo o jiných skutečnostech, se kterými přijde při plnění této smlouvy do styku. Tyto údaje jsou Poskytovatelem považovány za předmět obchodního tajemství Příjemce ve smyslu ustanovení § 504 občanského zákoníku.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Příjemce</w:t>
      </w:r>
      <w:r>
        <w:t xml:space="preserve"> zajistí poskytovateli včas nutné podklady pro zpracování projektové žádosti a další uvedené přílohy a to zejména povinné přílohy typu IC, ekonomické informace o žadateli atd., vyžádá-li si to situace. Toto bude dodáno v dostatečném předstihu před termínem</w:t>
      </w:r>
      <w:r>
        <w:t xml:space="preserve"> odevzdání žádosti tak, aby mohl poskytovatel zapracovat tyto podklady před finálním odevzdáním žádosti o dotaci.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360"/>
        </w:tabs>
        <w:spacing w:line="298" w:lineRule="exact"/>
        <w:ind w:left="400" w:hanging="400"/>
      </w:pPr>
      <w:r>
        <w:t>Příjemce se zavazuje poskytovat poskytovateli k plnění této smlouvy náležitou součinnost, tj. zejména jmenovat pověřeného zástupce, včas předá</w:t>
      </w:r>
      <w:r>
        <w:t>vat poskytovateli na jeho žádost veškeré podklady a informace související s předmětným projektem a jeho realizací. Rozhodným dnem je vždy obdržení veškerých podkladů minimálně 30 dnů před odevzdáním monitorovací zprávy na řídící orgán.</w:t>
      </w:r>
    </w:p>
    <w:p w:rsidR="002D036E" w:rsidRDefault="00CE2BA0">
      <w:pPr>
        <w:pStyle w:val="Bodytext20"/>
        <w:framePr w:w="9797" w:h="11064" w:hRule="exact" w:wrap="none" w:vAnchor="page" w:hAnchor="page" w:x="1091" w:y="4457"/>
        <w:numPr>
          <w:ilvl w:val="0"/>
          <w:numId w:val="5"/>
        </w:numPr>
        <w:shd w:val="clear" w:color="auto" w:fill="auto"/>
        <w:tabs>
          <w:tab w:val="left" w:pos="418"/>
        </w:tabs>
        <w:spacing w:line="298" w:lineRule="exact"/>
        <w:ind w:left="400" w:hanging="400"/>
      </w:pPr>
      <w:r>
        <w:t xml:space="preserve">V případě pozdního </w:t>
      </w:r>
      <w:r>
        <w:t>předání podkladů pro realizaci předmětu této smlouvy, nese Příjemce plnou odpovědnost za případné chyby ve výstupech Poskytovatele.</w:t>
      </w:r>
    </w:p>
    <w:p w:rsidR="002D036E" w:rsidRDefault="002D036E">
      <w:pPr>
        <w:rPr>
          <w:sz w:val="2"/>
          <w:szCs w:val="2"/>
        </w:rPr>
        <w:sectPr w:rsidR="002D03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lastRenderedPageBreak/>
        <w:t>Poskytovatel je povinen poskytovat veškerou součinnost, kterou po něm může Příjemce rozumě požadovat</w:t>
      </w:r>
      <w:r>
        <w:t>. Zejména je povinen umožnit Poskytovateli získat ty podklady a dokumenty, které Příjemci identifikuje v předstihu nezbytném pro pořízení těchto podkladů, jsou-li v jeho v dispozici. Příjemce není povinen předávat Poskytovateli informace bezplatně dostupné</w:t>
      </w:r>
      <w:r>
        <w:t xml:space="preserve"> z veřejných zdrojů. V tomto případě postačuje pouze odkaz na tyto zveřejněné informace.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Příjemce je povinen Poskytovateli za činnost provedenou v souladu s touto smlouvou vyplatit odměnu, dle této smlouvy.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Zjistí-li Příjemce případné vady, které vznikly p</w:t>
      </w:r>
      <w:r>
        <w:t>ři poskytování služeb, je povinen je neprodleně nahlásit Poskytovateli. Příjemce je oprávněn požadovat jejich bezplatné odstranění, je-li to možné.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Poskytovatel je povinen poskytovat služby v odborné kvalitě běžné u obdobných poradenských a analytických sl</w:t>
      </w:r>
      <w:r>
        <w:t>užeb.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Poskytovatel se zavazuje využít neveřejné údaje získané od Příkazce v souvislosti s touto smlouvou k jiným účelům než k účelům stanoveným v této smlouvě pouze s jeho souhlasem.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Příjemce se zavazuje zajistit souhlas se zpracováním osobních údajů dotče</w:t>
      </w:r>
      <w:r>
        <w:t>ných osob z řad cílové skupiny pro potřeby výkaznictví monitorovacích indikátorů a aktivit projektu. Příjemce bere na vědomí, že programy spolufinancované z ESF jsou podle přílohy I Nařízení ě. 1304/2013 definovány společné ukazatele výstupu a výsledku, pr</w:t>
      </w:r>
      <w:r>
        <w:t>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</w:t>
      </w:r>
      <w:r>
        <w:t>u být identifikovány a požádány o charakteristiku a pro něž jsou vyčleněny konkrétní výdaje. “. Zpracování údajů bude sloužit výhradně v souvislosti s realizací projektu, zejména pak při přípravě zpráv o realizaci projektu.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3"/>
        </w:tabs>
        <w:spacing w:line="298" w:lineRule="exact"/>
        <w:ind w:left="420"/>
      </w:pPr>
      <w:r>
        <w:t>Příjemce souhlasí, aby byl uvede</w:t>
      </w:r>
      <w:r>
        <w:t>n na webových stránkách poskytovatele služby jako referenční klient a projekt jako referenční zakázka.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8"/>
        </w:tabs>
        <w:spacing w:line="298" w:lineRule="exact"/>
        <w:ind w:left="420"/>
      </w:pPr>
      <w:r>
        <w:t>Smluvní strany výslovně sjednávají, že uveřejnění této smlouvy v registru smluv dle zákona č. 340/2015 Sb., zvláštních podmínkách účinnosti některých sml</w:t>
      </w:r>
      <w:r>
        <w:t>uv, uveřejňování těchto smluv a o registru smluv (zákon o registru smluv) zajistí Příjemce.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28"/>
        </w:tabs>
        <w:spacing w:line="298" w:lineRule="exact"/>
        <w:ind w:left="420"/>
      </w:pPr>
      <w:r>
        <w:t>Příjemce je zodpovědný za vyvěšení uzavřené smlouvy dle platné legislativy v Registru smluv. Pokud tak Příjemce neučiní do 30 dnů od uzavření smlouvy, je Poskytovat</w:t>
      </w:r>
      <w:r>
        <w:t>el oprávněn žádat sankci za nesplnění podmínky ve výši 1.000 Kč a následně uveřejňuje smlouvu vlastními silami.</w:t>
      </w:r>
    </w:p>
    <w:p w:rsidR="002D036E" w:rsidRDefault="00CE2BA0">
      <w:pPr>
        <w:pStyle w:val="Bodytext20"/>
        <w:framePr w:w="9821" w:h="10780" w:hRule="exact" w:wrap="none" w:vAnchor="page" w:hAnchor="page" w:x="1079" w:y="872"/>
        <w:numPr>
          <w:ilvl w:val="0"/>
          <w:numId w:val="5"/>
        </w:numPr>
        <w:shd w:val="clear" w:color="auto" w:fill="auto"/>
        <w:tabs>
          <w:tab w:val="left" w:pos="447"/>
        </w:tabs>
        <w:spacing w:line="298" w:lineRule="exact"/>
        <w:ind w:left="420"/>
      </w:pPr>
      <w:r>
        <w:t xml:space="preserve">Tato smlouva </w:t>
      </w:r>
      <w:r>
        <w:t xml:space="preserve">je uzavírána v rámci dotačního procesu. Smluvní strany berou na vědomí, že Řídící orgán nebo Poskytovatel dotace může v rámci svého </w:t>
      </w:r>
      <w:r>
        <w:t>vrchnostenského postavení autoritativně rozhodovat o přidělení nebo nepřidělení dotace a Příjemce dotace nemá na poskytnutí dotace právní nárok. Smluvní strany proto prohlašují, že jsou si vědomi skutečnosti, že v případě neudělení dotace nebo udělení v ni</w:t>
      </w:r>
      <w:r>
        <w:t>žší než žádané výši nevzniká Příjemci ze vztahu k Poskytovateli služby žádný nárok na náhradu dotace nebo její části.</w:t>
      </w:r>
    </w:p>
    <w:p w:rsidR="002D036E" w:rsidRDefault="00CE2BA0">
      <w:pPr>
        <w:pStyle w:val="Heading410"/>
        <w:framePr w:w="9821" w:h="3096" w:hRule="exact" w:wrap="none" w:vAnchor="page" w:hAnchor="page" w:x="1079" w:y="12511"/>
        <w:numPr>
          <w:ilvl w:val="0"/>
          <w:numId w:val="4"/>
        </w:numPr>
        <w:shd w:val="clear" w:color="auto" w:fill="auto"/>
        <w:tabs>
          <w:tab w:val="left" w:pos="4500"/>
        </w:tabs>
        <w:spacing w:before="0"/>
        <w:ind w:left="3780"/>
        <w:jc w:val="left"/>
      </w:pPr>
      <w:bookmarkStart w:id="6" w:name="bookmark6"/>
      <w:r>
        <w:t>Ukončení smlouvy</w:t>
      </w:r>
      <w:bookmarkEnd w:id="6"/>
    </w:p>
    <w:p w:rsidR="002D036E" w:rsidRDefault="00CE2BA0">
      <w:pPr>
        <w:pStyle w:val="Bodytext20"/>
        <w:framePr w:w="9821" w:h="3096" w:hRule="exact" w:wrap="none" w:vAnchor="page" w:hAnchor="page" w:x="1079" w:y="12511"/>
        <w:numPr>
          <w:ilvl w:val="0"/>
          <w:numId w:val="6"/>
        </w:numPr>
        <w:shd w:val="clear" w:color="auto" w:fill="auto"/>
        <w:tabs>
          <w:tab w:val="left" w:pos="404"/>
        </w:tabs>
        <w:ind w:left="420"/>
      </w:pPr>
      <w:r>
        <w:t xml:space="preserve">Poskytovatel má právo odstoupit od smlouvy v případě, že příjemce je v prodlení s úhradou faktury delším než 15 </w:t>
      </w:r>
      <w:r>
        <w:t>pracovních dní od splatnosti faktury.</w:t>
      </w:r>
    </w:p>
    <w:p w:rsidR="002D036E" w:rsidRDefault="00CE2BA0">
      <w:pPr>
        <w:pStyle w:val="Bodytext20"/>
        <w:framePr w:w="9821" w:h="3096" w:hRule="exact" w:wrap="none" w:vAnchor="page" w:hAnchor="page" w:x="1079" w:y="12511"/>
        <w:numPr>
          <w:ilvl w:val="0"/>
          <w:numId w:val="6"/>
        </w:numPr>
        <w:shd w:val="clear" w:color="auto" w:fill="auto"/>
        <w:tabs>
          <w:tab w:val="left" w:pos="404"/>
        </w:tabs>
        <w:ind w:left="420"/>
      </w:pPr>
      <w:r>
        <w:t xml:space="preserve">Příjemce je oprávněn od smlouvy odstoupit, pokud je Poskytovatel v prodlení s poskytováním služeb, jenž má za následek nepředání žádosti či monitorovací zprávy příslušné implementační agentuře programu a toto prodlení </w:t>
      </w:r>
      <w:r>
        <w:t>je zaviněno výhradně Poskytovatelem.</w:t>
      </w:r>
    </w:p>
    <w:p w:rsidR="002D036E" w:rsidRDefault="00CE2BA0">
      <w:pPr>
        <w:pStyle w:val="Bodytext20"/>
        <w:framePr w:w="9821" w:h="3096" w:hRule="exact" w:wrap="none" w:vAnchor="page" w:hAnchor="page" w:x="1079" w:y="12511"/>
        <w:numPr>
          <w:ilvl w:val="0"/>
          <w:numId w:val="6"/>
        </w:numPr>
        <w:shd w:val="clear" w:color="auto" w:fill="auto"/>
        <w:tabs>
          <w:tab w:val="left" w:pos="404"/>
        </w:tabs>
        <w:ind w:left="420"/>
      </w:pPr>
      <w:r>
        <w:t>Smluvní strany mohou ukončit tuto smlouvu písemnou dohodou, jejíž součástí musí být finanční vyrovnání Poskytovateli a jeho dosud provedených prací.</w:t>
      </w:r>
    </w:p>
    <w:p w:rsidR="002D036E" w:rsidRDefault="00CE2BA0">
      <w:pPr>
        <w:pStyle w:val="Bodytext20"/>
        <w:framePr w:w="9821" w:h="3096" w:hRule="exact" w:wrap="none" w:vAnchor="page" w:hAnchor="page" w:x="1079" w:y="12511"/>
        <w:numPr>
          <w:ilvl w:val="0"/>
          <w:numId w:val="6"/>
        </w:numPr>
        <w:shd w:val="clear" w:color="auto" w:fill="auto"/>
        <w:tabs>
          <w:tab w:val="left" w:pos="404"/>
        </w:tabs>
        <w:ind w:left="420"/>
      </w:pPr>
      <w:r>
        <w:t>V případě ukončení smlouvy jinak než splněním je Poskytovatel oprávněn</w:t>
      </w:r>
      <w:r>
        <w:t xml:space="preserve"> vyúčtovat Příjemci dosud poskytnuté služby ve výši 800,- Kč/hod bez DPH</w:t>
      </w:r>
      <w:r>
        <w:t>, veškeré dosud vynaložené náklady spojené s poskytováním služeb a všechny odměny a ceny podle této smlouvy, za účelem kterých</w:t>
      </w:r>
    </w:p>
    <w:p w:rsidR="002D036E" w:rsidRDefault="002D036E">
      <w:pPr>
        <w:rPr>
          <w:sz w:val="2"/>
          <w:szCs w:val="2"/>
        </w:rPr>
        <w:sectPr w:rsidR="002D03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36E" w:rsidRDefault="00CE2BA0">
      <w:pPr>
        <w:pStyle w:val="Heading110"/>
        <w:framePr w:w="9821" w:h="892" w:hRule="exact" w:wrap="none" w:vAnchor="page" w:hAnchor="page" w:x="1079" w:y="1774"/>
        <w:shd w:val="clear" w:color="auto" w:fill="auto"/>
        <w:spacing w:after="0"/>
        <w:ind w:right="40"/>
      </w:pPr>
      <w:bookmarkStart w:id="7" w:name="bookmark7"/>
      <w:r>
        <w:lastRenderedPageBreak/>
        <w:t>Příloha č. 1 Podrobná specifikac</w:t>
      </w:r>
      <w:r>
        <w:t>e aktivit ve vztahu</w:t>
      </w:r>
      <w:r>
        <w:br/>
        <w:t>k administraci projektu</w:t>
      </w:r>
      <w:bookmarkEnd w:id="7"/>
    </w:p>
    <w:p w:rsidR="002D036E" w:rsidRDefault="00CE2BA0">
      <w:pPr>
        <w:pStyle w:val="Bodytext40"/>
        <w:framePr w:w="9821" w:h="12734" w:hRule="exact" w:wrap="none" w:vAnchor="page" w:hAnchor="page" w:x="1079" w:y="3157"/>
        <w:numPr>
          <w:ilvl w:val="0"/>
          <w:numId w:val="7"/>
        </w:numPr>
        <w:shd w:val="clear" w:color="auto" w:fill="auto"/>
        <w:tabs>
          <w:tab w:val="left" w:pos="774"/>
        </w:tabs>
        <w:spacing w:before="0"/>
        <w:ind w:left="420"/>
      </w:pPr>
      <w:r>
        <w:t>Poradenství k nastavení vnitřních procesů administrace a monitoringu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8"/>
        </w:numPr>
        <w:shd w:val="clear" w:color="auto" w:fill="auto"/>
        <w:tabs>
          <w:tab w:val="left" w:pos="1501"/>
        </w:tabs>
        <w:spacing w:after="284" w:line="278" w:lineRule="exact"/>
        <w:ind w:left="1480" w:hanging="340"/>
        <w:jc w:val="left"/>
      </w:pPr>
      <w:r>
        <w:t>zaškolení a průběžná komunikace s odpovědnými pracovníky (účetní, projektový manažer apod.)</w:t>
      </w:r>
    </w:p>
    <w:p w:rsidR="002D036E" w:rsidRDefault="00CE2BA0">
      <w:pPr>
        <w:pStyle w:val="Bodytext40"/>
        <w:framePr w:w="9821" w:h="12734" w:hRule="exact" w:wrap="none" w:vAnchor="page" w:hAnchor="page" w:x="1079" w:y="3157"/>
        <w:numPr>
          <w:ilvl w:val="0"/>
          <w:numId w:val="7"/>
        </w:numPr>
        <w:shd w:val="clear" w:color="auto" w:fill="auto"/>
        <w:tabs>
          <w:tab w:val="left" w:pos="774"/>
        </w:tabs>
        <w:spacing w:before="0" w:line="274" w:lineRule="exact"/>
        <w:ind w:left="420"/>
      </w:pPr>
      <w:r>
        <w:t xml:space="preserve">Poradenská a konzultační činnost k </w:t>
      </w:r>
      <w:r>
        <w:t>realizaci a řízení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1"/>
        </w:tabs>
        <w:ind w:left="1480" w:hanging="340"/>
        <w:jc w:val="left"/>
      </w:pPr>
      <w:r>
        <w:t>poradenství a konzultace k metodice monitorovacích indikátorů, metodice řízení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příprava vzorových pracovně-právních smluv a dohod na účast v projektu pro účastníky aktivit v rámci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sledování plnění monitorovacíc</w:t>
      </w:r>
      <w:r>
        <w:t>h indikátorů, průběžné vyhodnocování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konzultace k výkazům práce realizačního týmu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sledování čerpání finančních prostředků dle rozpočtu projektu a harmonogramu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poradenství a konzultace k uznatelnosti výdajů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poradenství a konzultace ohledně</w:t>
      </w:r>
      <w:r>
        <w:t xml:space="preserve"> příjmů projektu (pokud projekt příjmy generuje)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příprava podkladů pro publicitu projektu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 xml:space="preserve">příprava podkladů k případným podstatným i nepodstatným změnám projektu, zpracování změnových řízení, změnám harmonogramu projektu a rozpočtu projektu a jejich </w:t>
      </w:r>
      <w:r>
        <w:t>konzultace se zástupci poskytovatele podpory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ind w:left="1480" w:hanging="340"/>
        <w:jc w:val="left"/>
      </w:pPr>
      <w:r>
        <w:t>v případě pověření - komunikace a konzultace se zástupci poskytovatele podpory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9"/>
        </w:numPr>
        <w:shd w:val="clear" w:color="auto" w:fill="auto"/>
        <w:tabs>
          <w:tab w:val="left" w:pos="1503"/>
        </w:tabs>
        <w:spacing w:after="280"/>
        <w:ind w:left="1480" w:hanging="340"/>
        <w:jc w:val="left"/>
      </w:pPr>
      <w:r>
        <w:t>poradenství a konzultace k podkladům pro případnou kontrolu tzv. pověřených osob (poskytovatele podpory, Řídícího orgánu, NKU, FÚ, E</w:t>
      </w:r>
      <w:r>
        <w:t>vropské komise atd.)</w:t>
      </w:r>
    </w:p>
    <w:p w:rsidR="002D036E" w:rsidRDefault="00CE2BA0">
      <w:pPr>
        <w:pStyle w:val="Bodytext40"/>
        <w:framePr w:w="9821" w:h="12734" w:hRule="exact" w:wrap="none" w:vAnchor="page" w:hAnchor="page" w:x="1079" w:y="3157"/>
        <w:numPr>
          <w:ilvl w:val="0"/>
          <w:numId w:val="7"/>
        </w:numPr>
        <w:shd w:val="clear" w:color="auto" w:fill="auto"/>
        <w:tabs>
          <w:tab w:val="left" w:pos="774"/>
        </w:tabs>
        <w:spacing w:before="0" w:line="274" w:lineRule="exact"/>
        <w:ind w:left="420"/>
      </w:pPr>
      <w:r>
        <w:t>Monitoring projektu ve spolupráci s Příjemcem dotace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0"/>
        </w:numPr>
        <w:shd w:val="clear" w:color="auto" w:fill="auto"/>
        <w:tabs>
          <w:tab w:val="left" w:pos="1501"/>
        </w:tabs>
        <w:ind w:left="1480" w:hanging="340"/>
        <w:jc w:val="left"/>
      </w:pPr>
      <w:r>
        <w:t>Zpracování 1 části monitorovací zprávy: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29"/>
        </w:tabs>
        <w:ind w:left="2180" w:hanging="360"/>
        <w:jc w:val="left"/>
      </w:pPr>
      <w:r>
        <w:t>popis monitorovacích indikátorů,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29"/>
        </w:tabs>
        <w:ind w:left="2180" w:hanging="360"/>
        <w:jc w:val="left"/>
      </w:pPr>
      <w:r>
        <w:t>popis realizace výběrového řízení,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55"/>
        </w:tabs>
        <w:ind w:left="2180" w:hanging="360"/>
        <w:jc w:val="left"/>
      </w:pPr>
      <w:r>
        <w:t>výpočet veřejné podpory,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55"/>
        </w:tabs>
        <w:ind w:left="2180" w:hanging="360"/>
        <w:jc w:val="left"/>
      </w:pPr>
      <w:r>
        <w:t>popis realizované publicity,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55"/>
        </w:tabs>
        <w:ind w:left="2180" w:hanging="360"/>
        <w:jc w:val="left"/>
      </w:pPr>
      <w:r>
        <w:t xml:space="preserve">výpočet finančního </w:t>
      </w:r>
      <w:r>
        <w:t>plánu na další období,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1"/>
        </w:numPr>
        <w:shd w:val="clear" w:color="auto" w:fill="auto"/>
        <w:tabs>
          <w:tab w:val="left" w:pos="2255"/>
        </w:tabs>
        <w:ind w:left="2180" w:hanging="360"/>
        <w:jc w:val="left"/>
      </w:pPr>
      <w:r>
        <w:t>úprava harmonogramu realizace.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0"/>
        </w:numPr>
        <w:shd w:val="clear" w:color="auto" w:fill="auto"/>
        <w:tabs>
          <w:tab w:val="left" w:pos="1501"/>
        </w:tabs>
        <w:ind w:left="1480" w:hanging="340"/>
        <w:jc w:val="left"/>
      </w:pPr>
      <w:r>
        <w:t>Zpracování 2 části monitorovací zprávy: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2"/>
        </w:numPr>
        <w:shd w:val="clear" w:color="auto" w:fill="auto"/>
        <w:tabs>
          <w:tab w:val="left" w:pos="2229"/>
        </w:tabs>
        <w:ind w:left="2180" w:hanging="360"/>
        <w:jc w:val="left"/>
      </w:pPr>
      <w:r>
        <w:t>popis realizovaných klíčových aktivit (detailní popis práce realizačního týmu, popis realizovaných vzdělávacích aktivit (školení),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2"/>
        </w:numPr>
        <w:shd w:val="clear" w:color="auto" w:fill="auto"/>
        <w:tabs>
          <w:tab w:val="left" w:pos="2229"/>
        </w:tabs>
        <w:ind w:left="2180" w:hanging="360"/>
        <w:jc w:val="left"/>
      </w:pPr>
      <w:r>
        <w:t>popis plánovaných klíčových akt</w:t>
      </w:r>
      <w:r>
        <w:t>ivit (popis plánu činností realizačního týmu, stanovení termínů školení, popis náplně klíčové aktivity),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2"/>
        </w:numPr>
        <w:shd w:val="clear" w:color="auto" w:fill="auto"/>
        <w:tabs>
          <w:tab w:val="left" w:pos="2250"/>
        </w:tabs>
        <w:ind w:left="2180" w:hanging="360"/>
        <w:jc w:val="left"/>
      </w:pPr>
      <w:r>
        <w:t>popis změn v projektu (popis změn harmonogramu, rozpočtu atd. - důvody a přijatá opatření).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0"/>
        </w:numPr>
        <w:shd w:val="clear" w:color="auto" w:fill="auto"/>
        <w:tabs>
          <w:tab w:val="left" w:pos="1501"/>
        </w:tabs>
        <w:ind w:left="1480" w:hanging="340"/>
        <w:jc w:val="left"/>
      </w:pPr>
      <w:r>
        <w:t>Zpracování finanční části monitorovací zprávy: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3"/>
        </w:numPr>
        <w:shd w:val="clear" w:color="auto" w:fill="auto"/>
        <w:tabs>
          <w:tab w:val="left" w:pos="2229"/>
        </w:tabs>
        <w:ind w:left="2180" w:hanging="360"/>
        <w:jc w:val="left"/>
      </w:pPr>
      <w:r>
        <w:t xml:space="preserve">zpracovaní </w:t>
      </w:r>
      <w:r>
        <w:t>rozpisu mzdových výdajů,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3"/>
        </w:numPr>
        <w:shd w:val="clear" w:color="auto" w:fill="auto"/>
        <w:tabs>
          <w:tab w:val="left" w:pos="2229"/>
        </w:tabs>
        <w:ind w:left="2180" w:hanging="360"/>
        <w:jc w:val="left"/>
      </w:pPr>
      <w:r>
        <w:t>zpracování soupisky účetních dokladů,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3"/>
        </w:numPr>
        <w:shd w:val="clear" w:color="auto" w:fill="auto"/>
        <w:tabs>
          <w:tab w:val="left" w:pos="2255"/>
        </w:tabs>
        <w:ind w:left="2180" w:hanging="360"/>
        <w:jc w:val="left"/>
      </w:pPr>
      <w:r>
        <w:t>zpracování přehledu čerpání,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3"/>
        </w:numPr>
        <w:shd w:val="clear" w:color="auto" w:fill="auto"/>
        <w:tabs>
          <w:tab w:val="left" w:pos="2255"/>
        </w:tabs>
        <w:ind w:left="2180" w:hanging="360"/>
        <w:jc w:val="left"/>
      </w:pPr>
      <w:r>
        <w:t>zpracování žádosti o platbu.</w:t>
      </w:r>
    </w:p>
    <w:p w:rsidR="002D036E" w:rsidRDefault="00CE2BA0">
      <w:pPr>
        <w:pStyle w:val="Bodytext20"/>
        <w:framePr w:w="9821" w:h="12734" w:hRule="exact" w:wrap="none" w:vAnchor="page" w:hAnchor="page" w:x="1079" w:y="3157"/>
        <w:numPr>
          <w:ilvl w:val="0"/>
          <w:numId w:val="10"/>
        </w:numPr>
        <w:shd w:val="clear" w:color="auto" w:fill="auto"/>
        <w:tabs>
          <w:tab w:val="left" w:pos="1501"/>
        </w:tabs>
        <w:ind w:left="1480" w:hanging="340"/>
        <w:jc w:val="left"/>
      </w:pPr>
      <w:r>
        <w:t>Zpracování případných oprav a doplnění informací o pokroku v realizaci projektu, zpráv o realizaci projektu a žádostí o platbu na zákla</w:t>
      </w:r>
      <w:r>
        <w:t>dě připomínek objednatele nebo řídícího orgánu</w:t>
      </w:r>
    </w:p>
    <w:p w:rsidR="002D036E" w:rsidRDefault="002D036E">
      <w:pPr>
        <w:rPr>
          <w:sz w:val="2"/>
          <w:szCs w:val="2"/>
        </w:rPr>
        <w:sectPr w:rsidR="002D036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36E" w:rsidRDefault="00CE2BA0">
      <w:pPr>
        <w:pStyle w:val="Bodytext20"/>
        <w:framePr w:w="9787" w:h="614" w:hRule="exact" w:wrap="none" w:vAnchor="page" w:hAnchor="page" w:x="1096" w:y="887"/>
        <w:shd w:val="clear" w:color="auto" w:fill="auto"/>
        <w:spacing w:line="278" w:lineRule="exact"/>
        <w:ind w:left="380" w:firstLine="0"/>
      </w:pPr>
      <w:r>
        <w:lastRenderedPageBreak/>
        <w:t>již byla vykonána činnost, bez ohledu nato zda přinesla očekávaný výsledek a bez ohledu nato zda již vzniklo dílčí zdanitelné plnění.</w:t>
      </w:r>
    </w:p>
    <w:p w:rsidR="002D036E" w:rsidRDefault="00CE2BA0">
      <w:pPr>
        <w:pStyle w:val="Heading410"/>
        <w:framePr w:w="9787" w:h="6672" w:hRule="exact" w:wrap="none" w:vAnchor="page" w:hAnchor="page" w:x="1096" w:y="2282"/>
        <w:numPr>
          <w:ilvl w:val="0"/>
          <w:numId w:val="4"/>
        </w:numPr>
        <w:shd w:val="clear" w:color="auto" w:fill="auto"/>
        <w:tabs>
          <w:tab w:val="left" w:pos="4485"/>
        </w:tabs>
        <w:spacing w:before="0"/>
        <w:ind w:left="3760"/>
        <w:jc w:val="left"/>
      </w:pPr>
      <w:bookmarkStart w:id="8" w:name="bookmark8"/>
      <w:r>
        <w:t>Obecná ustanovení</w:t>
      </w:r>
      <w:bookmarkEnd w:id="8"/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 xml:space="preserve">Pokud bude jakékoliv ujednání </w:t>
      </w:r>
      <w:r>
        <w:t>této smlouvy shledáno jako neplatné, nezákonné nebo nevynutitelné, platnost a vynutitelnost zbývajících ujednání tím nebude dotčena. Smluvní strany se v takovém případě zavazují přijmout ujednání, které je v souladu s právními předpisy a které co nejvíce o</w:t>
      </w:r>
      <w:r>
        <w:t>dpovídá obsahu a účelu původního ujednání.</w:t>
      </w:r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>Doplňky a změny této smlouvy musí být učiněny písemně formou vzestupně číslovaných dodatků a podepsány oběma smluvními stranami.</w:t>
      </w:r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 xml:space="preserve">Tato Smlouva </w:t>
      </w:r>
      <w:r>
        <w:t xml:space="preserve">je vyhotovena ve dvou stejnopisech s platností originálu, po jednom pro </w:t>
      </w:r>
      <w:r>
        <w:t>každou ze smluvních stran.</w:t>
      </w:r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>Tato Smlouva je uzavírána na základě pravé a svobodné vůle smluvních stran, určitě a srozumitelně, nikoliv v tísni.</w:t>
      </w:r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>Poskytovatel se zavazuje řádně uchovávat originál smlouvy na předmět plnění smlouvy včetně příloh a jejích případ</w:t>
      </w:r>
      <w:r>
        <w:t>ných dodatků, veškeré originály účetních dokladů a originály dalších dokumentů souvisejících s realizací plnění v souladu s podmínkami OPJAK. Výše uvedené dokumenty a účetní doklady budou uchovány způsobem uvedeným v zákoně č. 563/1991 Sb., o účetnictví, v</w:t>
      </w:r>
      <w:r>
        <w:t>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</w:t>
      </w:r>
      <w:r>
        <w:t>vateli uchazeč zaváže touto povinností i případné partnery a subdodavatele. Uchazeč je dále povinen uchovávat účetní záznamy vztahující se k předmětu plnění v elektronické podobě.</w:t>
      </w:r>
    </w:p>
    <w:p w:rsidR="002D036E" w:rsidRDefault="00CE2BA0">
      <w:pPr>
        <w:pStyle w:val="Bodytext20"/>
        <w:framePr w:w="9787" w:h="6672" w:hRule="exact" w:wrap="none" w:vAnchor="page" w:hAnchor="page" w:x="1096" w:y="2282"/>
        <w:numPr>
          <w:ilvl w:val="0"/>
          <w:numId w:val="14"/>
        </w:numPr>
        <w:shd w:val="clear" w:color="auto" w:fill="auto"/>
        <w:tabs>
          <w:tab w:val="left" w:pos="356"/>
        </w:tabs>
        <w:ind w:left="380" w:hanging="380"/>
      </w:pPr>
      <w:r>
        <w:t>Smluvní strany prohlašují, že skutečnosti uvedené ve smlouvě i jejich dodatc</w:t>
      </w:r>
      <w:r>
        <w:t>ích nepovažují za obchodní tajemství a udělují svolení k jejich užití a zveřejnění bez stanovení jakýchkoliv dalších podmínek. Poskytovatel zároveň uděluje svůj výslovný souhlas Příjemci se zveřejněním uzavřené smlouvy včetně jejich dodatků.</w:t>
      </w:r>
    </w:p>
    <w:p w:rsidR="002D036E" w:rsidRDefault="00CE2BA0">
      <w:pPr>
        <w:pStyle w:val="Bodytext20"/>
        <w:framePr w:w="9787" w:h="324" w:hRule="exact" w:wrap="none" w:vAnchor="page" w:hAnchor="page" w:x="1096" w:y="9916"/>
        <w:shd w:val="clear" w:color="auto" w:fill="auto"/>
        <w:spacing w:line="266" w:lineRule="exact"/>
        <w:ind w:right="7013" w:firstLine="0"/>
        <w:jc w:val="right"/>
      </w:pPr>
      <w:r>
        <w:t>V Praze dne</w:t>
      </w:r>
    </w:p>
    <w:p w:rsidR="002D036E" w:rsidRDefault="00CE2BA0">
      <w:pPr>
        <w:pStyle w:val="Bodytext20"/>
        <w:framePr w:wrap="none" w:vAnchor="page" w:hAnchor="page" w:x="6947" w:y="9911"/>
        <w:shd w:val="clear" w:color="auto" w:fill="auto"/>
        <w:spacing w:line="266" w:lineRule="exact"/>
        <w:ind w:firstLine="0"/>
        <w:jc w:val="left"/>
      </w:pPr>
      <w:r>
        <w:t>V Praze dne</w:t>
      </w:r>
    </w:p>
    <w:p w:rsidR="002D036E" w:rsidRDefault="00CE2BA0">
      <w:pPr>
        <w:pStyle w:val="Bodytext20"/>
        <w:framePr w:wrap="none" w:vAnchor="page" w:hAnchor="page" w:x="2133" w:y="11289"/>
        <w:shd w:val="clear" w:color="auto" w:fill="auto"/>
        <w:spacing w:line="266" w:lineRule="exact"/>
        <w:ind w:firstLine="0"/>
        <w:jc w:val="left"/>
      </w:pPr>
      <w:bookmarkStart w:id="9" w:name="_GoBack"/>
      <w:bookmarkEnd w:id="9"/>
      <w:r>
        <w:t>Bc. Veronika Bočková</w:t>
      </w:r>
    </w:p>
    <w:p w:rsidR="002D036E" w:rsidRDefault="00CE2BA0">
      <w:pPr>
        <w:pStyle w:val="Bodytext20"/>
        <w:framePr w:wrap="none" w:vAnchor="page" w:hAnchor="page" w:x="6338" w:y="11284"/>
        <w:shd w:val="clear" w:color="auto" w:fill="auto"/>
        <w:spacing w:line="266" w:lineRule="exact"/>
        <w:ind w:firstLine="0"/>
        <w:jc w:val="left"/>
      </w:pPr>
      <w:r>
        <w:t>Statutární zástupce školy</w:t>
      </w:r>
    </w:p>
    <w:p w:rsidR="002D036E" w:rsidRDefault="002D036E">
      <w:pPr>
        <w:rPr>
          <w:sz w:val="2"/>
          <w:szCs w:val="2"/>
        </w:rPr>
      </w:pPr>
    </w:p>
    <w:sectPr w:rsidR="002D03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2BA0">
      <w:r>
        <w:separator/>
      </w:r>
    </w:p>
  </w:endnote>
  <w:endnote w:type="continuationSeparator" w:id="0">
    <w:p w:rsidR="00000000" w:rsidRDefault="00CE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6E" w:rsidRDefault="002D036E"/>
  </w:footnote>
  <w:footnote w:type="continuationSeparator" w:id="0">
    <w:p w:rsidR="002D036E" w:rsidRDefault="002D03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BE9"/>
    <w:multiLevelType w:val="multilevel"/>
    <w:tmpl w:val="A31AA7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CD2393"/>
    <w:multiLevelType w:val="multilevel"/>
    <w:tmpl w:val="003AEA0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5B308C"/>
    <w:multiLevelType w:val="multilevel"/>
    <w:tmpl w:val="5F662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A0F18"/>
    <w:multiLevelType w:val="multilevel"/>
    <w:tmpl w:val="9924A236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DE2D21"/>
    <w:multiLevelType w:val="multilevel"/>
    <w:tmpl w:val="05665D4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E97D14"/>
    <w:multiLevelType w:val="multilevel"/>
    <w:tmpl w:val="6750EE10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90F24"/>
    <w:multiLevelType w:val="multilevel"/>
    <w:tmpl w:val="27ECD1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6E41D6"/>
    <w:multiLevelType w:val="multilevel"/>
    <w:tmpl w:val="049059B8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D8090B"/>
    <w:multiLevelType w:val="multilevel"/>
    <w:tmpl w:val="2D683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81EC4"/>
    <w:multiLevelType w:val="multilevel"/>
    <w:tmpl w:val="E1E0CDD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2C59D5"/>
    <w:multiLevelType w:val="multilevel"/>
    <w:tmpl w:val="25C8F6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A64708"/>
    <w:multiLevelType w:val="multilevel"/>
    <w:tmpl w:val="785E412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D521C1"/>
    <w:multiLevelType w:val="multilevel"/>
    <w:tmpl w:val="1D349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AA2014"/>
    <w:multiLevelType w:val="multilevel"/>
    <w:tmpl w:val="A5CE5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036E"/>
    <w:rsid w:val="002D036E"/>
    <w:rsid w:val="00C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B439"/>
  <w15:docId w15:val="{D6F797E5-9072-4EDA-9DDF-040B1095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1">
    <w:name w:val="Heading #4|1_"/>
    <w:basedOn w:val="Standardnpsmoodstavce"/>
    <w:link w:val="Heading41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7AAB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7AAB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9pt">
    <w:name w:val="Body text|2 + 9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/>
      <w:iCs/>
      <w:smallCaps w:val="0"/>
      <w:strike w:val="0"/>
      <w:u w:val="none"/>
    </w:rPr>
  </w:style>
  <w:style w:type="character" w:customStyle="1" w:styleId="Bodytext4NotItalic">
    <w:name w:val="Body text|4 + Not Italic"/>
    <w:basedOn w:val="Bodytext4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after="180" w:line="310" w:lineRule="exact"/>
      <w:jc w:val="center"/>
      <w:outlineLvl w:val="2"/>
    </w:pPr>
    <w:rPr>
      <w:b/>
      <w:bCs/>
      <w:sz w:val="28"/>
      <w:szCs w:val="28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180" w:line="274" w:lineRule="exact"/>
      <w:jc w:val="both"/>
      <w:outlineLvl w:val="3"/>
    </w:pPr>
    <w:rPr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74" w:lineRule="exact"/>
      <w:jc w:val="both"/>
    </w:pPr>
    <w:rPr>
      <w:b/>
      <w:bCs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74" w:lineRule="exact"/>
      <w:ind w:hanging="420"/>
      <w:jc w:val="both"/>
    </w:p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440" w:line="418" w:lineRule="exact"/>
      <w:jc w:val="center"/>
      <w:outlineLvl w:val="0"/>
    </w:pPr>
    <w:rPr>
      <w:b/>
      <w:bCs/>
      <w:sz w:val="36"/>
      <w:szCs w:val="3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440" w:line="278" w:lineRule="exact"/>
    </w:pPr>
    <w:rPr>
      <w:b/>
      <w:bCs/>
      <w:i/>
      <w:iCs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418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02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84" w:lineRule="exact"/>
      <w:jc w:val="both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1981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2025-09-12T07:45:00Z</dcterms:created>
  <dcterms:modified xsi:type="dcterms:W3CDTF">2025-09-12T07:49:00Z</dcterms:modified>
</cp:coreProperties>
</file>