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895/2025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Královský potok v Povrlech - opevnění u č. p. 140</w:t>
      </w:r>
    </w:p>
    <w:p>
      <w:pPr>
        <w:pStyle w:val="Style2"/>
        <w:keepNext w:val="0"/>
        <w:keepLines w:val="0"/>
        <w:widowControl w:val="0"/>
        <w:shd w:val="clear" w:color="auto" w:fill="auto"/>
        <w:bidi w:val="0"/>
        <w:spacing w:before="0" w:after="0" w:line="240" w:lineRule="auto"/>
        <w:ind w:left="214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6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V&amp;J Stavební, a.s.</w:t>
      </w:r>
    </w:p>
    <w:p>
      <w:pPr>
        <w:pStyle w:val="Style2"/>
        <w:keepNext w:val="0"/>
        <w:keepLines w:val="0"/>
        <w:widowControl w:val="0"/>
        <w:shd w:val="clear" w:color="auto" w:fill="auto"/>
        <w:bidi w:val="0"/>
        <w:spacing w:before="0" w:after="0" w:line="240" w:lineRule="auto"/>
        <w:ind w:left="2340" w:right="0" w:firstLine="60"/>
        <w:jc w:val="both"/>
      </w:pPr>
      <w:r>
        <w:rPr>
          <w:color w:val="000000"/>
          <w:spacing w:val="0"/>
          <w:w w:val="100"/>
          <w:position w:val="0"/>
          <w:shd w:val="clear" w:color="auto" w:fill="auto"/>
          <w:lang w:val="cs-CZ" w:eastAsia="cs-CZ" w:bidi="cs-CZ"/>
        </w:rPr>
        <w:t>Jetenovice 48, 341 01 Velký Bor 28002474</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CZ 28002474</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after="20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Královský potok v Povrlech - opevnění u č. p. 140</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oprava stávající LB opěrné zdi v intravilánu obce Povrly u č. p. 140 (ř. km 0,949-0,962).</w:t>
      </w:r>
      <w:bookmarkEnd w:id="11"/>
      <w:bookmarkEnd w:id="8"/>
      <w:bookmarkEnd w:id="9"/>
    </w:p>
    <w:p>
      <w:pPr>
        <w:pStyle w:val="Style12"/>
        <w:keepNext/>
        <w:keepLines/>
        <w:widowControl w:val="0"/>
        <w:shd w:val="clear" w:color="auto" w:fill="auto"/>
        <w:bidi w:val="0"/>
        <w:spacing w:before="0" w:after="0" w:line="240" w:lineRule="auto"/>
        <w:ind w:left="380" w:right="0" w:firstLine="2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Jde o dva úseky zdi, které jsou provizorně zabezpečeny kameny vyskládanými na sucho viz popis níže:</w:t>
      </w:r>
      <w:bookmarkEnd w:id="12"/>
      <w:bookmarkEnd w:id="13"/>
      <w:bookmarkEnd w:id="14"/>
    </w:p>
    <w:p>
      <w:pPr>
        <w:pStyle w:val="Style12"/>
        <w:keepNext/>
        <w:keepLines/>
        <w:widowControl w:val="0"/>
        <w:shd w:val="clear" w:color="auto" w:fill="auto"/>
        <w:bidi w:val="0"/>
        <w:spacing w:before="0" w:after="0" w:line="240" w:lineRule="auto"/>
        <w:ind w:left="380" w:right="0" w:firstLine="20"/>
        <w:jc w:val="both"/>
      </w:pPr>
      <w:bookmarkStart w:id="15" w:name="bookmark15"/>
      <w:bookmarkStart w:id="16" w:name="bookmark16"/>
      <w:bookmarkStart w:id="17" w:name="bookmark17"/>
      <w:r>
        <w:rPr>
          <w:color w:val="000000"/>
          <w:spacing w:val="0"/>
          <w:w w:val="100"/>
          <w:position w:val="0"/>
          <w:shd w:val="clear" w:color="auto" w:fill="auto"/>
          <w:lang w:val="cs-CZ" w:eastAsia="cs-CZ" w:bidi="cs-CZ"/>
        </w:rPr>
        <w:t>Úsek A: ř. km 0,949 – 0,953, délka poškozené zdi cca 4 m; výška zdi 1,4 m; šířka zdiva v koruně 0,3 m</w:t>
      </w:r>
      <w:bookmarkEnd w:id="15"/>
      <w:bookmarkEnd w:id="16"/>
      <w:bookmarkEnd w:id="17"/>
    </w:p>
    <w:p>
      <w:pPr>
        <w:pStyle w:val="Style12"/>
        <w:keepNext/>
        <w:keepLines/>
        <w:widowControl w:val="0"/>
        <w:shd w:val="clear" w:color="auto" w:fill="auto"/>
        <w:bidi w:val="0"/>
        <w:spacing w:before="0" w:after="200" w:line="240" w:lineRule="auto"/>
        <w:ind w:left="380" w:right="0" w:firstLine="20"/>
        <w:jc w:val="both"/>
      </w:pPr>
      <w:bookmarkStart w:id="18" w:name="bookmark18"/>
      <w:bookmarkStart w:id="19" w:name="bookmark19"/>
      <w:bookmarkStart w:id="20" w:name="bookmark20"/>
      <w:r>
        <w:rPr>
          <w:color w:val="000000"/>
          <w:spacing w:val="0"/>
          <w:w w:val="100"/>
          <w:position w:val="0"/>
          <w:shd w:val="clear" w:color="auto" w:fill="auto"/>
          <w:lang w:val="cs-CZ" w:eastAsia="cs-CZ" w:bidi="cs-CZ"/>
        </w:rPr>
        <w:t>Úsek B: ř. km 0,958 – 0,962, délka poškozené zdi cca 4 m; výška zdi 1,8 m; šířka zdiva v koruně 0,3 m</w:t>
      </w:r>
      <w:bookmarkEnd w:id="18"/>
      <w:bookmarkEnd w:id="19"/>
      <w:bookmarkEnd w:id="20"/>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otyto práce:</w:t>
      </w:r>
    </w:p>
    <w:p>
      <w:pPr>
        <w:pStyle w:val="Style2"/>
        <w:keepNext w:val="0"/>
        <w:keepLines w:val="0"/>
        <w:widowControl w:val="0"/>
        <w:shd w:val="clear" w:color="auto" w:fill="auto"/>
        <w:bidi w:val="0"/>
        <w:spacing w:before="0" w:after="0" w:line="221" w:lineRule="auto"/>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Bourání zdiva kamenného v odkopávkách nebo prokopávkách na MC – 2,84 m³</w:t>
      </w:r>
    </w:p>
    <w:p>
      <w:pPr>
        <w:pStyle w:val="Style2"/>
        <w:keepNext w:val="0"/>
        <w:keepLines w:val="0"/>
        <w:widowControl w:val="0"/>
        <w:shd w:val="clear" w:color="auto" w:fill="auto"/>
        <w:bidi w:val="0"/>
        <w:spacing w:before="0" w:after="0" w:line="221" w:lineRule="auto"/>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Výkopové práce za rubem stávající zdi – 2,84 m³</w:t>
      </w:r>
    </w:p>
    <w:p>
      <w:pPr>
        <w:pStyle w:val="Style2"/>
        <w:keepNext w:val="0"/>
        <w:keepLines w:val="0"/>
        <w:widowControl w:val="0"/>
        <w:shd w:val="clear" w:color="auto" w:fill="auto"/>
        <w:bidi w:val="0"/>
        <w:spacing w:before="0" w:after="0" w:line="230" w:lineRule="auto"/>
        <w:ind w:left="110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Zdivo nadzákladové z lomového kamene rubové a obkladní s vyspárováním – 7,68 m³</w:t>
      </w:r>
    </w:p>
    <w:p>
      <w:pPr>
        <w:pStyle w:val="Style2"/>
        <w:keepNext w:val="0"/>
        <w:keepLines w:val="0"/>
        <w:widowControl w:val="0"/>
        <w:shd w:val="clear" w:color="auto" w:fill="auto"/>
        <w:bidi w:val="0"/>
        <w:spacing w:before="0" w:after="0" w:line="230" w:lineRule="auto"/>
        <w:ind w:left="110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Odvodnění rubu zdi HDPE potrubím DN 63 délky 0,8 m včetně zatěsnění těsnící maltou – 2 ks</w:t>
      </w:r>
    </w:p>
    <w:p>
      <w:pPr>
        <w:pStyle w:val="Style2"/>
        <w:keepNext w:val="0"/>
        <w:keepLines w:val="0"/>
        <w:widowControl w:val="0"/>
        <w:shd w:val="clear" w:color="auto" w:fill="auto"/>
        <w:bidi w:val="0"/>
        <w:spacing w:before="0" w:after="0" w:line="230" w:lineRule="auto"/>
        <w:ind w:left="110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Navrácení vykopané zeminy, vysvahování a osetí zeleného pruhu za rubem nové zdi</w:t>
      </w:r>
    </w:p>
    <w:p>
      <w:pPr>
        <w:pStyle w:val="Style2"/>
        <w:keepNext w:val="0"/>
        <w:keepLines w:val="0"/>
        <w:widowControl w:val="0"/>
        <w:shd w:val="clear" w:color="auto" w:fill="auto"/>
        <w:bidi w:val="0"/>
        <w:spacing w:before="0" w:after="0" w:line="221" w:lineRule="auto"/>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Převod vody hrázkováním (pytle s pískem) v průběhu provádění zakázky</w:t>
      </w:r>
    </w:p>
    <w:p>
      <w:pPr>
        <w:pStyle w:val="Style2"/>
        <w:keepNext w:val="0"/>
        <w:keepLines w:val="0"/>
        <w:widowControl w:val="0"/>
        <w:shd w:val="clear" w:color="auto" w:fill="auto"/>
        <w:bidi w:val="0"/>
        <w:spacing w:before="0" w:after="0" w:line="230" w:lineRule="auto"/>
        <w:ind w:left="110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vzniklého odpadu v souladu s platnými právními předpisy ČR</w:t>
      </w:r>
    </w:p>
    <w:p>
      <w:pPr>
        <w:pStyle w:val="Style2"/>
        <w:keepNext w:val="0"/>
        <w:keepLines w:val="0"/>
        <w:widowControl w:val="0"/>
        <w:shd w:val="clear" w:color="auto" w:fill="auto"/>
        <w:bidi w:val="0"/>
        <w:spacing w:before="0" w:after="0" w:line="221" w:lineRule="auto"/>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Přístup ke stavbě je předpokládán přes parcelu p. p. č. 793/1 v k. ú. Povrly ve vlastnictví obce Povrly na základě předchozího písemného souhlasu ze dne 19.3.2025.</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200" w:line="240" w:lineRule="auto"/>
        <w:ind w:left="380" w:right="0" w:firstLine="20"/>
        <w:jc w:val="left"/>
      </w:pPr>
      <w:r>
        <w:rPr>
          <w:color w:val="000000"/>
          <w:spacing w:val="0"/>
          <w:w w:val="100"/>
          <w:position w:val="0"/>
          <w:shd w:val="clear" w:color="auto" w:fill="auto"/>
          <w:lang w:val="cs-CZ" w:eastAsia="cs-CZ" w:bidi="cs-CZ"/>
        </w:rPr>
        <w:t>Koryto vodního toku Královský potok v Povrlech ……... Jedná se o tento pozemek ve správě Povodí Ohře, státní podnik: p. p. č. 438 v k. ú. Povrly.</w:t>
      </w:r>
    </w:p>
    <w:p>
      <w:pPr>
        <w:pStyle w:val="Style12"/>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21"/>
      <w:bookmarkEnd w:id="22"/>
      <w:bookmarkEnd w:id="24"/>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Za předmět díla se dále považuje:</w:t>
      </w:r>
      <w:bookmarkEnd w:id="25"/>
      <w:bookmarkEnd w:id="26"/>
      <w:bookmarkEnd w:id="28"/>
    </w:p>
    <w:p>
      <w:pPr>
        <w:pStyle w:val="Style12"/>
        <w:keepNext/>
        <w:keepLines/>
        <w:widowControl w:val="0"/>
        <w:numPr>
          <w:ilvl w:val="0"/>
          <w:numId w:val="3"/>
        </w:numPr>
        <w:shd w:val="clear" w:color="auto" w:fill="auto"/>
        <w:tabs>
          <w:tab w:pos="792" w:val="left"/>
        </w:tabs>
        <w:bidi w:val="0"/>
        <w:spacing w:before="0" w:after="0" w:line="240" w:lineRule="auto"/>
        <w:ind w:right="0" w:hanging="34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9"/>
      <w:bookmarkEnd w:id="30"/>
      <w:bookmarkEnd w:id="32"/>
    </w:p>
    <w:p>
      <w:pPr>
        <w:pStyle w:val="Style12"/>
        <w:keepNext/>
        <w:keepLines/>
        <w:widowControl w:val="0"/>
        <w:numPr>
          <w:ilvl w:val="0"/>
          <w:numId w:val="3"/>
        </w:numPr>
        <w:shd w:val="clear" w:color="auto" w:fill="auto"/>
        <w:tabs>
          <w:tab w:pos="792" w:val="left"/>
        </w:tabs>
        <w:bidi w:val="0"/>
        <w:spacing w:before="0" w:after="0" w:line="240" w:lineRule="auto"/>
        <w:ind w:right="0" w:hanging="34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33"/>
      <w:bookmarkEnd w:id="34"/>
      <w:bookmarkEnd w:id="36"/>
    </w:p>
    <w:p>
      <w:pPr>
        <w:pStyle w:val="Style12"/>
        <w:keepNext/>
        <w:keepLines/>
        <w:widowControl w:val="0"/>
        <w:numPr>
          <w:ilvl w:val="0"/>
          <w:numId w:val="3"/>
        </w:numPr>
        <w:shd w:val="clear" w:color="auto" w:fill="auto"/>
        <w:tabs>
          <w:tab w:pos="792" w:val="left"/>
        </w:tabs>
        <w:bidi w:val="0"/>
        <w:spacing w:before="0" w:after="0" w:line="240" w:lineRule="auto"/>
        <w:ind w:right="0" w:hanging="34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37"/>
      <w:bookmarkEnd w:id="38"/>
      <w:bookmarkEnd w:id="40"/>
    </w:p>
    <w:p>
      <w:pPr>
        <w:pStyle w:val="Style12"/>
        <w:keepNext/>
        <w:keepLines/>
        <w:widowControl w:val="0"/>
        <w:numPr>
          <w:ilvl w:val="0"/>
          <w:numId w:val="3"/>
        </w:numPr>
        <w:shd w:val="clear" w:color="auto" w:fill="auto"/>
        <w:tabs>
          <w:tab w:pos="792" w:val="left"/>
        </w:tabs>
        <w:bidi w:val="0"/>
        <w:spacing w:before="0" w:after="0" w:line="240" w:lineRule="auto"/>
        <w:ind w:right="0" w:hanging="34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41"/>
      <w:bookmarkEnd w:id="42"/>
      <w:bookmarkEnd w:id="44"/>
    </w:p>
    <w:p>
      <w:pPr>
        <w:pStyle w:val="Style12"/>
        <w:keepNext/>
        <w:keepLines/>
        <w:widowControl w:val="0"/>
        <w:numPr>
          <w:ilvl w:val="0"/>
          <w:numId w:val="3"/>
        </w:numPr>
        <w:shd w:val="clear" w:color="auto" w:fill="auto"/>
        <w:tabs>
          <w:tab w:pos="792" w:val="left"/>
        </w:tabs>
        <w:bidi w:val="0"/>
        <w:spacing w:before="0" w:after="200" w:line="240" w:lineRule="auto"/>
        <w:ind w:right="0" w:hanging="34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45"/>
      <w:bookmarkEnd w:id="46"/>
      <w:bookmarkEnd w:id="48"/>
    </w:p>
    <w:p>
      <w:pPr>
        <w:pStyle w:val="Style12"/>
        <w:keepNext/>
        <w:keepLines/>
        <w:widowControl w:val="0"/>
        <w:numPr>
          <w:ilvl w:val="0"/>
          <w:numId w:val="3"/>
        </w:numPr>
        <w:shd w:val="clear" w:color="auto" w:fill="auto"/>
        <w:tabs>
          <w:tab w:pos="806" w:val="left"/>
        </w:tabs>
        <w:bidi w:val="0"/>
        <w:spacing w:before="0" w:after="0" w:line="240" w:lineRule="auto"/>
        <w:ind w:left="820"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49"/>
      <w:bookmarkEnd w:id="50"/>
      <w:bookmarkEnd w:id="52"/>
    </w:p>
    <w:p>
      <w:pPr>
        <w:pStyle w:val="Style12"/>
        <w:keepNext/>
        <w:keepLines/>
        <w:widowControl w:val="0"/>
        <w:numPr>
          <w:ilvl w:val="0"/>
          <w:numId w:val="3"/>
        </w:numPr>
        <w:shd w:val="clear" w:color="auto" w:fill="auto"/>
        <w:tabs>
          <w:tab w:pos="821" w:val="left"/>
        </w:tabs>
        <w:bidi w:val="0"/>
        <w:spacing w:before="0" w:after="0" w:line="240" w:lineRule="auto"/>
        <w:ind w:left="820"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3"/>
      <w:bookmarkEnd w:id="54"/>
      <w:bookmarkEnd w:id="56"/>
    </w:p>
    <w:p>
      <w:pPr>
        <w:pStyle w:val="Style12"/>
        <w:keepNext/>
        <w:keepLines/>
        <w:widowControl w:val="0"/>
        <w:numPr>
          <w:ilvl w:val="0"/>
          <w:numId w:val="3"/>
        </w:numPr>
        <w:shd w:val="clear" w:color="auto" w:fill="auto"/>
        <w:tabs>
          <w:tab w:pos="821" w:val="left"/>
        </w:tabs>
        <w:bidi w:val="0"/>
        <w:spacing w:before="0" w:after="0" w:line="240" w:lineRule="auto"/>
        <w:ind w:left="820" w:right="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57"/>
      <w:bookmarkEnd w:id="58"/>
      <w:bookmarkEnd w:id="60"/>
    </w:p>
    <w:p>
      <w:pPr>
        <w:pStyle w:val="Style12"/>
        <w:keepNext/>
        <w:keepLines/>
        <w:widowControl w:val="0"/>
        <w:numPr>
          <w:ilvl w:val="0"/>
          <w:numId w:val="3"/>
        </w:numPr>
        <w:shd w:val="clear" w:color="auto" w:fill="auto"/>
        <w:tabs>
          <w:tab w:pos="821" w:val="left"/>
        </w:tabs>
        <w:bidi w:val="0"/>
        <w:spacing w:before="0" w:after="0" w:line="240" w:lineRule="auto"/>
        <w:ind w:left="820"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61"/>
      <w:bookmarkEnd w:id="62"/>
      <w:bookmarkEnd w:id="64"/>
    </w:p>
    <w:p>
      <w:pPr>
        <w:pStyle w:val="Style12"/>
        <w:keepNext/>
        <w:keepLines/>
        <w:widowControl w:val="0"/>
        <w:numPr>
          <w:ilvl w:val="0"/>
          <w:numId w:val="3"/>
        </w:numPr>
        <w:shd w:val="clear" w:color="auto" w:fill="auto"/>
        <w:tabs>
          <w:tab w:pos="806" w:val="left"/>
        </w:tabs>
        <w:bidi w:val="0"/>
        <w:spacing w:before="0" w:after="0" w:line="240" w:lineRule="auto"/>
        <w:ind w:left="0" w:right="0" w:firstLine="44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plnění podmínek pro stavbu vydaných stanovisek a rozhodnutí správních orgánů</w:t>
      </w:r>
      <w:bookmarkEnd w:id="65"/>
      <w:bookmarkEnd w:id="66"/>
      <w:bookmarkEnd w:id="68"/>
    </w:p>
    <w:p>
      <w:pPr>
        <w:pStyle w:val="Style12"/>
        <w:keepNext/>
        <w:keepLines/>
        <w:widowControl w:val="0"/>
        <w:numPr>
          <w:ilvl w:val="0"/>
          <w:numId w:val="3"/>
        </w:numPr>
        <w:shd w:val="clear" w:color="auto" w:fill="auto"/>
        <w:tabs>
          <w:tab w:pos="821" w:val="left"/>
        </w:tabs>
        <w:bidi w:val="0"/>
        <w:spacing w:before="0" w:after="0" w:line="240" w:lineRule="auto"/>
        <w:ind w:left="820"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zajištění vyjádření k existenci technické infrastruktury a plnění podmínek těchto vyjádření.</w:t>
      </w:r>
      <w:bookmarkEnd w:id="69"/>
      <w:bookmarkEnd w:id="70"/>
      <w:bookmarkEnd w:id="72"/>
    </w:p>
    <w:p>
      <w:pPr>
        <w:pStyle w:val="Style12"/>
        <w:keepNext/>
        <w:keepLines/>
        <w:widowControl w:val="0"/>
        <w:numPr>
          <w:ilvl w:val="0"/>
          <w:numId w:val="3"/>
        </w:numPr>
        <w:shd w:val="clear" w:color="auto" w:fill="auto"/>
        <w:tabs>
          <w:tab w:pos="821" w:val="left"/>
        </w:tabs>
        <w:bidi w:val="0"/>
        <w:spacing w:before="0" w:after="200" w:line="240" w:lineRule="auto"/>
        <w:ind w:left="820"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73"/>
      <w:bookmarkEnd w:id="74"/>
      <w:bookmarkEnd w:id="76"/>
    </w:p>
    <w:p>
      <w:pPr>
        <w:pStyle w:val="Style12"/>
        <w:keepNext/>
        <w:keepLines/>
        <w:widowControl w:val="0"/>
        <w:numPr>
          <w:ilvl w:val="0"/>
          <w:numId w:val="1"/>
        </w:numPr>
        <w:shd w:val="clear" w:color="auto" w:fill="auto"/>
        <w:tabs>
          <w:tab w:pos="400" w:val="left"/>
        </w:tabs>
        <w:bidi w:val="0"/>
        <w:spacing w:before="0" w:after="200" w:line="240" w:lineRule="auto"/>
        <w:ind w:left="440" w:right="0" w:hanging="440"/>
        <w:jc w:val="left"/>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7"/>
      <w:bookmarkEnd w:id="78"/>
      <w:bookmarkEnd w:id="80"/>
    </w:p>
    <w:p>
      <w:pPr>
        <w:pStyle w:val="Style12"/>
        <w:keepNext/>
        <w:keepLines/>
        <w:widowControl w:val="0"/>
        <w:numPr>
          <w:ilvl w:val="0"/>
          <w:numId w:val="1"/>
        </w:numPr>
        <w:shd w:val="clear" w:color="auto" w:fill="auto"/>
        <w:tabs>
          <w:tab w:pos="400" w:val="left"/>
        </w:tabs>
        <w:bidi w:val="0"/>
        <w:spacing w:before="0" w:after="200" w:line="240" w:lineRule="auto"/>
        <w:ind w:left="440" w:right="0" w:hanging="440"/>
        <w:jc w:val="left"/>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81"/>
      <w:bookmarkEnd w:id="82"/>
      <w:bookmarkEnd w:id="84"/>
    </w:p>
    <w:p>
      <w:pPr>
        <w:pStyle w:val="Style12"/>
        <w:keepNext/>
        <w:keepLines/>
        <w:widowControl w:val="0"/>
        <w:numPr>
          <w:ilvl w:val="0"/>
          <w:numId w:val="1"/>
        </w:numPr>
        <w:shd w:val="clear" w:color="auto" w:fill="auto"/>
        <w:tabs>
          <w:tab w:pos="400" w:val="left"/>
        </w:tabs>
        <w:bidi w:val="0"/>
        <w:spacing w:before="0" w:after="0" w:line="240" w:lineRule="auto"/>
        <w:ind w:left="440" w:right="0" w:hanging="440"/>
        <w:jc w:val="left"/>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Objednatel předá zhotoviteli staveniště (nebo jeho ucelenou část) prosté práv třetích osob.</w:t>
      </w:r>
      <w:bookmarkEnd w:id="85"/>
      <w:bookmarkEnd w:id="86"/>
      <w:bookmarkEnd w:id="88"/>
    </w:p>
    <w:p>
      <w:pPr>
        <w:pStyle w:val="Style12"/>
        <w:keepNext/>
        <w:keepLines/>
        <w:widowControl w:val="0"/>
        <w:shd w:val="clear" w:color="auto" w:fill="auto"/>
        <w:bidi w:val="0"/>
        <w:spacing w:before="0" w:after="200" w:line="240" w:lineRule="auto"/>
        <w:ind w:left="440" w:right="0" w:firstLine="2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89"/>
      <w:bookmarkEnd w:id="90"/>
      <w:bookmarkEnd w:id="91"/>
    </w:p>
    <w:p>
      <w:pPr>
        <w:pStyle w:val="Style12"/>
        <w:keepNext/>
        <w:keepLines/>
        <w:widowControl w:val="0"/>
        <w:numPr>
          <w:ilvl w:val="0"/>
          <w:numId w:val="1"/>
        </w:numPr>
        <w:shd w:val="clear" w:color="auto" w:fill="auto"/>
        <w:tabs>
          <w:tab w:pos="400" w:val="left"/>
        </w:tabs>
        <w:bidi w:val="0"/>
        <w:spacing w:before="0" w:after="0" w:line="240" w:lineRule="auto"/>
        <w:ind w:left="0" w:right="0" w:firstLine="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Pro účely této smlouvy se rozumí:</w:t>
      </w:r>
      <w:bookmarkEnd w:id="92"/>
      <w:bookmarkEnd w:id="93"/>
      <w:bookmarkEnd w:id="95"/>
    </w:p>
    <w:p>
      <w:pPr>
        <w:pStyle w:val="Style2"/>
        <w:keepNext w:val="0"/>
        <w:keepLines w:val="0"/>
        <w:widowControl w:val="0"/>
        <w:shd w:val="clear" w:color="auto" w:fill="auto"/>
        <w:bidi w:val="0"/>
        <w:spacing w:before="0" w:after="200" w:line="240" w:lineRule="auto"/>
        <w:ind w:left="440" w:right="0" w:firstLine="20"/>
        <w:jc w:val="both"/>
      </w:pPr>
      <w:r>
        <w:rPr>
          <w:color w:val="000000"/>
          <w:spacing w:val="0"/>
          <w:w w:val="100"/>
          <w:position w:val="0"/>
          <w:shd w:val="clear" w:color="auto" w:fill="auto"/>
          <w:lang w:val="cs-CZ" w:eastAsia="cs-CZ" w:bidi="cs-CZ"/>
        </w:rPr>
        <w:t>Stavbyvedoucím je odborně způsobilá osoba, které při plnění zakázky zabezpečuje odborné vedení provádění stavby ve smyslu zákona č. 283/2021 Sb. (stavební zákon), ve znění pozdějších předpisů a veškeré další činnosti stanovené zněním smlouvy, zejména vedení stavebního deníku a zajištění plynulosti plnění zakázky.</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400" w:val="left"/>
        </w:tabs>
        <w:bidi w:val="0"/>
        <w:spacing w:before="0" w:after="0" w:line="240" w:lineRule="auto"/>
        <w:ind w:left="0" w:right="0" w:firstLine="0"/>
        <w:jc w:val="left"/>
      </w:pPr>
      <w:bookmarkStart w:id="96" w:name="bookmark96"/>
      <w:bookmarkEnd w:id="9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806" w:val="left"/>
        </w:tabs>
        <w:bidi w:val="0"/>
        <w:spacing w:before="0" w:after="0" w:line="240" w:lineRule="auto"/>
        <w:ind w:left="0" w:right="0" w:firstLine="440"/>
        <w:jc w:val="both"/>
      </w:pPr>
      <w:bookmarkStart w:id="97" w:name="bookmark97"/>
      <w:bookmarkEnd w:id="97"/>
      <w:r>
        <w:rPr>
          <w:b/>
          <w:bCs/>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200" w:line="240" w:lineRule="auto"/>
        <w:ind w:left="740" w:right="0" w:firstLine="0"/>
        <w:jc w:val="both"/>
      </w:pPr>
      <w:r>
        <w:rPr>
          <w:color w:val="000000"/>
          <w:spacing w:val="0"/>
          <w:w w:val="100"/>
          <w:position w:val="0"/>
          <w:shd w:val="clear" w:color="auto" w:fill="auto"/>
          <w:lang w:val="cs-CZ" w:eastAsia="cs-CZ" w:bidi="cs-CZ"/>
        </w:rPr>
        <w:t>Zhotovitel je povinen si převzít staveniště nejpozději do 14 dnů od písemné výzvy TDI Výzva bude odeslána na e-mail zhotovitele: ………………..</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98" w:name="bookmark98"/>
      <w:bookmarkEnd w:id="98"/>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99" w:name="bookmark99"/>
      <w:bookmarkEnd w:id="99"/>
      <w:r>
        <w:rPr>
          <w:b/>
          <w:bCs/>
          <w:color w:val="000000"/>
          <w:spacing w:val="0"/>
          <w:w w:val="100"/>
          <w:position w:val="0"/>
          <w:shd w:val="clear" w:color="auto" w:fill="auto"/>
          <w:lang w:val="cs-CZ" w:eastAsia="cs-CZ" w:bidi="cs-CZ"/>
        </w:rPr>
        <w:t>dílčí termín pro dokončení zděných konstrukcí:</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Nejpozději do 31.10.2025</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100" w:name="bookmark100"/>
      <w:bookmarkEnd w:id="100"/>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14.11.2025</w:t>
      </w:r>
    </w:p>
    <w:p>
      <w:pPr>
        <w:pStyle w:val="Style2"/>
        <w:keepNext w:val="0"/>
        <w:keepLines w:val="0"/>
        <w:widowControl w:val="0"/>
        <w:numPr>
          <w:ilvl w:val="0"/>
          <w:numId w:val="7"/>
        </w:numPr>
        <w:shd w:val="clear" w:color="auto" w:fill="auto"/>
        <w:tabs>
          <w:tab w:pos="811" w:val="left"/>
        </w:tabs>
        <w:bidi w:val="0"/>
        <w:spacing w:before="0" w:after="200" w:line="240" w:lineRule="auto"/>
        <w:ind w:left="720" w:right="0" w:hanging="320"/>
        <w:jc w:val="both"/>
      </w:pPr>
      <w:bookmarkStart w:id="101" w:name="bookmark101"/>
      <w:bookmarkEnd w:id="101"/>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102" w:name="bookmark102"/>
      <w:bookmarkEnd w:id="10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103" w:name="bookmark103"/>
      <w:bookmarkEnd w:id="10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88" w:lineRule="auto"/>
        <w:ind w:left="380" w:right="0" w:hanging="380"/>
        <w:jc w:val="both"/>
      </w:pPr>
      <w:bookmarkStart w:id="104" w:name="bookmark104"/>
      <w:bookmarkEnd w:id="104"/>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634" w:val="left"/>
        </w:tabs>
        <w:bidi w:val="0"/>
        <w:spacing w:before="0" w:after="60" w:line="240" w:lineRule="auto"/>
        <w:ind w:left="0" w:right="0" w:firstLine="380"/>
        <w:jc w:val="left"/>
      </w:pPr>
      <w:r>
        <w:rPr>
          <w:b/>
          <w:bCs/>
          <w:color w:val="000000"/>
          <w:spacing w:val="0"/>
          <w:w w:val="100"/>
          <w:position w:val="0"/>
          <w:shd w:val="clear" w:color="auto" w:fill="auto"/>
          <w:lang w:val="cs-CZ" w:eastAsia="cs-CZ" w:bidi="cs-CZ"/>
        </w:rPr>
        <w:t>Cena díla:</w:t>
        <w:tab/>
        <w:t>128.544,00 Kč bez DPH</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left"/>
      </w:pPr>
      <w:bookmarkStart w:id="109" w:name="bookmark109"/>
      <w:bookmarkEnd w:id="10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66" w:val="left"/>
        </w:tabs>
        <w:bidi w:val="0"/>
        <w:spacing w:before="0" w:after="6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66" w:val="left"/>
        </w:tabs>
        <w:bidi w:val="0"/>
        <w:spacing w:before="0" w:after="6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66" w:val="left"/>
        </w:tabs>
        <w:bidi w:val="0"/>
        <w:spacing w:before="0" w:after="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6"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66" w:val="left"/>
        </w:tabs>
        <w:bidi w:val="0"/>
        <w:spacing w:before="0" w:line="240" w:lineRule="auto"/>
        <w:ind w:left="0" w:right="0" w:firstLine="0"/>
        <w:jc w:val="left"/>
      </w:pPr>
      <w:bookmarkStart w:id="115" w:name="bookmark115"/>
      <w:bookmarkEnd w:id="11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6"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Pokud bude zhotovitel v prodlení proti dílčím termínu pro dokončení zděných konstrukcí sjednaného dle čl. II. odst. 1. písm. c) této smlouvy, je povinen zaplatit objednateli smluvní pokutu ve výši 0,2 % z ceny díla bez DPH dle čl. III. této smlouvy za každý i započatý kalendářní den prodlení, až do dne podpisu zápisu o předání a převzetí dokončené části díla.</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Při nesplnění termínu vyklizení staveniště,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502" w:val="left"/>
        </w:tabs>
        <w:bidi w:val="0"/>
        <w:spacing w:before="0" w:after="20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502"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4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left"/>
      </w:pPr>
      <w:bookmarkStart w:id="130" w:name="bookmark130"/>
      <w:bookmarkEnd w:id="13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131" w:name="bookmark131"/>
      <w:bookmarkEnd w:id="13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32" w:name="bookmark132"/>
      <w:bookmarkEnd w:id="13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33" w:name="bookmark133"/>
      <w:bookmarkEnd w:id="13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60 měsíců ode dne předání a převzetí díla objednatelem.</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sectPr>
          <w:footnotePr>
            <w:pos w:val="pageBottom"/>
            <w:numFmt w:val="decimal"/>
            <w:numRestart w:val="continuous"/>
          </w:footnotePr>
          <w:pgSz w:w="11909" w:h="16838"/>
          <w:pgMar w:top="1161" w:left="1392" w:right="1301" w:bottom="1353" w:header="0" w:footer="3" w:gutter="0"/>
          <w:cols w:space="720"/>
          <w:noEndnote/>
          <w:rtlGutter w:val="0"/>
          <w:docGrid w:linePitch="360"/>
        </w:sectPr>
      </w:pPr>
      <w:bookmarkStart w:id="138" w:name="bookmark138"/>
      <w:bookmarkEnd w:id="13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6"/>
      <w:bookmarkEnd w:id="147"/>
      <w:bookmarkEnd w:id="149"/>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bezdůvodném přerušení prací zhotovitele, které trvá více než 14 dnů,</w:t>
      </w:r>
      <w:bookmarkEnd w:id="150"/>
      <w:bookmarkEnd w:id="151"/>
      <w:bookmarkEnd w:id="153"/>
    </w:p>
    <w:p>
      <w:pPr>
        <w:pStyle w:val="Style12"/>
        <w:keepNext/>
        <w:keepLines/>
        <w:widowControl w:val="0"/>
        <w:numPr>
          <w:ilvl w:val="0"/>
          <w:numId w:val="25"/>
        </w:numPr>
        <w:shd w:val="clear" w:color="auto" w:fill="auto"/>
        <w:tabs>
          <w:tab w:pos="1410" w:val="left"/>
        </w:tabs>
        <w:bidi w:val="0"/>
        <w:spacing w:before="0" w:after="0" w:line="240" w:lineRule="auto"/>
        <w:ind w:left="1160"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54"/>
      <w:bookmarkEnd w:id="155"/>
      <w:bookmarkEnd w:id="157"/>
    </w:p>
    <w:p>
      <w:pPr>
        <w:pStyle w:val="Style12"/>
        <w:keepNext/>
        <w:keepLines/>
        <w:widowControl w:val="0"/>
        <w:numPr>
          <w:ilvl w:val="0"/>
          <w:numId w:val="25"/>
        </w:numPr>
        <w:shd w:val="clear" w:color="auto" w:fill="auto"/>
        <w:tabs>
          <w:tab w:pos="1179" w:val="left"/>
        </w:tabs>
        <w:bidi w:val="0"/>
        <w:spacing w:before="0" w:after="180" w:line="240" w:lineRule="auto"/>
        <w:ind w:left="0" w:right="0" w:firstLine="80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neplněním povinností zhotovitele vést řádně zápisy do stavebního deníku.</w:t>
      </w:r>
      <w:bookmarkEnd w:id="158"/>
      <w:bookmarkEnd w:id="159"/>
      <w:bookmarkEnd w:id="161"/>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3298" w:val="left"/>
          <w:tab w:pos="6106" w:val="left"/>
          <w:tab w:pos="8722" w:val="left"/>
        </w:tabs>
        <w:bidi w:val="0"/>
        <w:spacing w:before="0" w:after="0" w:line="240" w:lineRule="auto"/>
        <w:ind w:left="380" w:right="0" w:hanging="380"/>
        <w:jc w:val="left"/>
      </w:pPr>
      <w:bookmarkStart w:id="167" w:name="bookmark167"/>
      <w:bookmarkEnd w:id="167"/>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68" w:name="bookmark168"/>
      <w:bookmarkEnd w:id="1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69" w:name="bookmark169"/>
      <w:bookmarkEnd w:id="16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r>
        <w:br w:type="page"/>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tbl>
      <w:tblPr>
        <w:tblOverlap w:val="never"/>
        <w:jc w:val="center"/>
        <w:tblLayout w:type="fixed"/>
      </w:tblPr>
      <w:tblGrid>
        <w:gridCol w:w="3576"/>
        <w:gridCol w:w="5544"/>
      </w:tblGrid>
      <w:tr>
        <w:trPr>
          <w:trHeight w:val="1027"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60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V&amp;J Stavební, a.s.</w:t>
            </w:r>
          </w:p>
        </w:tc>
      </w:tr>
    </w:tbl>
    <w:sectPr>
      <w:footnotePr>
        <w:pos w:val="pageBottom"/>
        <w:numFmt w:val="decimal"/>
        <w:numRestart w:val="continuous"/>
      </w:footnotePr>
      <w:pgSz w:w="11909" w:h="16838"/>
      <w:pgMar w:top="1091" w:left="1369" w:right="1337" w:bottom="122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5872480</wp:posOffset>
              </wp:positionH>
              <wp:positionV relativeFrom="page">
                <wp:posOffset>9973945</wp:posOffset>
              </wp:positionV>
              <wp:extent cx="801370" cy="161290"/>
              <wp:wrapNone/>
              <wp:docPr id="7" name="Shape 7"/>
              <a:graphic xmlns:a="http://schemas.openxmlformats.org/drawingml/2006/main">
                <a:graphicData uri="http://schemas.microsoft.com/office/word/2010/wordprocessingShape">
                  <wps:wsp>
                    <wps:cNvSpPr txBox="1"/>
                    <wps:spPr>
                      <a:xfrm>
                        <a:ext cx="80137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62.40000000000003pt;margin-top:785.35000000000002pt;width:63.100000000000001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394335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1.0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