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26936B96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AD0A63" w:rsidRPr="00AD0A63">
              <w:rPr>
                <w:rFonts w:cs="Arial"/>
                <w:b/>
                <w:bCs/>
                <w:sz w:val="20"/>
                <w:szCs w:val="20"/>
              </w:rPr>
              <w:t>Domov Sluníčko, Ostrava-Vítkovice, příspěvková organizace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137FDB"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D0A63" w:rsidRPr="00AD0A63">
              <w:rPr>
                <w:rFonts w:cs="Arial"/>
                <w:b/>
                <w:bCs/>
                <w:sz w:val="20"/>
                <w:szCs w:val="20"/>
              </w:rPr>
              <w:t>Syllabova 2886/19, Vítkovice, 70300 Ostrava</w:t>
            </w:r>
            <w:r w:rsidR="00137FDB" w:rsidRPr="00137FDB">
              <w:rPr>
                <w:rFonts w:cs="Arial"/>
                <w:b/>
                <w:bCs/>
                <w:sz w:val="20"/>
                <w:szCs w:val="20"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AD0A63" w:rsidRPr="00AD0A63">
              <w:rPr>
                <w:rFonts w:cs="Arial"/>
                <w:b/>
                <w:bCs/>
                <w:sz w:val="20"/>
                <w:szCs w:val="20"/>
              </w:rPr>
              <w:t>70631832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proofErr w:type="spellStart"/>
            <w:r>
              <w:t>Cc</w:t>
            </w:r>
            <w:proofErr w:type="spellEnd"/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 xml:space="preserve">, Prokešovo náměstí 1803/8, Moravská Ostrava, 702 </w:t>
            </w:r>
            <w:proofErr w:type="gramStart"/>
            <w:r w:rsidR="003F5EBC">
              <w:rPr>
                <w:b/>
                <w:bCs/>
              </w:rPr>
              <w:t>00  Ostrava</w:t>
            </w:r>
            <w:proofErr w:type="gramEnd"/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proofErr w:type="spellStart"/>
            <w:r w:rsidRPr="00801F97">
              <w:t>poolingu</w:t>
            </w:r>
            <w:proofErr w:type="spellEnd"/>
            <w:r w:rsidRPr="00801F97">
              <w:t xml:space="preserve">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</w:t>
            </w:r>
            <w:proofErr w:type="spellStart"/>
            <w:r w:rsidR="00917A6B" w:rsidRPr="00801F97">
              <w:t>ii</w:t>
            </w:r>
            <w:proofErr w:type="spellEnd"/>
            <w:r w:rsidR="00917A6B" w:rsidRPr="00801F97">
              <w:t>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52BEB150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BE2154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6E5C755D" w:rsidR="008E7F36" w:rsidRPr="00137FDB" w:rsidRDefault="00AD0A63" w:rsidP="00137FDB">
            <w:pPr>
              <w:rPr>
                <w:rFonts w:cs="Arial"/>
                <w:szCs w:val="18"/>
                <w:lang w:eastAsia="cs-CZ"/>
              </w:rPr>
            </w:pPr>
            <w:r w:rsidRPr="00AD0A63">
              <w:rPr>
                <w:rFonts w:cs="Arial"/>
                <w:szCs w:val="18"/>
              </w:rPr>
              <w:t>19-9920650277/0100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00CDC6E9" w:rsidR="008E7F36" w:rsidRPr="006110A8" w:rsidRDefault="00137FDB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D0A63"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F0170" w14:textId="0D959415" w:rsidR="008E7F36" w:rsidRPr="006110A8" w:rsidRDefault="00206852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106"/>
        <w:gridCol w:w="2835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AD0A63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8E7F36" w:rsidRPr="007F3052" w14:paraId="2B557BC8" w14:textId="77777777" w:rsidTr="00AD0A63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1EA95FF8" w:rsidR="008E7F36" w:rsidRPr="00BE2154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5D36E984" w:rsidR="008E7F36" w:rsidRPr="00BE2154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7C94380B" w:rsidR="008E7F36" w:rsidRPr="00BE2154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3E19BDD4" w:rsidR="008E7F36" w:rsidRPr="00BE2154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11CE9AEA" w:rsidR="008E7F36" w:rsidRPr="00BE2154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60D62176" w:rsidR="008E7F36" w:rsidRPr="00BE2154" w:rsidRDefault="008E7F36" w:rsidP="000E69B8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646DBC1A" w:rsidR="008E7F36" w:rsidRPr="007F3052" w:rsidRDefault="008E7F36" w:rsidP="000E69B8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 xml:space="preserve">Prokešovo náměstí 1803/8, Moravská Ostrava, 702 </w:t>
            </w:r>
            <w:proofErr w:type="gramStart"/>
            <w:r w:rsidR="003F5EBC">
              <w:t>00  Ostrava</w:t>
            </w:r>
            <w:proofErr w:type="gramEnd"/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</w:t>
            </w:r>
            <w:proofErr w:type="spellEnd"/>
            <w:r w:rsidRPr="008E7F36">
              <w:t>)</w:t>
            </w:r>
            <w:r w:rsidRPr="008E7F36">
              <w:tab/>
              <w:t>v souvislosti s výše uvedenými body (</w:t>
            </w:r>
            <w:proofErr w:type="spellStart"/>
            <w:r w:rsidRPr="008E7F36">
              <w:t>ii</w:t>
            </w:r>
            <w:proofErr w:type="spellEnd"/>
            <w:r w:rsidRPr="008E7F36">
              <w:t>), (</w:t>
            </w:r>
            <w:proofErr w:type="spellStart"/>
            <w:r w:rsidRPr="008E7F36">
              <w:t>iii</w:t>
            </w:r>
            <w:proofErr w:type="spellEnd"/>
            <w:r w:rsidRPr="008E7F36">
              <w:t>), (</w:t>
            </w:r>
            <w:proofErr w:type="spellStart"/>
            <w:r w:rsidRPr="008E7F36">
              <w:t>iv</w:t>
            </w:r>
            <w:proofErr w:type="spellEnd"/>
            <w:r w:rsidRPr="008E7F36">
              <w:t>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</w:t>
            </w:r>
            <w:proofErr w:type="spellEnd"/>
            <w:r w:rsidRPr="008E7F36">
              <w:t>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</w:t>
            </w:r>
            <w:proofErr w:type="spellStart"/>
            <w:r w:rsidRPr="008E7F36">
              <w:t>viii</w:t>
            </w:r>
            <w:proofErr w:type="spellEnd"/>
            <w:r w:rsidRPr="008E7F36">
              <w:t>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 xml:space="preserve">je oprávněn ustanovit si zástupce k právním jednáním jménem Nového účastníka Poolu v rozsahu této plné moci v souladu s ustanovením § 438 </w:t>
            </w:r>
            <w:proofErr w:type="spellStart"/>
            <w:r w:rsidRPr="008E7F36">
              <w:rPr>
                <w:szCs w:val="18"/>
              </w:rPr>
              <w:t>z.č</w:t>
            </w:r>
            <w:proofErr w:type="spellEnd"/>
            <w:r w:rsidRPr="008E7F36">
              <w:rPr>
                <w:szCs w:val="18"/>
              </w:rPr>
              <w:t>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2BF10537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</w:t>
            </w:r>
            <w:proofErr w:type="gramStart"/>
            <w:r w:rsidR="00583181" w:rsidRPr="00583181">
              <w:t>tvoří</w:t>
            </w:r>
            <w:proofErr w:type="gramEnd"/>
            <w:r w:rsidR="00583181" w:rsidRPr="00583181">
              <w:t xml:space="preserve"> její součást) k uveřejnění v registru smluv bez prodlení po jejím uzavření. Banka se dále zavazuje, že Klient </w:t>
            </w:r>
            <w:proofErr w:type="gramStart"/>
            <w:r w:rsidR="00583181" w:rsidRPr="00583181">
              <w:t>obdrží</w:t>
            </w:r>
            <w:proofErr w:type="gramEnd"/>
            <w:r w:rsidR="00583181" w:rsidRPr="00583181">
              <w:t xml:space="preserve"> potvrzení o uveřejnění v registru smluv zasílané správcem registru smluv na e-mailovou </w:t>
            </w:r>
            <w:r w:rsidRPr="008E7F36">
              <w:t>adresu </w:t>
            </w:r>
            <w:proofErr w:type="spellStart"/>
            <w:r w:rsidR="00FF65CD">
              <w:t>xxxxx</w:t>
            </w:r>
            <w:proofErr w:type="spellEnd"/>
            <w:r w:rsidRPr="00BE2154">
              <w:rPr>
                <w:highlight w:val="black"/>
              </w:rPr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0910967" w14:textId="395E2A50" w:rsidR="00CF524B" w:rsidRPr="00026AB9" w:rsidRDefault="00AD0A63" w:rsidP="00917A6B">
            <w:pPr>
              <w:keepNext/>
            </w:pPr>
            <w:r w:rsidRPr="00AD0A63">
              <w:rPr>
                <w:rFonts w:cs="Arial"/>
                <w:b/>
                <w:bCs/>
                <w:sz w:val="20"/>
                <w:szCs w:val="20"/>
              </w:rPr>
              <w:t>Domov Sluníčko, Ostrava-Vítkovice, příspěvková organizace</w:t>
            </w:r>
          </w:p>
          <w:p w14:paraId="772274A1" w14:textId="77777777" w:rsidR="00CF524B" w:rsidRPr="00026AB9" w:rsidRDefault="00CF524B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6AA10C58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proofErr w:type="spellStart"/>
            <w:r w:rsidR="00FF65CD">
              <w:t>xxxxx</w:t>
            </w:r>
            <w:proofErr w:type="spellEnd"/>
          </w:p>
          <w:p w14:paraId="315A07DE" w14:textId="5D5CA076" w:rsidR="00CF524B" w:rsidRPr="00026AB9" w:rsidRDefault="00CF524B" w:rsidP="00917A6B">
            <w:r w:rsidRPr="00026AB9">
              <w:t xml:space="preserve">Funkce: </w:t>
            </w:r>
            <w:r w:rsidR="008166ED">
              <w:rPr>
                <w:b/>
                <w:bCs/>
              </w:rPr>
              <w:t>ředitel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Pr="00026AB9" w:rsidRDefault="00CF524B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35060721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proofErr w:type="spellStart"/>
            <w:r w:rsidR="00FF65CD">
              <w:t>xxxxx</w:t>
            </w:r>
            <w:proofErr w:type="spellEnd"/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51CA58B5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>Banka tímto potvrzuje (i) přijetí této žádosti, (</w:t>
            </w:r>
            <w:proofErr w:type="spellStart"/>
            <w:r w:rsidRPr="00801F97">
              <w:t>ii</w:t>
            </w:r>
            <w:proofErr w:type="spellEnd"/>
            <w:r w:rsidRPr="00801F97">
              <w:t xml:space="preserve">) zařazení Nového účastníka Poolu do Poolu a zařazení výše uvedeného účtu mezi Zapojené účty ke dni </w:t>
            </w:r>
            <w:r w:rsidR="00BE2154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60AAD3C5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proofErr w:type="spellStart"/>
            <w:r w:rsidR="00FF65CD">
              <w:t>xxxxx</w:t>
            </w:r>
            <w:proofErr w:type="spellEnd"/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 xml:space="preserve">bankovní </w:t>
            </w:r>
            <w:proofErr w:type="gramStart"/>
            <w:r w:rsidR="003F5EBC">
              <w:rPr>
                <w:b/>
                <w:bCs/>
              </w:rPr>
              <w:t>poradce - Corporate</w:t>
            </w:r>
            <w:proofErr w:type="gramEnd"/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33C8CE90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proofErr w:type="spellStart"/>
            <w:r w:rsidR="00FF65CD">
              <w:t>xxxxx</w:t>
            </w:r>
            <w:proofErr w:type="spellEnd"/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6AFE25CB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FF65CD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FF65CD">
            <w:rPr>
              <w:rFonts w:cs="Arial"/>
              <w:noProof/>
              <w:szCs w:val="8"/>
            </w:rPr>
            <w:t>11:29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191D"/>
    <w:rsid w:val="003624B9"/>
    <w:rsid w:val="00362EFE"/>
    <w:rsid w:val="00363DF1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8B0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756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473C0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487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0A63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5748"/>
    <w:rsid w:val="00AE613A"/>
    <w:rsid w:val="00AE61ED"/>
    <w:rsid w:val="00AE628E"/>
    <w:rsid w:val="00AE7689"/>
    <w:rsid w:val="00AE76E6"/>
    <w:rsid w:val="00AE7A98"/>
    <w:rsid w:val="00AE7DE2"/>
    <w:rsid w:val="00AF3335"/>
    <w:rsid w:val="00AF3627"/>
    <w:rsid w:val="00AF4C0B"/>
    <w:rsid w:val="00AF5459"/>
    <w:rsid w:val="00AF626C"/>
    <w:rsid w:val="00AF6A4D"/>
    <w:rsid w:val="00B043A9"/>
    <w:rsid w:val="00B06E1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AA5"/>
    <w:rsid w:val="00BD0FE9"/>
    <w:rsid w:val="00BD23F2"/>
    <w:rsid w:val="00BD4944"/>
    <w:rsid w:val="00BD6C59"/>
    <w:rsid w:val="00BE2154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0F9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5CD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2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3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4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5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6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F6590C-1480-447A-AA5A-B50D5CC37866}">
  <ds:schemaRefs/>
</ds:datastoreItem>
</file>

<file path=customXml/itemProps2.xml><?xml version="1.0" encoding="utf-8"?>
<ds:datastoreItem xmlns:ds="http://schemas.openxmlformats.org/officeDocument/2006/customXml" ds:itemID="{C246C89E-8E2B-4248-8A1D-5650765566BD}">
  <ds:schemaRefs/>
</ds:datastoreItem>
</file>

<file path=customXml/itemProps3.xml><?xml version="1.0" encoding="utf-8"?>
<ds:datastoreItem xmlns:ds="http://schemas.openxmlformats.org/officeDocument/2006/customXml" ds:itemID="{86AAD6F7-67E2-468C-BE53-316A987154FC}">
  <ds:schemaRefs/>
</ds:datastoreItem>
</file>

<file path=customXml/itemProps4.xml><?xml version="1.0" encoding="utf-8"?>
<ds:datastoreItem xmlns:ds="http://schemas.openxmlformats.org/officeDocument/2006/customXml" ds:itemID="{F82E0F11-3D33-47F1-ABE1-5A9AB38D02BD}">
  <ds:schemaRefs/>
</ds:datastoreItem>
</file>

<file path=customXml/itemProps5.xml><?xml version="1.0" encoding="utf-8"?>
<ds:datastoreItem xmlns:ds="http://schemas.openxmlformats.org/officeDocument/2006/customXml" ds:itemID="{1DE93C9B-4FF3-4BB2-A26A-9C2D559D212C}">
  <ds:schemaRefs/>
</ds:datastoreItem>
</file>

<file path=customXml/itemProps6.xml><?xml version="1.0" encoding="utf-8"?>
<ds:datastoreItem xmlns:ds="http://schemas.openxmlformats.org/officeDocument/2006/customXml" ds:itemID="{E0D4FAC2-2364-4B64-922D-565A5DAB443F}">
  <ds:schemaRefs/>
</ds:datastoreItem>
</file>

<file path=customXml/itemProps7.xml><?xml version="1.0" encoding="utf-8"?>
<ds:datastoreItem xmlns:ds="http://schemas.openxmlformats.org/officeDocument/2006/customXml" ds:itemID="{537E3E2D-B2D8-4A10-9694-DCCEE2CA4ABE}"/>
</file>

<file path=customXml/itemProps8.xml><?xml version="1.0" encoding="utf-8"?>
<ds:datastoreItem xmlns:ds="http://schemas.openxmlformats.org/officeDocument/2006/customXml" ds:itemID="{8FCE62A7-3354-427B-99E4-F2930F744F90}"/>
</file>

<file path=customXml/itemProps9.xml><?xml version="1.0" encoding="utf-8"?>
<ds:datastoreItem xmlns:ds="http://schemas.openxmlformats.org/officeDocument/2006/customXml" ds:itemID="{991D9B6C-5B62-4D08-ADE0-3FE280237B59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5</TotalTime>
  <Pages>4</Pages>
  <Words>962</Words>
  <Characters>5681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6630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4</cp:revision>
  <cp:lastPrinted>2015-02-17T16:02:00Z</cp:lastPrinted>
  <dcterms:created xsi:type="dcterms:W3CDTF">2025-09-09T10:23:00Z</dcterms:created>
  <dcterms:modified xsi:type="dcterms:W3CDTF">2025-09-10T09:30:00Z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2025-09-10T09:30:26Z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