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8542B0">
        <w:rPr>
          <w:rFonts w:asciiTheme="minorHAnsi" w:hAnsiTheme="minorHAnsi"/>
          <w:b/>
          <w:sz w:val="32"/>
          <w:szCs w:val="32"/>
        </w:rPr>
        <w:t>1</w:t>
      </w:r>
      <w:r w:rsidR="000D1045">
        <w:rPr>
          <w:rFonts w:asciiTheme="minorHAnsi" w:hAnsiTheme="minorHAnsi"/>
          <w:b/>
          <w:sz w:val="32"/>
          <w:szCs w:val="32"/>
        </w:rPr>
        <w:t>89</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0D1045" w:rsidP="00845099">
      <w:pPr>
        <w:pStyle w:val="Zkladntext"/>
        <w:rPr>
          <w:rFonts w:asciiTheme="minorHAnsi" w:hAnsiTheme="minorHAnsi"/>
          <w:b/>
          <w:sz w:val="22"/>
          <w:szCs w:val="22"/>
        </w:rPr>
      </w:pPr>
      <w:r>
        <w:rPr>
          <w:rFonts w:asciiTheme="minorHAnsi" w:hAnsiTheme="minorHAnsi"/>
          <w:b/>
          <w:sz w:val="22"/>
          <w:szCs w:val="22"/>
        </w:rPr>
        <w:t>Junák – český skaut, Kaprálův mlýn, z. s.</w:t>
      </w:r>
    </w:p>
    <w:p w:rsidR="003555D3" w:rsidRPr="003555D3" w:rsidRDefault="000D1045" w:rsidP="00845099">
      <w:pPr>
        <w:pStyle w:val="Zkladntext"/>
        <w:rPr>
          <w:rFonts w:asciiTheme="minorHAnsi" w:hAnsiTheme="minorHAnsi"/>
          <w:sz w:val="22"/>
          <w:szCs w:val="22"/>
        </w:rPr>
      </w:pPr>
      <w:r>
        <w:rPr>
          <w:rFonts w:asciiTheme="minorHAnsi" w:hAnsiTheme="minorHAnsi"/>
          <w:sz w:val="22"/>
          <w:szCs w:val="22"/>
        </w:rPr>
        <w:t>pobočný spolek</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0D1045">
        <w:rPr>
          <w:rFonts w:asciiTheme="minorHAnsi" w:hAnsiTheme="minorHAnsi"/>
          <w:sz w:val="22"/>
          <w:szCs w:val="22"/>
        </w:rPr>
        <w:t>č. p. 235, 664 02 Ochoz u Brna</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0D1045">
        <w:rPr>
          <w:rFonts w:asciiTheme="minorHAnsi" w:hAnsiTheme="minorHAnsi"/>
          <w:sz w:val="22"/>
          <w:szCs w:val="22"/>
        </w:rPr>
        <w:t>227 07 816</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0D1045">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3555D3">
        <w:rPr>
          <w:rFonts w:asciiTheme="minorHAnsi" w:hAnsiTheme="minorHAnsi"/>
          <w:sz w:val="22"/>
          <w:szCs w:val="22"/>
        </w:rPr>
        <w:t xml:space="preserve">Mgr. </w:t>
      </w:r>
      <w:r w:rsidR="000D1045">
        <w:rPr>
          <w:rFonts w:asciiTheme="minorHAnsi" w:hAnsiTheme="minorHAnsi"/>
          <w:sz w:val="22"/>
          <w:szCs w:val="22"/>
        </w:rPr>
        <w:t>Michalem  M e d k e m</w:t>
      </w:r>
      <w:r w:rsidR="00C74B59">
        <w:rPr>
          <w:rFonts w:asciiTheme="minorHAnsi" w:hAnsiTheme="minorHAnsi"/>
          <w:sz w:val="22"/>
          <w:szCs w:val="22"/>
        </w:rPr>
        <w:t>,</w:t>
      </w:r>
      <w:r w:rsidR="0033417B">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w:t>
      </w:r>
      <w:r w:rsidR="000D1045">
        <w:rPr>
          <w:rFonts w:asciiTheme="minorHAnsi" w:hAnsiTheme="minorHAnsi"/>
          <w:sz w:val="22"/>
          <w:szCs w:val="22"/>
        </w:rPr>
        <w:t>em</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0D1045">
        <w:rPr>
          <w:rFonts w:asciiTheme="minorHAnsi" w:hAnsiTheme="minorHAnsi"/>
          <w:sz w:val="22"/>
          <w:szCs w:val="22"/>
        </w:rPr>
        <w:t>Fio banka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A15188">
        <w:rPr>
          <w:rFonts w:asciiTheme="minorHAnsi" w:hAnsiTheme="minorHAnsi"/>
          <w:sz w:val="22"/>
          <w:szCs w:val="22"/>
        </w:rPr>
        <w:t>2800339482</w:t>
      </w:r>
      <w:r w:rsidR="00A77F4C">
        <w:rPr>
          <w:rFonts w:asciiTheme="minorHAnsi" w:hAnsiTheme="minorHAnsi"/>
          <w:sz w:val="22"/>
          <w:szCs w:val="22"/>
        </w:rPr>
        <w:t>/</w:t>
      </w:r>
      <w:r w:rsidR="00A15188">
        <w:rPr>
          <w:rFonts w:asciiTheme="minorHAnsi" w:hAnsiTheme="minorHAnsi"/>
          <w:sz w:val="22"/>
          <w:szCs w:val="22"/>
        </w:rPr>
        <w:t>2010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8542B0">
        <w:rPr>
          <w:rFonts w:asciiTheme="minorHAnsi" w:hAnsiTheme="minorHAnsi"/>
          <w:sz w:val="22"/>
          <w:szCs w:val="22"/>
        </w:rPr>
        <w:t>1</w:t>
      </w:r>
      <w:r w:rsidR="000D1045">
        <w:rPr>
          <w:rFonts w:asciiTheme="minorHAnsi" w:hAnsiTheme="minorHAnsi"/>
          <w:sz w:val="22"/>
          <w:szCs w:val="22"/>
        </w:rPr>
        <w:t>89</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8542B0">
        <w:rPr>
          <w:rFonts w:asciiTheme="minorHAnsi" w:hAnsiTheme="minorHAnsi"/>
          <w:b/>
          <w:sz w:val="22"/>
          <w:szCs w:val="22"/>
        </w:rPr>
        <w:t>Ekologické výukové</w:t>
      </w:r>
      <w:r w:rsidR="00C74B59">
        <w:rPr>
          <w:rFonts w:asciiTheme="minorHAnsi" w:hAnsiTheme="minorHAnsi"/>
          <w:b/>
          <w:sz w:val="22"/>
          <w:szCs w:val="22"/>
        </w:rPr>
        <w:t xml:space="preserve"> programy </w:t>
      </w:r>
      <w:r w:rsidR="00A15188">
        <w:rPr>
          <w:rFonts w:asciiTheme="minorHAnsi" w:hAnsiTheme="minorHAnsi"/>
          <w:b/>
          <w:sz w:val="22"/>
          <w:szCs w:val="22"/>
        </w:rPr>
        <w:t>SEV Kaprálův mlýn</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3555D3">
        <w:rPr>
          <w:rFonts w:asciiTheme="minorHAnsi" w:hAnsiTheme="minorHAnsi"/>
          <w:sz w:val="22"/>
          <w:szCs w:val="22"/>
        </w:rPr>
        <w:t> </w:t>
      </w:r>
      <w:r w:rsidR="00A15188">
        <w:rPr>
          <w:rFonts w:asciiTheme="minorHAnsi" w:hAnsiTheme="minorHAnsi"/>
          <w:sz w:val="22"/>
          <w:szCs w:val="22"/>
        </w:rPr>
        <w:t>roce</w:t>
      </w:r>
      <w:r w:rsidR="00E05E11">
        <w:rPr>
          <w:rFonts w:asciiTheme="minorHAnsi" w:hAnsiTheme="minorHAnsi"/>
          <w:sz w:val="22"/>
          <w:szCs w:val="22"/>
        </w:rPr>
        <w:t xml:space="preserv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lastRenderedPageBreak/>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851075">
        <w:rPr>
          <w:rFonts w:asciiTheme="minorHAnsi" w:hAnsiTheme="minorHAnsi"/>
          <w:sz w:val="22"/>
          <w:szCs w:val="22"/>
        </w:rPr>
        <w:t xml:space="preserve">projektu </w:t>
      </w:r>
      <w:r w:rsidR="00431187" w:rsidRPr="00851075">
        <w:rPr>
          <w:rFonts w:asciiTheme="minorHAnsi" w:hAnsiTheme="minorHAnsi"/>
          <w:sz w:val="22"/>
          <w:szCs w:val="22"/>
        </w:rPr>
        <w:t>„</w:t>
      </w:r>
      <w:r w:rsidR="008542B0">
        <w:rPr>
          <w:rFonts w:asciiTheme="minorHAnsi" w:hAnsiTheme="minorHAnsi"/>
          <w:sz w:val="22"/>
          <w:szCs w:val="22"/>
        </w:rPr>
        <w:t>Ekologické výukové</w:t>
      </w:r>
      <w:r w:rsidR="003555D3">
        <w:rPr>
          <w:rFonts w:asciiTheme="minorHAnsi" w:hAnsiTheme="minorHAnsi"/>
          <w:sz w:val="22"/>
          <w:szCs w:val="22"/>
        </w:rPr>
        <w:t xml:space="preserve"> p</w:t>
      </w:r>
      <w:r w:rsidR="00851075" w:rsidRPr="00851075">
        <w:rPr>
          <w:rFonts w:asciiTheme="minorHAnsi" w:hAnsiTheme="minorHAnsi"/>
          <w:sz w:val="22"/>
          <w:szCs w:val="22"/>
        </w:rPr>
        <w:t xml:space="preserve">rogramy </w:t>
      </w:r>
      <w:r w:rsidR="00A15188" w:rsidRPr="00A15188">
        <w:rPr>
          <w:rFonts w:asciiTheme="minorHAnsi" w:hAnsiTheme="minorHAnsi"/>
          <w:sz w:val="22"/>
          <w:szCs w:val="22"/>
        </w:rPr>
        <w:t>SEV Kaprálův mlýn</w:t>
      </w:r>
      <w:r w:rsidR="00431187" w:rsidRPr="00851075">
        <w:rPr>
          <w:rFonts w:asciiTheme="minorHAnsi" w:hAnsiTheme="minorHAnsi"/>
          <w:sz w:val="22"/>
          <w:szCs w:val="22"/>
        </w:rPr>
        <w:t>“, kt</w:t>
      </w:r>
      <w:r w:rsidR="00612625" w:rsidRPr="00851075">
        <w:rPr>
          <w:rFonts w:asciiTheme="minorHAnsi" w:hAnsiTheme="minorHAnsi"/>
          <w:sz w:val="22"/>
          <w:szCs w:val="22"/>
        </w:rPr>
        <w:t>er</w:t>
      </w:r>
      <w:r w:rsidR="00B55CEE" w:rsidRPr="00851075">
        <w:rPr>
          <w:rFonts w:asciiTheme="minorHAnsi" w:hAnsiTheme="minorHAnsi"/>
          <w:sz w:val="22"/>
          <w:szCs w:val="22"/>
        </w:rPr>
        <w:t>á</w:t>
      </w:r>
      <w:r w:rsidR="00612625" w:rsidRPr="00851075">
        <w:rPr>
          <w:rFonts w:asciiTheme="minorHAnsi" w:hAnsiTheme="minorHAnsi"/>
          <w:sz w:val="22"/>
          <w:szCs w:val="22"/>
        </w:rPr>
        <w:t xml:space="preserve"> je součástí žádosti ze dne </w:t>
      </w:r>
      <w:r w:rsidR="00851075" w:rsidRPr="00851075">
        <w:rPr>
          <w:rFonts w:asciiTheme="minorHAnsi" w:hAnsiTheme="minorHAnsi"/>
          <w:sz w:val="22"/>
          <w:szCs w:val="22"/>
        </w:rPr>
        <w:t>1</w:t>
      </w:r>
      <w:r w:rsidR="00A15188">
        <w:rPr>
          <w:rFonts w:asciiTheme="minorHAnsi" w:hAnsiTheme="minorHAnsi"/>
          <w:sz w:val="22"/>
          <w:szCs w:val="22"/>
        </w:rPr>
        <w:t>4</w:t>
      </w:r>
      <w:r w:rsidR="00431187" w:rsidRPr="00851075">
        <w:rPr>
          <w:rFonts w:asciiTheme="minorHAnsi" w:hAnsiTheme="minorHAnsi"/>
          <w:sz w:val="22"/>
          <w:szCs w:val="22"/>
        </w:rPr>
        <w:t xml:space="preserve">. </w:t>
      </w:r>
      <w:r w:rsidR="00A15188">
        <w:rPr>
          <w:rFonts w:asciiTheme="minorHAnsi" w:hAnsiTheme="minorHAnsi"/>
          <w:sz w:val="22"/>
          <w:szCs w:val="22"/>
        </w:rPr>
        <w:t>09</w:t>
      </w:r>
      <w:r w:rsidR="00431187" w:rsidRPr="00851075">
        <w:rPr>
          <w:rFonts w:asciiTheme="minorHAnsi" w:hAnsiTheme="minorHAnsi"/>
          <w:sz w:val="22"/>
          <w:szCs w:val="22"/>
        </w:rPr>
        <w:t>. 201</w:t>
      </w:r>
      <w:r w:rsidR="00821152" w:rsidRPr="00851075">
        <w:rPr>
          <w:rFonts w:asciiTheme="minorHAnsi" w:hAnsiTheme="minorHAnsi"/>
          <w:sz w:val="22"/>
          <w:szCs w:val="22"/>
        </w:rPr>
        <w:t>6</w:t>
      </w:r>
      <w:r w:rsidR="00431187" w:rsidRPr="00851075">
        <w:rPr>
          <w:rFonts w:asciiTheme="minorHAnsi" w:hAnsiTheme="minorHAnsi"/>
          <w:sz w:val="22"/>
          <w:szCs w:val="22"/>
        </w:rPr>
        <w:t>,</w:t>
      </w:r>
      <w:r w:rsidR="00B10562" w:rsidRPr="00851075">
        <w:rPr>
          <w:rFonts w:asciiTheme="minorHAnsi" w:hAnsiTheme="minorHAnsi"/>
          <w:sz w:val="22"/>
          <w:szCs w:val="22"/>
        </w:rPr>
        <w:t xml:space="preserve"> </w:t>
      </w:r>
      <w:r w:rsidR="00431187" w:rsidRPr="00851075">
        <w:rPr>
          <w:rFonts w:asciiTheme="minorHAnsi" w:hAnsiTheme="minorHAnsi"/>
          <w:sz w:val="22"/>
          <w:szCs w:val="22"/>
        </w:rPr>
        <w:t>r</w:t>
      </w:r>
      <w:r w:rsidR="00AF4646" w:rsidRPr="00851075">
        <w:rPr>
          <w:rFonts w:asciiTheme="minorHAnsi" w:hAnsiTheme="minorHAnsi"/>
          <w:sz w:val="22"/>
          <w:szCs w:val="22"/>
        </w:rPr>
        <w:t>ozpočt</w:t>
      </w:r>
      <w:r w:rsidR="00E55E93" w:rsidRPr="00851075">
        <w:rPr>
          <w:rFonts w:asciiTheme="minorHAnsi" w:hAnsiTheme="minorHAnsi"/>
          <w:sz w:val="22"/>
          <w:szCs w:val="22"/>
        </w:rPr>
        <w:t>u</w:t>
      </w:r>
      <w:r w:rsidR="00AF4646" w:rsidRPr="00851075">
        <w:rPr>
          <w:rFonts w:asciiTheme="minorHAnsi" w:hAnsiTheme="minorHAnsi"/>
          <w:sz w:val="22"/>
          <w:szCs w:val="22"/>
        </w:rPr>
        <w:t xml:space="preserve"> </w:t>
      </w:r>
      <w:r w:rsidR="00646709" w:rsidRPr="00851075">
        <w:rPr>
          <w:rFonts w:asciiTheme="minorHAnsi" w:hAnsiTheme="minorHAnsi"/>
          <w:sz w:val="22"/>
          <w:szCs w:val="22"/>
        </w:rPr>
        <w:t xml:space="preserve">tohoto </w:t>
      </w:r>
      <w:r w:rsidR="00AF4646" w:rsidRPr="00851075">
        <w:rPr>
          <w:rFonts w:asciiTheme="minorHAnsi" w:hAnsiTheme="minorHAnsi"/>
          <w:sz w:val="22"/>
          <w:szCs w:val="22"/>
        </w:rPr>
        <w:t>projektu</w:t>
      </w:r>
      <w:r w:rsidR="00821152" w:rsidRPr="00851075">
        <w:rPr>
          <w:rFonts w:asciiTheme="minorHAnsi" w:hAnsiTheme="minorHAnsi"/>
          <w:sz w:val="22"/>
          <w:szCs w:val="22"/>
        </w:rPr>
        <w:t xml:space="preserve"> a</w:t>
      </w:r>
      <w:r w:rsidR="006045AB" w:rsidRPr="00851075">
        <w:rPr>
          <w:rFonts w:asciiTheme="minorHAnsi" w:hAnsiTheme="minorHAnsi"/>
          <w:sz w:val="22"/>
          <w:szCs w:val="22"/>
        </w:rPr>
        <w:t xml:space="preserve"> </w:t>
      </w:r>
      <w:r w:rsidR="00821152" w:rsidRPr="00851075">
        <w:rPr>
          <w:rFonts w:asciiTheme="minorHAnsi" w:hAnsiTheme="minorHAnsi"/>
          <w:sz w:val="22"/>
          <w:szCs w:val="22"/>
        </w:rPr>
        <w:t>po</w:t>
      </w:r>
      <w:r w:rsidR="00851075">
        <w:rPr>
          <w:rFonts w:asciiTheme="minorHAnsi" w:hAnsiTheme="minorHAnsi"/>
          <w:sz w:val="22"/>
          <w:szCs w:val="22"/>
        </w:rPr>
        <w:t xml:space="preserve">pisu realizace projektu ze dne </w:t>
      </w:r>
      <w:r w:rsidR="008542B0">
        <w:rPr>
          <w:rFonts w:asciiTheme="minorHAnsi" w:hAnsiTheme="minorHAnsi"/>
          <w:sz w:val="22"/>
          <w:szCs w:val="22"/>
        </w:rPr>
        <w:t>1</w:t>
      </w:r>
      <w:r w:rsidR="00A15188">
        <w:rPr>
          <w:rFonts w:asciiTheme="minorHAnsi" w:hAnsiTheme="minorHAnsi"/>
          <w:sz w:val="22"/>
          <w:szCs w:val="22"/>
        </w:rPr>
        <w:t>4</w:t>
      </w:r>
      <w:r w:rsidR="00821152" w:rsidRPr="00851075">
        <w:rPr>
          <w:rFonts w:asciiTheme="minorHAnsi" w:hAnsiTheme="minorHAnsi"/>
          <w:sz w:val="22"/>
          <w:szCs w:val="22"/>
        </w:rPr>
        <w:t xml:space="preserve">. </w:t>
      </w:r>
      <w:r w:rsidR="008542B0">
        <w:rPr>
          <w:rFonts w:asciiTheme="minorHAnsi" w:hAnsiTheme="minorHAnsi"/>
          <w:sz w:val="22"/>
          <w:szCs w:val="22"/>
        </w:rPr>
        <w:t>09</w:t>
      </w:r>
      <w:r w:rsidR="00821152" w:rsidRPr="00851075">
        <w:rPr>
          <w:rFonts w:asciiTheme="minorHAnsi" w:hAnsiTheme="minorHAnsi"/>
          <w:sz w:val="22"/>
          <w:szCs w:val="22"/>
        </w:rPr>
        <w:t xml:space="preserve">. 2016, </w:t>
      </w:r>
      <w:r w:rsidR="00001D79" w:rsidRPr="00851075">
        <w:rPr>
          <w:rFonts w:asciiTheme="minorHAnsi" w:hAnsiTheme="minorHAnsi"/>
          <w:sz w:val="22"/>
          <w:szCs w:val="22"/>
        </w:rPr>
        <w:t>včetně případných</w:t>
      </w:r>
      <w:r w:rsidR="00001D79" w:rsidRPr="00D064DE">
        <w:rPr>
          <w:rFonts w:asciiTheme="minorHAnsi" w:hAnsiTheme="minorHAnsi"/>
          <w:sz w:val="22"/>
          <w:szCs w:val="22"/>
        </w:rPr>
        <w:t xml:space="preserve"> změn a</w:t>
      </w:r>
      <w:r w:rsidR="008162B6">
        <w:rPr>
          <w:rFonts w:asciiTheme="minorHAnsi" w:hAnsiTheme="minorHAnsi"/>
          <w:sz w:val="22"/>
          <w:szCs w:val="22"/>
        </w:rPr>
        <w:t> </w:t>
      </w:r>
      <w:r w:rsidR="000115EB" w:rsidRPr="00D064DE">
        <w:rPr>
          <w:rFonts w:asciiTheme="minorHAnsi" w:hAnsiTheme="minorHAnsi"/>
          <w:sz w:val="22"/>
          <w:szCs w:val="22"/>
        </w:rPr>
        <w:t>doplňků těchto dokumentů odsouhlasených Fondem</w:t>
      </w:r>
      <w:r w:rsidR="00E55E93" w:rsidRPr="00D064DE">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3555D3">
        <w:rPr>
          <w:rFonts w:asciiTheme="minorHAnsi" w:hAnsiTheme="minorHAnsi"/>
          <w:bCs/>
          <w:color w:val="auto"/>
          <w:sz w:val="22"/>
          <w:szCs w:val="22"/>
        </w:rPr>
        <w:t xml:space="preserve">zrealizuje </w:t>
      </w:r>
      <w:r w:rsidR="00A15188">
        <w:rPr>
          <w:rFonts w:asciiTheme="minorHAnsi" w:hAnsiTheme="minorHAnsi"/>
          <w:bCs/>
          <w:color w:val="auto"/>
          <w:sz w:val="22"/>
          <w:szCs w:val="22"/>
        </w:rPr>
        <w:t>9</w:t>
      </w:r>
      <w:r w:rsidR="008542B0">
        <w:rPr>
          <w:rFonts w:asciiTheme="minorHAnsi" w:hAnsiTheme="minorHAnsi"/>
          <w:bCs/>
          <w:color w:val="auto"/>
          <w:sz w:val="22"/>
          <w:szCs w:val="22"/>
        </w:rPr>
        <w:t xml:space="preserve"> denních</w:t>
      </w:r>
      <w:r w:rsidR="00646709">
        <w:rPr>
          <w:rFonts w:asciiTheme="minorHAnsi" w:hAnsiTheme="minorHAnsi"/>
          <w:bCs/>
          <w:color w:val="auto"/>
          <w:sz w:val="22"/>
          <w:szCs w:val="22"/>
        </w:rPr>
        <w:t xml:space="preserve"> vzdělávacích akcí v rozsahu </w:t>
      </w:r>
      <w:r w:rsidR="00A15188">
        <w:rPr>
          <w:rFonts w:asciiTheme="minorHAnsi" w:hAnsiTheme="minorHAnsi"/>
          <w:bCs/>
          <w:color w:val="auto"/>
          <w:sz w:val="22"/>
          <w:szCs w:val="22"/>
        </w:rPr>
        <w:t>1 000</w:t>
      </w:r>
      <w:r w:rsidR="00646709">
        <w:rPr>
          <w:rFonts w:asciiTheme="minorHAnsi" w:hAnsiTheme="minorHAnsi"/>
          <w:bCs/>
          <w:color w:val="auto"/>
          <w:sz w:val="22"/>
          <w:szCs w:val="22"/>
        </w:rPr>
        <w:t xml:space="preserve"> účastníko</w:t>
      </w:r>
      <w:r w:rsidR="006226CB">
        <w:rPr>
          <w:rFonts w:asciiTheme="minorHAnsi" w:hAnsiTheme="minorHAnsi"/>
          <w:bCs/>
          <w:color w:val="auto"/>
          <w:sz w:val="22"/>
          <w:szCs w:val="22"/>
        </w:rPr>
        <w:t>hodin</w:t>
      </w:r>
      <w:r w:rsidR="00A15188">
        <w:rPr>
          <w:rFonts w:asciiTheme="minorHAnsi" w:hAnsiTheme="minorHAnsi"/>
          <w:bCs/>
          <w:color w:val="auto"/>
          <w:sz w:val="22"/>
          <w:szCs w:val="22"/>
        </w:rPr>
        <w:t xml:space="preserve"> a 7 pobytových vzdělávacích akcí v rozsahu 5 000 účastníkohodin</w:t>
      </w:r>
      <w:r w:rsidR="006226CB">
        <w:rPr>
          <w:rFonts w:asciiTheme="minorHAnsi" w:hAnsiTheme="minorHAnsi"/>
          <w:bCs/>
          <w:color w:val="auto"/>
          <w:sz w:val="22"/>
          <w:szCs w:val="22"/>
        </w:rPr>
        <w:t>,</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w:t>
      </w:r>
      <w:r w:rsidR="008162B6">
        <w:rPr>
          <w:rFonts w:asciiTheme="minorHAnsi" w:hAnsiTheme="minorHAnsi"/>
          <w:bCs/>
          <w:color w:val="auto"/>
          <w:sz w:val="22"/>
          <w:szCs w:val="22"/>
        </w:rPr>
        <w:t> </w:t>
      </w:r>
      <w:r>
        <w:rPr>
          <w:rFonts w:asciiTheme="minorHAnsi" w:hAnsiTheme="minorHAnsi"/>
          <w:bCs/>
          <w:color w:val="auto"/>
          <w:sz w:val="22"/>
          <w:szCs w:val="22"/>
        </w:rPr>
        <w:t>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8162B6"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542B0">
        <w:rPr>
          <w:rFonts w:asciiTheme="minorHAnsi" w:hAnsiTheme="minorHAnsi"/>
          <w:bCs/>
          <w:color w:val="auto"/>
          <w:sz w:val="22"/>
          <w:szCs w:val="22"/>
        </w:rPr>
        <w:t>zrealizuje krátkodobé denní Ekologické výukové programy (EVP) v trvání nejméně 2 vyučovací hodiny (2 x 45 minut)</w:t>
      </w:r>
      <w:r w:rsidR="003555D3" w:rsidRPr="008542B0">
        <w:rPr>
          <w:rFonts w:asciiTheme="minorHAnsi" w:hAnsiTheme="minorHAnsi"/>
          <w:bCs/>
          <w:color w:val="auto"/>
          <w:sz w:val="22"/>
          <w:szCs w:val="22"/>
        </w:rPr>
        <w:t>,</w:t>
      </w:r>
      <w:r w:rsidRPr="008542B0">
        <w:rPr>
          <w:rFonts w:asciiTheme="minorHAnsi" w:hAnsiTheme="minorHAnsi"/>
          <w:bCs/>
          <w:color w:val="auto"/>
          <w:sz w:val="22"/>
          <w:szCs w:val="22"/>
        </w:rPr>
        <w:t xml:space="preserve"> pro mateřské školy minimálně 60 minut.</w:t>
      </w:r>
      <w:r w:rsidRPr="00CB4716">
        <w:rPr>
          <w:rFonts w:asciiTheme="minorHAnsi" w:hAnsiTheme="minorHAnsi"/>
          <w:bCs/>
          <w:color w:val="auto"/>
          <w:sz w:val="22"/>
          <w:szCs w:val="22"/>
        </w:rPr>
        <w:t xml:space="preserve"> </w:t>
      </w:r>
      <w:r w:rsidRPr="008162B6">
        <w:rPr>
          <w:rFonts w:asciiTheme="minorHAnsi" w:hAnsiTheme="minorHAnsi"/>
          <w:bCs/>
          <w:color w:val="auto"/>
          <w:sz w:val="22"/>
          <w:szCs w:val="22"/>
        </w:rPr>
        <w:t>Pobytové programy jsou dlouhodobějšího charakteru, minimálně třídenní Ekologické výukové programy (minimálně 2x nocleh), kde kromě vzdělávací lekce navíc probíhá intenzivní kontakt s</w:t>
      </w:r>
      <w:r w:rsidR="007D1808" w:rsidRPr="008162B6">
        <w:rPr>
          <w:rFonts w:asciiTheme="minorHAnsi" w:hAnsiTheme="minorHAnsi"/>
          <w:bCs/>
          <w:color w:val="auto"/>
          <w:sz w:val="22"/>
          <w:szCs w:val="22"/>
        </w:rPr>
        <w:t> </w:t>
      </w:r>
      <w:r w:rsidRPr="008162B6">
        <w:rPr>
          <w:rFonts w:asciiTheme="minorHAnsi" w:hAnsiTheme="minorHAnsi"/>
          <w:bCs/>
          <w:color w:val="auto"/>
          <w:sz w:val="22"/>
          <w:szCs w:val="22"/>
        </w:rPr>
        <w:t>přírodou</w:t>
      </w:r>
      <w:r w:rsidR="007D1808" w:rsidRPr="008162B6">
        <w:rPr>
          <w:rFonts w:asciiTheme="minorHAnsi" w:hAnsiTheme="minorHAnsi"/>
          <w:bCs/>
          <w:color w:val="auto"/>
          <w:sz w:val="22"/>
          <w:szCs w:val="22"/>
        </w:rPr>
        <w:t>; přičemž příjemce</w:t>
      </w:r>
      <w:r w:rsidR="00851075" w:rsidRPr="008162B6">
        <w:rPr>
          <w:rFonts w:asciiTheme="minorHAnsi" w:hAnsiTheme="minorHAnsi"/>
          <w:bCs/>
          <w:color w:val="auto"/>
          <w:sz w:val="22"/>
          <w:szCs w:val="22"/>
        </w:rPr>
        <w:t xml:space="preserve"> podpory</w:t>
      </w:r>
      <w:r w:rsidR="007D1808" w:rsidRPr="008162B6">
        <w:rPr>
          <w:rFonts w:asciiTheme="minorHAnsi" w:hAnsiTheme="minorHAnsi"/>
          <w:bCs/>
          <w:color w:val="auto"/>
          <w:sz w:val="22"/>
          <w:szCs w:val="22"/>
        </w:rPr>
        <w:t xml:space="preserve"> </w:t>
      </w:r>
      <w:r w:rsidRPr="008162B6">
        <w:rPr>
          <w:rFonts w:asciiTheme="minorHAnsi" w:hAnsiTheme="minorHAnsi"/>
          <w:bCs/>
          <w:color w:val="auto"/>
          <w:sz w:val="22"/>
          <w:szCs w:val="22"/>
        </w:rPr>
        <w:t xml:space="preserve">nebude vykazovat </w:t>
      </w:r>
      <w:r w:rsidR="007D1808" w:rsidRPr="008162B6">
        <w:rPr>
          <w:rFonts w:asciiTheme="minorHAnsi" w:hAnsiTheme="minorHAnsi"/>
          <w:bCs/>
          <w:color w:val="auto"/>
          <w:sz w:val="22"/>
          <w:szCs w:val="22"/>
        </w:rPr>
        <w:t>EVP</w:t>
      </w:r>
      <w:r w:rsidRPr="008162B6">
        <w:rPr>
          <w:rFonts w:asciiTheme="minorHAnsi" w:hAnsiTheme="minorHAnsi"/>
          <w:bCs/>
          <w:color w:val="auto"/>
          <w:sz w:val="22"/>
          <w:szCs w:val="22"/>
        </w:rPr>
        <w:t xml:space="preserve">, které realizuje v rámci své organizace, tzn., </w:t>
      </w:r>
      <w:r w:rsidR="007D1808" w:rsidRPr="008162B6">
        <w:rPr>
          <w:rFonts w:asciiTheme="minorHAnsi" w:hAnsiTheme="minorHAnsi"/>
          <w:bCs/>
          <w:color w:val="auto"/>
          <w:sz w:val="22"/>
          <w:szCs w:val="22"/>
        </w:rPr>
        <w:t xml:space="preserve">například </w:t>
      </w:r>
      <w:r w:rsidRPr="008162B6">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r>
      <w:r w:rsidRPr="000A4440">
        <w:rPr>
          <w:rFonts w:asciiTheme="minorHAnsi" w:hAnsiTheme="minorHAnsi"/>
          <w:bCs/>
          <w:color w:val="auto"/>
          <w:sz w:val="22"/>
          <w:szCs w:val="22"/>
        </w:rPr>
        <w:lastRenderedPageBreak/>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w:t>
      </w:r>
      <w:r w:rsidR="00A15188">
        <w:rPr>
          <w:rFonts w:asciiTheme="minorHAnsi" w:hAnsiTheme="minorHAnsi"/>
          <w:sz w:val="22"/>
          <w:szCs w:val="22"/>
        </w:rPr>
        <w:t>0</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A15188">
        <w:rPr>
          <w:rFonts w:asciiTheme="minorHAnsi" w:hAnsiTheme="minorHAnsi"/>
          <w:sz w:val="22"/>
          <w:szCs w:val="22"/>
        </w:rPr>
        <w:t>1</w:t>
      </w:r>
      <w:r w:rsidRPr="00B34AEE">
        <w:rPr>
          <w:rFonts w:asciiTheme="minorHAnsi" w:hAnsiTheme="minorHAnsi"/>
          <w:sz w:val="22"/>
          <w:szCs w:val="22"/>
        </w:rPr>
        <w:t>/201</w:t>
      </w:r>
      <w:r w:rsidR="00A15188">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A15188">
        <w:rPr>
          <w:rFonts w:asciiTheme="minorHAnsi" w:hAnsiTheme="minorHAnsi"/>
          <w:sz w:val="22"/>
          <w:szCs w:val="22"/>
        </w:rPr>
        <w:t>1</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lastRenderedPageBreak/>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 xml:space="preserve">od </w:t>
      </w:r>
      <w:r w:rsidRPr="00FD7A2F">
        <w:rPr>
          <w:rFonts w:asciiTheme="minorHAnsi" w:hAnsiTheme="minorHAnsi"/>
          <w:sz w:val="22"/>
          <w:szCs w:val="22"/>
        </w:rPr>
        <w:lastRenderedPageBreak/>
        <w:t>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D3" w:rsidRDefault="006836D3">
      <w:r>
        <w:separator/>
      </w:r>
    </w:p>
  </w:endnote>
  <w:endnote w:type="continuationSeparator" w:id="0">
    <w:p w:rsidR="006836D3" w:rsidRDefault="0068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8744A">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8744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D3" w:rsidRDefault="006836D3">
      <w:r>
        <w:separator/>
      </w:r>
    </w:p>
  </w:footnote>
  <w:footnote w:type="continuationSeparator" w:id="0">
    <w:p w:rsidR="006836D3" w:rsidRDefault="0068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067"/>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1045"/>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555D3"/>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980"/>
    <w:rsid w:val="00464275"/>
    <w:rsid w:val="004651C9"/>
    <w:rsid w:val="00465EA7"/>
    <w:rsid w:val="00466881"/>
    <w:rsid w:val="00466C19"/>
    <w:rsid w:val="00470989"/>
    <w:rsid w:val="004730F9"/>
    <w:rsid w:val="00475F88"/>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0166"/>
    <w:rsid w:val="00683646"/>
    <w:rsid w:val="006836D3"/>
    <w:rsid w:val="006841B9"/>
    <w:rsid w:val="00685861"/>
    <w:rsid w:val="00685978"/>
    <w:rsid w:val="006859A2"/>
    <w:rsid w:val="00687826"/>
    <w:rsid w:val="00692001"/>
    <w:rsid w:val="00693D0F"/>
    <w:rsid w:val="00696FAE"/>
    <w:rsid w:val="00697522"/>
    <w:rsid w:val="006A1A84"/>
    <w:rsid w:val="006A2698"/>
    <w:rsid w:val="006B1FC4"/>
    <w:rsid w:val="006B22D2"/>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62B6"/>
    <w:rsid w:val="0081789F"/>
    <w:rsid w:val="00821152"/>
    <w:rsid w:val="00827937"/>
    <w:rsid w:val="0083147D"/>
    <w:rsid w:val="0083341B"/>
    <w:rsid w:val="008338E2"/>
    <w:rsid w:val="008413C8"/>
    <w:rsid w:val="008437A4"/>
    <w:rsid w:val="008444FC"/>
    <w:rsid w:val="00845099"/>
    <w:rsid w:val="00845D1C"/>
    <w:rsid w:val="00851075"/>
    <w:rsid w:val="00852321"/>
    <w:rsid w:val="008542B0"/>
    <w:rsid w:val="0085547F"/>
    <w:rsid w:val="00860A0C"/>
    <w:rsid w:val="0086153A"/>
    <w:rsid w:val="008628B3"/>
    <w:rsid w:val="00863234"/>
    <w:rsid w:val="008644B9"/>
    <w:rsid w:val="008718A3"/>
    <w:rsid w:val="00872C90"/>
    <w:rsid w:val="008831A5"/>
    <w:rsid w:val="0088456F"/>
    <w:rsid w:val="00886869"/>
    <w:rsid w:val="00886CB4"/>
    <w:rsid w:val="0088744A"/>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6FB1"/>
    <w:rsid w:val="009F0A06"/>
    <w:rsid w:val="009F0C43"/>
    <w:rsid w:val="009F2C18"/>
    <w:rsid w:val="009F39F5"/>
    <w:rsid w:val="00A00213"/>
    <w:rsid w:val="00A02E20"/>
    <w:rsid w:val="00A0520C"/>
    <w:rsid w:val="00A07D22"/>
    <w:rsid w:val="00A12D46"/>
    <w:rsid w:val="00A134B0"/>
    <w:rsid w:val="00A14755"/>
    <w:rsid w:val="00A15188"/>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26603"/>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365F"/>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87A5-597C-49E6-976F-A6FFD959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3326</Words>
  <Characters>19429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2017-06-26T11:56:00Z</cp:lastPrinted>
  <dcterms:created xsi:type="dcterms:W3CDTF">2017-08-31T07:14:00Z</dcterms:created>
  <dcterms:modified xsi:type="dcterms:W3CDTF">2017-08-31T07:14:00Z</dcterms:modified>
</cp:coreProperties>
</file>