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55D866E4" w:rsidR="00D859C2" w:rsidRPr="00726B26" w:rsidRDefault="00897C8C" w:rsidP="00D859C2">
      <w:pPr>
        <w:rPr>
          <w:b/>
        </w:rPr>
      </w:pPr>
      <w:r>
        <w:rPr>
          <w:b/>
        </w:rPr>
        <w:t>RADIX CZ s.r.o.</w:t>
      </w:r>
    </w:p>
    <w:p w14:paraId="3DADA2B1" w14:textId="018DF4D2" w:rsidR="00D859C2" w:rsidRDefault="00D859C2" w:rsidP="00D859C2">
      <w:r>
        <w:t xml:space="preserve">IČ: </w:t>
      </w:r>
      <w:r w:rsidR="00897C8C">
        <w:t>26774321</w:t>
      </w:r>
    </w:p>
    <w:p w14:paraId="494735B8" w14:textId="13CD201A" w:rsidR="00D859C2" w:rsidRPr="00512AB9" w:rsidRDefault="00D859C2" w:rsidP="00D859C2">
      <w:r>
        <w:t xml:space="preserve">DIČ: </w:t>
      </w:r>
      <w:r w:rsidR="00897C8C">
        <w:t>CZ26774321</w:t>
      </w:r>
    </w:p>
    <w:p w14:paraId="4BE4B061" w14:textId="5647666E" w:rsidR="00D859C2" w:rsidRPr="00512AB9" w:rsidRDefault="00D859C2" w:rsidP="00D859C2">
      <w:r>
        <w:t>se sídlem</w:t>
      </w:r>
      <w:r w:rsidRPr="00512AB9">
        <w:t xml:space="preserve">:  </w:t>
      </w:r>
      <w:r w:rsidR="00897C8C">
        <w:t>Čáslavská 231, Kutná Hora – Karlov, 284 01</w:t>
      </w:r>
    </w:p>
    <w:p w14:paraId="1F4F5F98" w14:textId="4AACF84E" w:rsidR="00D859C2" w:rsidRPr="00512AB9" w:rsidRDefault="00D859C2" w:rsidP="00D859C2">
      <w:r>
        <w:t>zastoupena</w:t>
      </w:r>
      <w:r w:rsidRPr="00512AB9">
        <w:t xml:space="preserve">: </w:t>
      </w:r>
      <w:r w:rsidR="00897C8C">
        <w:t>Ing. Matyášem Ludvíkem, jednatelem</w:t>
      </w:r>
    </w:p>
    <w:p w14:paraId="43130257" w14:textId="13715402" w:rsidR="00D859C2" w:rsidRPr="00512AB9" w:rsidRDefault="00D859C2" w:rsidP="00D859C2">
      <w:r w:rsidRPr="00512AB9">
        <w:t xml:space="preserve">bankovní spojení: </w:t>
      </w:r>
      <w:r w:rsidR="00897C8C">
        <w:t>Československá obchodní banka a.s.</w:t>
      </w:r>
    </w:p>
    <w:p w14:paraId="4B4D9F51" w14:textId="567E2A9B" w:rsidR="00D859C2" w:rsidRPr="00512AB9" w:rsidRDefault="00D859C2" w:rsidP="00D859C2">
      <w:r w:rsidRPr="00512AB9">
        <w:t xml:space="preserve">číslo účtu: </w:t>
      </w:r>
      <w:r w:rsidR="00897C8C">
        <w:t>277647691/0300</w:t>
      </w:r>
    </w:p>
    <w:p w14:paraId="7BE5CCD9" w14:textId="46E581DB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97C8C">
        <w:t xml:space="preserve">Městským soudem v Praze </w:t>
      </w:r>
      <w:r w:rsidRPr="00652864">
        <w:t>soudem v </w:t>
      </w:r>
      <w:r w:rsidR="00897C8C">
        <w:t>Praze</w:t>
      </w:r>
      <w:r w:rsidRPr="00652864">
        <w:t xml:space="preserve">, oddíl </w:t>
      </w:r>
      <w:r w:rsidR="00897C8C">
        <w:t>C</w:t>
      </w:r>
      <w:r w:rsidRPr="00652864">
        <w:t>, vložka</w:t>
      </w:r>
      <w:r w:rsidR="00897C8C">
        <w:t xml:space="preserve"> 92823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D2BEF26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proofErr w:type="spellStart"/>
      <w:r w:rsidR="000E1223" w:rsidRPr="000E1223">
        <w:rPr>
          <w:rFonts w:eastAsia="Arial"/>
          <w:b/>
        </w:rPr>
        <w:t>Sialoendoskop</w:t>
      </w:r>
      <w:proofErr w:type="spellEnd"/>
      <w:r w:rsidR="000E1223" w:rsidRPr="000E1223">
        <w:rPr>
          <w:rFonts w:eastAsia="Arial"/>
          <w:b/>
        </w:rPr>
        <w:t xml:space="preserve"> – ORL</w:t>
      </w:r>
      <w:r w:rsidR="000E1223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3839C92D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9F0DA5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235E3710" w14:textId="64AD0746" w:rsidR="10F61468" w:rsidRDefault="00BA5EEC" w:rsidP="000E1223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4CAAAC9D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897C8C">
        <w:t>1</w:t>
      </w:r>
      <w:r w:rsidR="002F4F30" w:rsidRPr="00D859C2">
        <w:t xml:space="preserve"> ks </w:t>
      </w:r>
      <w:proofErr w:type="spellStart"/>
      <w:r w:rsidR="00897C8C">
        <w:t>Sialoendoskop</w:t>
      </w:r>
      <w:r w:rsidR="001F3474">
        <w:t>u</w:t>
      </w:r>
      <w:proofErr w:type="spellEnd"/>
      <w:r w:rsidR="00897C8C">
        <w:t xml:space="preserve"> pro Kliniku dětské ORL</w:t>
      </w:r>
      <w:r w:rsidR="008645D8" w:rsidRPr="00D859C2">
        <w:rPr>
          <w:b/>
        </w:rPr>
        <w:t xml:space="preserve">, typ: </w:t>
      </w:r>
      <w:r w:rsidR="001F3474" w:rsidRPr="001F3474">
        <w:rPr>
          <w:b/>
        </w:rPr>
        <w:t xml:space="preserve">Miniaturní endoskop 0° 1,1 mm, </w:t>
      </w:r>
      <w:proofErr w:type="spellStart"/>
      <w:r w:rsidR="001F3474" w:rsidRPr="001F3474">
        <w:rPr>
          <w:b/>
        </w:rPr>
        <w:t>autoklávovatelný</w:t>
      </w:r>
      <w:proofErr w:type="spellEnd"/>
      <w:r w:rsidR="001F3474" w:rsidRPr="001F3474">
        <w:rPr>
          <w:b/>
        </w:rPr>
        <w:t xml:space="preserve">, </w:t>
      </w:r>
      <w:proofErr w:type="spellStart"/>
      <w:r w:rsidR="001F3474" w:rsidRPr="001F3474">
        <w:rPr>
          <w:b/>
        </w:rPr>
        <w:t>semiflexibilní</w:t>
      </w:r>
      <w:proofErr w:type="spellEnd"/>
      <w:r w:rsidR="004453FF" w:rsidRPr="00D859C2">
        <w:rPr>
          <w:b/>
        </w:rPr>
        <w:t xml:space="preserve">, výrobce </w:t>
      </w:r>
      <w:r w:rsidR="00897C8C">
        <w:rPr>
          <w:b/>
        </w:rPr>
        <w:t>KARL STORZ,</w:t>
      </w:r>
      <w:r w:rsidR="004453FF" w:rsidRPr="00D859C2">
        <w:rPr>
          <w:i/>
        </w:rPr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2" w14:textId="6096485C" w:rsidR="003A1056" w:rsidRPr="00D859C2" w:rsidRDefault="00BF6761" w:rsidP="00B83A8D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DFD9F87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E38E5">
        <w:rPr>
          <w:rFonts w:eastAsia="Arial"/>
          <w:b/>
          <w:bCs/>
        </w:rPr>
        <w:t xml:space="preserve">do 6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</w:t>
      </w:r>
      <w:r w:rsidR="00297935">
        <w:t xml:space="preserve">, </w:t>
      </w:r>
      <w:r w:rsidR="00297935">
        <w:rPr>
          <w:u w:val="single"/>
        </w:rPr>
        <w:t>nejpozději však do 30</w:t>
      </w:r>
      <w:r w:rsidR="00297935" w:rsidRPr="00071C55">
        <w:rPr>
          <w:u w:val="single"/>
        </w:rPr>
        <w:t>. 1</w:t>
      </w:r>
      <w:r w:rsidR="00297935">
        <w:rPr>
          <w:u w:val="single"/>
        </w:rPr>
        <w:t>1. 2025</w:t>
      </w:r>
      <w:r w:rsidR="00250E90">
        <w:t xml:space="preserve">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F40F3B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9839FA">
        <w:t>C</w:t>
      </w:r>
      <w:r w:rsidR="007239DE">
        <w:t>entrální operační sál</w:t>
      </w:r>
      <w:r w:rsidR="009839FA">
        <w:t xml:space="preserve"> (COS III) - </w:t>
      </w:r>
      <w:r w:rsidR="00297935">
        <w:t>ORL</w:t>
      </w:r>
      <w:r w:rsidR="00297935" w:rsidRPr="00725B0F">
        <w:t xml:space="preserve">, pracoviště </w:t>
      </w:r>
      <w:r w:rsidR="00297935">
        <w:t>Dětská n</w:t>
      </w:r>
      <w:r w:rsidR="00297935" w:rsidRPr="00725B0F">
        <w:t>emocnice (</w:t>
      </w:r>
      <w:r w:rsidR="00297935">
        <w:t>D</w:t>
      </w:r>
      <w:r w:rsidR="00297935" w:rsidRPr="00725B0F">
        <w:t xml:space="preserve">N), </w:t>
      </w:r>
      <w:r w:rsidR="00297935">
        <w:t>Černopolní 9</w:t>
      </w:r>
      <w:r w:rsidR="00297935" w:rsidRPr="00725B0F">
        <w:t>, 6</w:t>
      </w:r>
      <w:r w:rsidR="00297935">
        <w:t>13</w:t>
      </w:r>
      <w:r w:rsidR="00297935" w:rsidRPr="00725B0F">
        <w:t xml:space="preserve"> 00 Brno</w:t>
      </w:r>
      <w:r w:rsidR="00297935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8AA70EA" w:rsidR="00D82704" w:rsidRPr="00D859C2" w:rsidRDefault="009A3D16" w:rsidP="00970CCA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CD3EDD">
        <w:t xml:space="preserve"> </w:t>
      </w:r>
      <w:proofErr w:type="spellStart"/>
      <w:r w:rsidR="00CD3EDD">
        <w:t>xxx</w:t>
      </w:r>
      <w:proofErr w:type="spellEnd"/>
      <w:r w:rsidR="00CD3EDD">
        <w:t xml:space="preserve"> </w:t>
      </w:r>
      <w:r w:rsidR="008C0221" w:rsidRPr="00CD3EDD">
        <w:rPr>
          <w:rFonts w:eastAsia="Arial"/>
          <w:bCs/>
        </w:rPr>
        <w:t>na</w:t>
      </w:r>
      <w:r w:rsidR="00DE3A3F" w:rsidRPr="00CD3EDD">
        <w:t xml:space="preserve"> tel.: </w:t>
      </w:r>
      <w:proofErr w:type="spellStart"/>
      <w:r w:rsidR="00CD3EDD" w:rsidRPr="00CD3EDD">
        <w:t>xxx</w:t>
      </w:r>
      <w:proofErr w:type="spellEnd"/>
      <w:r w:rsidR="00CD3EDD" w:rsidRPr="00CD3EDD">
        <w:t xml:space="preserve"> </w:t>
      </w:r>
      <w:r w:rsidR="00DE3A3F" w:rsidRPr="00CD3EDD">
        <w:t>a</w:t>
      </w:r>
      <w:r w:rsidR="00DE3A3F">
        <w:t xml:space="preserve"> písemně na e-mail</w:t>
      </w:r>
      <w:r w:rsidR="00DE3A3F" w:rsidRPr="00CD3EDD">
        <w:t>:</w:t>
      </w:r>
      <w:r w:rsidR="00CD3EDD" w:rsidRPr="00CD3EDD">
        <w:t xml:space="preserve"> </w:t>
      </w:r>
      <w:proofErr w:type="spellStart"/>
      <w:r w:rsidR="00CD3EDD" w:rsidRPr="00CD3EDD">
        <w:t>xxx</w:t>
      </w:r>
      <w:proofErr w:type="spellEnd"/>
      <w:r w:rsidR="00970CCA" w:rsidRPr="00CD3EDD">
        <w:t>.</w:t>
      </w:r>
      <w:r w:rsidR="00970CCA" w:rsidRPr="00970CCA">
        <w:rPr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</w:t>
      </w:r>
      <w:r>
        <w:lastRenderedPageBreak/>
        <w:t>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</w:t>
      </w:r>
      <w:r w:rsidRPr="00813F64">
        <w:t>předem. Nesplní-li Prodávající povinnost dle věty předchozí a budou-li dotčené práce</w:t>
      </w:r>
      <w:r>
        <w:t xml:space="preserve">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44"/>
        <w:gridCol w:w="3819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333F1CA2" w:rsidR="00D859C2" w:rsidRPr="00813F64" w:rsidRDefault="00AB1FE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813F64">
              <w:rPr>
                <w:b/>
                <w:sz w:val="22"/>
                <w:szCs w:val="22"/>
              </w:rPr>
              <w:t>138 448,-</w:t>
            </w:r>
            <w:r w:rsidR="00D859C2" w:rsidRPr="00813F6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5DB11563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AB1FEE"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  <w:shd w:val="clear" w:color="auto" w:fill="auto"/>
          </w:tcPr>
          <w:p w14:paraId="44D4CFEA" w14:textId="47B3F945" w:rsidR="00D859C2" w:rsidRPr="00813F64" w:rsidRDefault="00AB1FE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813F64">
              <w:rPr>
                <w:b/>
                <w:sz w:val="22"/>
                <w:szCs w:val="22"/>
              </w:rPr>
              <w:t xml:space="preserve">  29 074,08,-</w:t>
            </w:r>
            <w:r w:rsidR="00E90691">
              <w:rPr>
                <w:b/>
                <w:sz w:val="22"/>
                <w:szCs w:val="22"/>
              </w:rPr>
              <w:t xml:space="preserve"> </w:t>
            </w:r>
            <w:r w:rsidR="00D859C2" w:rsidRPr="00813F64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5E6E980B" w:rsidR="00D859C2" w:rsidRPr="00813F64" w:rsidRDefault="00AB1FE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813F64">
              <w:rPr>
                <w:b/>
                <w:sz w:val="22"/>
                <w:szCs w:val="22"/>
              </w:rPr>
              <w:t>167 522,08,-</w:t>
            </w:r>
            <w:r w:rsidR="00E90691">
              <w:rPr>
                <w:b/>
                <w:sz w:val="22"/>
                <w:szCs w:val="22"/>
              </w:rPr>
              <w:t xml:space="preserve"> </w:t>
            </w:r>
            <w:r w:rsidR="00D859C2" w:rsidRPr="00813F64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503D06B1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62388D">
        <w:t>3</w:t>
      </w:r>
      <w:r w:rsidRPr="00D859C2">
        <w:t xml:space="preserve">0 dnů od </w:t>
      </w:r>
      <w:r>
        <w:t xml:space="preserve">jejího </w:t>
      </w:r>
      <w:r w:rsidRPr="00D859C2">
        <w:t>vystavení</w:t>
      </w:r>
      <w:r w:rsidR="0062388D">
        <w:t>, nejpozději však do 31. 12. 2025</w:t>
      </w:r>
      <w:r w:rsidRPr="00D859C2">
        <w:t xml:space="preserve">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zákona č. 235/2004 Sb., o dani z přidané hodnoty, </w:t>
      </w:r>
      <w:r w:rsidRPr="00D859C2">
        <w:rPr>
          <w:color w:val="000000"/>
        </w:rPr>
        <w:lastRenderedPageBreak/>
        <w:t>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59417943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9F0DA5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9F0DA5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8E597CD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9F0DA5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C86585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35E34">
        <w:rPr>
          <w:snapToGrid w:val="0"/>
        </w:rPr>
        <w:t xml:space="preserve">ve </w:t>
      </w:r>
      <w:r w:rsidR="00D35E34" w:rsidRPr="00D35E34">
        <w:rPr>
          <w:snapToGrid w:val="0"/>
        </w:rPr>
        <w:t xml:space="preserve">dvou </w:t>
      </w:r>
      <w:r w:rsidRPr="00D35E34">
        <w:rPr>
          <w:snapToGrid w:val="0"/>
        </w:rPr>
        <w:t>vyhotoveních</w:t>
      </w:r>
      <w:r w:rsidRPr="00684BFA">
        <w:rPr>
          <w:snapToGrid w:val="0"/>
        </w:rPr>
        <w:t xml:space="preserve"> </w:t>
      </w:r>
      <w:r w:rsidRPr="00D35E34">
        <w:rPr>
          <w:snapToGrid w:val="0"/>
        </w:rPr>
        <w:t>stejné platnosti a závaznosti, přičemž Prodávající obdrží jedno vyhotovení a Kupující obdrží jedno</w:t>
      </w:r>
      <w:r w:rsidR="00D35E34" w:rsidRPr="00D35E34">
        <w:rPr>
          <w:snapToGrid w:val="0"/>
        </w:rPr>
        <w:t xml:space="preserve"> </w:t>
      </w:r>
      <w:r w:rsidRPr="00D35E34">
        <w:rPr>
          <w:snapToGrid w:val="0"/>
        </w:rPr>
        <w:t>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3"/>
        <w:gridCol w:w="1002"/>
        <w:gridCol w:w="3800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48597C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AB1FEE">
              <w:rPr>
                <w:sz w:val="22"/>
                <w:szCs w:val="22"/>
              </w:rPr>
              <w:t> Kutné Hoře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AB1FEE">
              <w:rPr>
                <w:sz w:val="22"/>
                <w:szCs w:val="22"/>
              </w:rPr>
              <w:t xml:space="preserve"> </w:t>
            </w:r>
            <w:r w:rsidR="00CD3EDD">
              <w:rPr>
                <w:sz w:val="22"/>
                <w:szCs w:val="22"/>
              </w:rPr>
              <w:t>29. 8. 2025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FB18389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C55B6">
              <w:rPr>
                <w:sz w:val="22"/>
                <w:szCs w:val="22"/>
              </w:rPr>
              <w:t xml:space="preserve"> 4. 9. 2025</w:t>
            </w:r>
            <w:bookmarkStart w:id="7" w:name="_GoBack"/>
            <w:bookmarkEnd w:id="7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47CFAC31" w:rsidR="00094B12" w:rsidRPr="001150C5" w:rsidRDefault="00AB1FEE" w:rsidP="00AB1FE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b/>
                <w:sz w:val="22"/>
                <w:szCs w:val="22"/>
              </w:rPr>
            </w:pPr>
            <w:r w:rsidRPr="00AB1FEE">
              <w:rPr>
                <w:b/>
                <w:sz w:val="22"/>
                <w:szCs w:val="22"/>
              </w:rPr>
              <w:t>RADIX CZ s.r.o.</w:t>
            </w:r>
          </w:p>
          <w:p w14:paraId="17D23793" w14:textId="3C0FAC77" w:rsidR="00094B12" w:rsidRPr="00D722DC" w:rsidRDefault="00AB1FEE" w:rsidP="00AB1FE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Matyáš Ludvík, jed</w:t>
            </w:r>
            <w:r w:rsidRPr="00AB1FE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50FB236B" w:rsidR="00094B12" w:rsidRDefault="00094B12">
      <w:pPr>
        <w:spacing w:line="240" w:lineRule="auto"/>
        <w:jc w:val="left"/>
      </w:pPr>
    </w:p>
    <w:p w14:paraId="1DBAA0C5" w14:textId="77777777" w:rsidR="00CD3EDD" w:rsidRDefault="00CD3EDD" w:rsidP="00094B12">
      <w:pPr>
        <w:jc w:val="center"/>
        <w:rPr>
          <w:b/>
        </w:rPr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2AA452D0" w14:textId="12D38426" w:rsidR="00B46CB7" w:rsidRDefault="00B46CB7" w:rsidP="00B46CB7"/>
    <w:p w14:paraId="7BFEF8BE" w14:textId="77777777" w:rsidR="00B46CB7" w:rsidRDefault="00B46CB7" w:rsidP="00B46CB7">
      <w:r w:rsidRPr="00B46CB7">
        <w:t>Název:</w:t>
      </w:r>
      <w:r w:rsidRPr="00B46CB7">
        <w:tab/>
        <w:t>SIALOENDOSKOPIE KARL STORZ</w:t>
      </w:r>
      <w:r w:rsidRPr="00B46CB7">
        <w:tab/>
      </w:r>
      <w:r w:rsidRPr="00B46CB7">
        <w:tab/>
      </w:r>
      <w:r w:rsidRPr="00B46CB7">
        <w:tab/>
      </w:r>
      <w:r w:rsidRPr="00B46CB7">
        <w:tab/>
      </w:r>
      <w:r w:rsidRPr="00B46CB7">
        <w:tab/>
      </w:r>
      <w:r w:rsidRPr="00B46CB7">
        <w:tab/>
      </w:r>
    </w:p>
    <w:p w14:paraId="1B037E23" w14:textId="77777777" w:rsidR="00B46CB7" w:rsidRDefault="00B46CB7" w:rsidP="00B46C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FA0CF" w14:textId="77777777" w:rsidR="00B46CB7" w:rsidRDefault="00B46CB7" w:rsidP="00B46CB7">
      <w:pPr>
        <w:ind w:left="4248" w:firstLine="708"/>
        <w:jc w:val="left"/>
      </w:pPr>
      <w:r w:rsidRPr="00B46CB7">
        <w:t>Nabídka číslo:</w:t>
      </w:r>
      <w:r w:rsidRPr="00B46CB7">
        <w:tab/>
        <w:t>205-25-JH-R4</w:t>
      </w:r>
      <w:r w:rsidRPr="00B46CB7">
        <w:tab/>
      </w:r>
      <w:proofErr w:type="gramStart"/>
      <w:r w:rsidRPr="00B46CB7">
        <w:t>25.06.2025</w:t>
      </w:r>
      <w:proofErr w:type="gramEnd"/>
    </w:p>
    <w:p w14:paraId="221EC99E" w14:textId="5C8E75C2" w:rsidR="00B46CB7" w:rsidRPr="0065072D" w:rsidRDefault="00B46CB7" w:rsidP="00B46CB7">
      <w:pPr>
        <w:jc w:val="left"/>
        <w:rPr>
          <w:b/>
          <w:bCs/>
          <w:color w:val="EE000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3"/>
        <w:gridCol w:w="1607"/>
        <w:gridCol w:w="1444"/>
        <w:gridCol w:w="1444"/>
        <w:gridCol w:w="1446"/>
        <w:gridCol w:w="1678"/>
      </w:tblGrid>
      <w:tr w:rsidR="00276F76" w14:paraId="1D02305C" w14:textId="77777777" w:rsidTr="009061FA">
        <w:tc>
          <w:tcPr>
            <w:tcW w:w="801" w:type="pct"/>
          </w:tcPr>
          <w:p w14:paraId="36928889" w14:textId="133E5C7C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Kat. </w:t>
            </w:r>
            <w:proofErr w:type="gramStart"/>
            <w:r>
              <w:rPr>
                <w:sz w:val="18"/>
                <w:szCs w:val="18"/>
              </w:rPr>
              <w:t>číslo</w:t>
            </w:r>
            <w:proofErr w:type="gramEnd"/>
          </w:p>
        </w:tc>
        <w:tc>
          <w:tcPr>
            <w:tcW w:w="865" w:type="pct"/>
          </w:tcPr>
          <w:p w14:paraId="2E8CC677" w14:textId="170B464C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</w:t>
            </w:r>
          </w:p>
        </w:tc>
        <w:tc>
          <w:tcPr>
            <w:tcW w:w="801" w:type="pct"/>
          </w:tcPr>
          <w:p w14:paraId="69A67CC6" w14:textId="13353584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Ks/box</w:t>
            </w:r>
          </w:p>
        </w:tc>
        <w:tc>
          <w:tcPr>
            <w:tcW w:w="801" w:type="pct"/>
          </w:tcPr>
          <w:p w14:paraId="330DA4F4" w14:textId="54DD630A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DPH%</w:t>
            </w:r>
          </w:p>
        </w:tc>
        <w:tc>
          <w:tcPr>
            <w:tcW w:w="802" w:type="pct"/>
          </w:tcPr>
          <w:p w14:paraId="2D7DE322" w14:textId="55290842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balení</w:t>
            </w:r>
          </w:p>
        </w:tc>
        <w:tc>
          <w:tcPr>
            <w:tcW w:w="929" w:type="pct"/>
          </w:tcPr>
          <w:p w14:paraId="517F558F" w14:textId="38803BA7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BEZ DPH</w:t>
            </w:r>
          </w:p>
        </w:tc>
      </w:tr>
      <w:tr w:rsidR="0065072D" w14:paraId="6F08C4D5" w14:textId="77777777" w:rsidTr="009061FA">
        <w:tc>
          <w:tcPr>
            <w:tcW w:w="5000" w:type="pct"/>
            <w:gridSpan w:val="6"/>
          </w:tcPr>
          <w:p w14:paraId="1C908346" w14:textId="60486872" w:rsidR="0065072D" w:rsidRDefault="0065072D" w:rsidP="00B46CB7">
            <w:pPr>
              <w:jc w:val="left"/>
              <w:rPr>
                <w:sz w:val="18"/>
                <w:szCs w:val="18"/>
              </w:rPr>
            </w:pPr>
            <w:proofErr w:type="spellStart"/>
            <w:r w:rsidRPr="0065072D">
              <w:rPr>
                <w:b/>
                <w:bCs/>
                <w:color w:val="EE0000"/>
              </w:rPr>
              <w:t>Sialoendoskop</w:t>
            </w:r>
            <w:proofErr w:type="spellEnd"/>
            <w:r w:rsidRPr="0065072D">
              <w:rPr>
                <w:b/>
                <w:bCs/>
                <w:color w:val="EE0000"/>
              </w:rPr>
              <w:t xml:space="preserve"> 1.1 mm s pracovním a irigačním kanálem</w:t>
            </w:r>
          </w:p>
        </w:tc>
      </w:tr>
      <w:tr w:rsidR="00276F76" w14:paraId="2BB197BB" w14:textId="77777777" w:rsidTr="009061FA">
        <w:tc>
          <w:tcPr>
            <w:tcW w:w="801" w:type="pct"/>
          </w:tcPr>
          <w:p w14:paraId="7805F1FD" w14:textId="247CBE9B" w:rsidR="00276F76" w:rsidRDefault="00276F76" w:rsidP="00B46CB7">
            <w:pPr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11573A</w:t>
            </w:r>
          </w:p>
        </w:tc>
        <w:tc>
          <w:tcPr>
            <w:tcW w:w="865" w:type="pct"/>
          </w:tcPr>
          <w:p w14:paraId="17217C6F" w14:textId="1A1CA56C" w:rsidR="00276F76" w:rsidRDefault="00276F76" w:rsidP="00B46CB7">
            <w:pPr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 xml:space="preserve">Miniaturní endoskop 0° 1,1 mm, </w:t>
            </w:r>
            <w:proofErr w:type="spellStart"/>
            <w:r w:rsidRPr="00276F76">
              <w:rPr>
                <w:sz w:val="18"/>
                <w:szCs w:val="18"/>
              </w:rPr>
              <w:t>autoklávovatelný</w:t>
            </w:r>
            <w:proofErr w:type="spellEnd"/>
            <w:r w:rsidRPr="00276F76">
              <w:rPr>
                <w:sz w:val="18"/>
                <w:szCs w:val="18"/>
              </w:rPr>
              <w:t xml:space="preserve">, </w:t>
            </w:r>
            <w:proofErr w:type="spellStart"/>
            <w:r w:rsidRPr="00276F76">
              <w:rPr>
                <w:sz w:val="18"/>
                <w:szCs w:val="18"/>
              </w:rPr>
              <w:t>semiflexibilní</w:t>
            </w:r>
            <w:proofErr w:type="spellEnd"/>
            <w:r w:rsidRPr="00276F76">
              <w:rPr>
                <w:sz w:val="18"/>
                <w:szCs w:val="18"/>
              </w:rPr>
              <w:t>, délka pracovní části 10 cm, pracovní kanál 0,45 mm, irigační kanál 0,25 mm, oddálený okulár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7AAF7C2C" w14:textId="5802ED7C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393B999F" w14:textId="37C26F29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3E81497F" w14:textId="6192F3A9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120582,-Kč</w:t>
            </w:r>
          </w:p>
        </w:tc>
        <w:tc>
          <w:tcPr>
            <w:tcW w:w="929" w:type="pct"/>
          </w:tcPr>
          <w:p w14:paraId="00ED53B9" w14:textId="25ADCD60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120582,-Kč</w:t>
            </w:r>
          </w:p>
        </w:tc>
      </w:tr>
      <w:tr w:rsidR="0065072D" w14:paraId="4244E59B" w14:textId="77777777" w:rsidTr="009061FA">
        <w:tc>
          <w:tcPr>
            <w:tcW w:w="5000" w:type="pct"/>
            <w:gridSpan w:val="6"/>
          </w:tcPr>
          <w:p w14:paraId="50C575CC" w14:textId="3C0308BD" w:rsidR="0065072D" w:rsidRPr="0065072D" w:rsidRDefault="0065072D" w:rsidP="00B46CB7">
            <w:pPr>
              <w:jc w:val="left"/>
              <w:rPr>
                <w:b/>
                <w:bCs/>
                <w:sz w:val="18"/>
                <w:szCs w:val="18"/>
              </w:rPr>
            </w:pPr>
            <w:r w:rsidRPr="0065072D">
              <w:rPr>
                <w:b/>
                <w:bCs/>
                <w:color w:val="EE0000"/>
              </w:rPr>
              <w:t xml:space="preserve">Sterilizační síto pro </w:t>
            </w:r>
            <w:proofErr w:type="spellStart"/>
            <w:r w:rsidRPr="0065072D">
              <w:rPr>
                <w:b/>
                <w:bCs/>
                <w:color w:val="EE0000"/>
              </w:rPr>
              <w:t>sialoendoskop</w:t>
            </w:r>
            <w:proofErr w:type="spellEnd"/>
          </w:p>
        </w:tc>
      </w:tr>
      <w:tr w:rsidR="00276F76" w14:paraId="5C844F6E" w14:textId="77777777" w:rsidTr="009061FA">
        <w:tc>
          <w:tcPr>
            <w:tcW w:w="801" w:type="pct"/>
          </w:tcPr>
          <w:p w14:paraId="5716AB43" w14:textId="5EA83FB3" w:rsidR="00276F76" w:rsidRDefault="00276F76" w:rsidP="00B46CB7">
            <w:pPr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39502Z</w:t>
            </w:r>
          </w:p>
        </w:tc>
        <w:tc>
          <w:tcPr>
            <w:tcW w:w="865" w:type="pct"/>
          </w:tcPr>
          <w:p w14:paraId="1BB515E0" w14:textId="07BD763F" w:rsidR="00276F76" w:rsidRDefault="00276F76" w:rsidP="00B46CB7">
            <w:pPr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Sterilizační síto pro endoskop</w:t>
            </w:r>
          </w:p>
        </w:tc>
        <w:tc>
          <w:tcPr>
            <w:tcW w:w="801" w:type="pct"/>
          </w:tcPr>
          <w:p w14:paraId="0D14FD28" w14:textId="0A6DF1A8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7940A5A5" w14:textId="42FFD347" w:rsidR="00276F76" w:rsidRDefault="00276F76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401F9B09" w14:textId="50A3D55A" w:rsidR="00276F76" w:rsidRDefault="0065072D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4456,-Kč</w:t>
            </w:r>
          </w:p>
        </w:tc>
        <w:tc>
          <w:tcPr>
            <w:tcW w:w="929" w:type="pct"/>
          </w:tcPr>
          <w:p w14:paraId="178B77EC" w14:textId="0EEF7245" w:rsidR="00276F76" w:rsidRDefault="0065072D" w:rsidP="00B46C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4456,-Kč</w:t>
            </w:r>
          </w:p>
        </w:tc>
      </w:tr>
      <w:tr w:rsidR="0065072D" w14:paraId="20F12388" w14:textId="77777777" w:rsidTr="009061FA">
        <w:tc>
          <w:tcPr>
            <w:tcW w:w="801" w:type="pct"/>
          </w:tcPr>
          <w:p w14:paraId="788D5EB6" w14:textId="77777777" w:rsidR="0065072D" w:rsidRPr="00276F76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39502L</w:t>
            </w:r>
          </w:p>
          <w:p w14:paraId="5AE81FBA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16160A93" w14:textId="1FDF2BDE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Víko pro sterilizační síto</w:t>
            </w:r>
          </w:p>
        </w:tc>
        <w:tc>
          <w:tcPr>
            <w:tcW w:w="801" w:type="pct"/>
          </w:tcPr>
          <w:p w14:paraId="66A0615F" w14:textId="4FA2B9E4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31C46DA7" w14:textId="531C0C56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57AF67F9" w14:textId="4C3E3CB8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4070,-Kč</w:t>
            </w:r>
          </w:p>
        </w:tc>
        <w:tc>
          <w:tcPr>
            <w:tcW w:w="929" w:type="pct"/>
          </w:tcPr>
          <w:p w14:paraId="7F34A028" w14:textId="564EACC4" w:rsidR="0065072D" w:rsidRDefault="0065072D" w:rsidP="00650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4070,-Kč</w:t>
            </w:r>
          </w:p>
        </w:tc>
      </w:tr>
      <w:tr w:rsidR="0065072D" w14:paraId="2F33B210" w14:textId="77777777" w:rsidTr="009061FA">
        <w:tc>
          <w:tcPr>
            <w:tcW w:w="801" w:type="pct"/>
          </w:tcPr>
          <w:p w14:paraId="77809D23" w14:textId="77777777" w:rsidR="0065072D" w:rsidRPr="00276F76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39100S</w:t>
            </w:r>
          </w:p>
          <w:p w14:paraId="5DECDBC4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62B7D35B" w14:textId="6BA1CCE6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Silikonová podložka</w:t>
            </w:r>
          </w:p>
        </w:tc>
        <w:tc>
          <w:tcPr>
            <w:tcW w:w="801" w:type="pct"/>
          </w:tcPr>
          <w:p w14:paraId="41342C24" w14:textId="393E7590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098E3201" w14:textId="31BA70E3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2F210A6F" w14:textId="70E9EDEE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3599,-Kč</w:t>
            </w:r>
          </w:p>
        </w:tc>
        <w:tc>
          <w:tcPr>
            <w:tcW w:w="929" w:type="pct"/>
          </w:tcPr>
          <w:p w14:paraId="219A1566" w14:textId="76F1F91D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3599,-Kč</w:t>
            </w:r>
          </w:p>
        </w:tc>
      </w:tr>
      <w:tr w:rsidR="0065072D" w14:paraId="1030FDDD" w14:textId="77777777" w:rsidTr="009061FA">
        <w:tc>
          <w:tcPr>
            <w:tcW w:w="801" w:type="pct"/>
          </w:tcPr>
          <w:p w14:paraId="41E0E552" w14:textId="77777777" w:rsidR="0065072D" w:rsidRPr="00276F76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39100PS</w:t>
            </w:r>
          </w:p>
          <w:p w14:paraId="6D42D8A4" w14:textId="77777777" w:rsidR="0065072D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387DFAB3" w14:textId="7F76524A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Fixační piny (12 ks v balení)</w:t>
            </w:r>
          </w:p>
        </w:tc>
        <w:tc>
          <w:tcPr>
            <w:tcW w:w="801" w:type="pct"/>
          </w:tcPr>
          <w:p w14:paraId="540766E3" w14:textId="793FE6ED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3B0305B5" w14:textId="2BA74BBD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7DFEB22A" w14:textId="323A5492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1457,-Kč</w:t>
            </w:r>
          </w:p>
        </w:tc>
        <w:tc>
          <w:tcPr>
            <w:tcW w:w="929" w:type="pct"/>
          </w:tcPr>
          <w:p w14:paraId="2F05E50D" w14:textId="3726D94B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1457,-Kč</w:t>
            </w:r>
          </w:p>
        </w:tc>
      </w:tr>
      <w:tr w:rsidR="0065072D" w14:paraId="50731DE9" w14:textId="77777777" w:rsidTr="009061FA">
        <w:tc>
          <w:tcPr>
            <w:tcW w:w="801" w:type="pct"/>
          </w:tcPr>
          <w:p w14:paraId="0DCC079D" w14:textId="77777777" w:rsidR="0065072D" w:rsidRPr="00276F76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39360AS</w:t>
            </w:r>
          </w:p>
          <w:p w14:paraId="4287CE78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6F089A7F" w14:textId="7E2274FB" w:rsidR="0065072D" w:rsidRDefault="0065072D" w:rsidP="0065072D">
            <w:pPr>
              <w:jc w:val="left"/>
              <w:rPr>
                <w:sz w:val="18"/>
                <w:szCs w:val="18"/>
              </w:rPr>
            </w:pPr>
            <w:proofErr w:type="spellStart"/>
            <w:r w:rsidRPr="0065072D">
              <w:rPr>
                <w:sz w:val="18"/>
                <w:szCs w:val="18"/>
              </w:rPr>
              <w:t>Sillikonové</w:t>
            </w:r>
            <w:proofErr w:type="spellEnd"/>
            <w:r w:rsidRPr="0065072D">
              <w:rPr>
                <w:sz w:val="18"/>
                <w:szCs w:val="18"/>
              </w:rPr>
              <w:t xml:space="preserve"> zarážky pro piny (balení po 12 ks)</w:t>
            </w:r>
          </w:p>
        </w:tc>
        <w:tc>
          <w:tcPr>
            <w:tcW w:w="801" w:type="pct"/>
          </w:tcPr>
          <w:p w14:paraId="381BF039" w14:textId="0AEEC8CF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22DB9EBD" w14:textId="4256A99C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5E657EF1" w14:textId="360A2582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900,-Kč</w:t>
            </w:r>
          </w:p>
        </w:tc>
        <w:tc>
          <w:tcPr>
            <w:tcW w:w="929" w:type="pct"/>
          </w:tcPr>
          <w:p w14:paraId="76C3CBEC" w14:textId="46CBA1D5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900,-Kč</w:t>
            </w:r>
          </w:p>
        </w:tc>
      </w:tr>
      <w:tr w:rsidR="0065072D" w14:paraId="3E5D13D5" w14:textId="77777777" w:rsidTr="009061FA">
        <w:tc>
          <w:tcPr>
            <w:tcW w:w="801" w:type="pct"/>
          </w:tcPr>
          <w:p w14:paraId="6B4F532D" w14:textId="0878764C" w:rsidR="0065072D" w:rsidRDefault="0065072D" w:rsidP="0065072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76F76">
              <w:rPr>
                <w:sz w:val="18"/>
                <w:szCs w:val="18"/>
              </w:rPr>
              <w:t>39501XS</w:t>
            </w:r>
          </w:p>
        </w:tc>
        <w:tc>
          <w:tcPr>
            <w:tcW w:w="865" w:type="pct"/>
          </w:tcPr>
          <w:p w14:paraId="5D36D5E3" w14:textId="1D403322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Košík na drobné příslušenství</w:t>
            </w:r>
          </w:p>
        </w:tc>
        <w:tc>
          <w:tcPr>
            <w:tcW w:w="801" w:type="pct"/>
          </w:tcPr>
          <w:p w14:paraId="1BB85F13" w14:textId="42F670F3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1" w:type="pct"/>
          </w:tcPr>
          <w:p w14:paraId="0B242E2D" w14:textId="2826450F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02" w:type="pct"/>
          </w:tcPr>
          <w:p w14:paraId="060C38C3" w14:textId="0BFF5094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3384,-Kč</w:t>
            </w:r>
          </w:p>
        </w:tc>
        <w:tc>
          <w:tcPr>
            <w:tcW w:w="929" w:type="pct"/>
          </w:tcPr>
          <w:p w14:paraId="1DEA3E19" w14:textId="4A45A52E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3384,-Kč</w:t>
            </w:r>
          </w:p>
        </w:tc>
      </w:tr>
      <w:tr w:rsidR="0065072D" w14:paraId="7F54FC08" w14:textId="77777777" w:rsidTr="009061FA">
        <w:tc>
          <w:tcPr>
            <w:tcW w:w="801" w:type="pct"/>
          </w:tcPr>
          <w:p w14:paraId="13CEA88D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7A24D859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1" w:type="pct"/>
          </w:tcPr>
          <w:p w14:paraId="728CD833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1" w:type="pct"/>
          </w:tcPr>
          <w:p w14:paraId="204EFEC3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1190376A" w14:textId="6B4CC1EB" w:rsidR="0065072D" w:rsidRPr="0065072D" w:rsidRDefault="0065072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65072D">
              <w:rPr>
                <w:b/>
                <w:bCs/>
                <w:sz w:val="18"/>
                <w:szCs w:val="18"/>
              </w:rPr>
              <w:t>Základní cena bez DPH:</w:t>
            </w:r>
          </w:p>
        </w:tc>
        <w:tc>
          <w:tcPr>
            <w:tcW w:w="929" w:type="pct"/>
          </w:tcPr>
          <w:p w14:paraId="64AA964D" w14:textId="7B7093F8" w:rsidR="0065072D" w:rsidRPr="0065072D" w:rsidRDefault="0065072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65072D">
              <w:rPr>
                <w:b/>
                <w:bCs/>
                <w:sz w:val="18"/>
                <w:szCs w:val="18"/>
              </w:rPr>
              <w:t>138448,-Kč</w:t>
            </w:r>
          </w:p>
        </w:tc>
      </w:tr>
      <w:tr w:rsidR="0065072D" w14:paraId="5BA805CB" w14:textId="77777777" w:rsidTr="009061FA">
        <w:tc>
          <w:tcPr>
            <w:tcW w:w="801" w:type="pct"/>
          </w:tcPr>
          <w:p w14:paraId="7A55CCF8" w14:textId="37BB2164" w:rsidR="0065072D" w:rsidRPr="00B2383D" w:rsidRDefault="0065072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Sazba DPH</w:t>
            </w:r>
          </w:p>
        </w:tc>
        <w:tc>
          <w:tcPr>
            <w:tcW w:w="865" w:type="pct"/>
          </w:tcPr>
          <w:p w14:paraId="48A52EEB" w14:textId="2652B612" w:rsidR="0065072D" w:rsidRPr="00B2383D" w:rsidRDefault="0065072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Základ daně</w:t>
            </w:r>
          </w:p>
        </w:tc>
        <w:tc>
          <w:tcPr>
            <w:tcW w:w="801" w:type="pct"/>
          </w:tcPr>
          <w:p w14:paraId="0405CBB6" w14:textId="1D998898" w:rsidR="0065072D" w:rsidRPr="00B2383D" w:rsidRDefault="0065072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801" w:type="pct"/>
          </w:tcPr>
          <w:p w14:paraId="6D64AC87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4A3BA5B6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9" w:type="pct"/>
          </w:tcPr>
          <w:p w14:paraId="6D511BE5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</w:tr>
      <w:tr w:rsidR="00B2383D" w14:paraId="097D3525" w14:textId="77777777" w:rsidTr="009061FA">
        <w:tc>
          <w:tcPr>
            <w:tcW w:w="801" w:type="pct"/>
          </w:tcPr>
          <w:p w14:paraId="57F32246" w14:textId="4165827E" w:rsidR="00B2383D" w:rsidRDefault="00B2383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0%</w:t>
            </w:r>
          </w:p>
        </w:tc>
        <w:tc>
          <w:tcPr>
            <w:tcW w:w="865" w:type="pct"/>
          </w:tcPr>
          <w:p w14:paraId="2576B5FE" w14:textId="32C1EDDC" w:rsidR="00B2383D" w:rsidRDefault="00B2383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1" w:type="pct"/>
          </w:tcPr>
          <w:p w14:paraId="56308D97" w14:textId="425FB4FD" w:rsidR="00B2383D" w:rsidRDefault="00B2383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03" w:type="pct"/>
            <w:gridSpan w:val="2"/>
          </w:tcPr>
          <w:p w14:paraId="73A356B8" w14:textId="4B454C67" w:rsidR="00B2383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 xml:space="preserve">Cena </w:t>
            </w:r>
            <w:proofErr w:type="gramStart"/>
            <w:r w:rsidRPr="00B2383D">
              <w:rPr>
                <w:b/>
                <w:bCs/>
                <w:sz w:val="18"/>
                <w:szCs w:val="18"/>
              </w:rPr>
              <w:t>celkem     bez</w:t>
            </w:r>
            <w:proofErr w:type="gramEnd"/>
            <w:r w:rsidRPr="00B2383D">
              <w:rPr>
                <w:b/>
                <w:bCs/>
                <w:sz w:val="18"/>
                <w:szCs w:val="18"/>
              </w:rPr>
              <w:t xml:space="preserve"> DPH:</w:t>
            </w:r>
          </w:p>
        </w:tc>
        <w:tc>
          <w:tcPr>
            <w:tcW w:w="929" w:type="pct"/>
          </w:tcPr>
          <w:p w14:paraId="5C42CB46" w14:textId="0B4937EC" w:rsidR="00B2383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138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2383D">
              <w:rPr>
                <w:b/>
                <w:bCs/>
                <w:sz w:val="18"/>
                <w:szCs w:val="18"/>
              </w:rPr>
              <w:t>448,-Kč</w:t>
            </w:r>
          </w:p>
        </w:tc>
      </w:tr>
      <w:tr w:rsidR="0065072D" w14:paraId="37CC9863" w14:textId="77777777" w:rsidTr="009061FA">
        <w:tc>
          <w:tcPr>
            <w:tcW w:w="801" w:type="pct"/>
          </w:tcPr>
          <w:p w14:paraId="236C7175" w14:textId="455BD663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12%</w:t>
            </w:r>
          </w:p>
        </w:tc>
        <w:tc>
          <w:tcPr>
            <w:tcW w:w="865" w:type="pct"/>
          </w:tcPr>
          <w:p w14:paraId="12496502" w14:textId="54CEEE95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1" w:type="pct"/>
          </w:tcPr>
          <w:p w14:paraId="24B4A67D" w14:textId="6CAF1ED5" w:rsidR="0065072D" w:rsidRDefault="00B2383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1" w:type="pct"/>
          </w:tcPr>
          <w:p w14:paraId="4163DC0E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2EFDEC57" w14:textId="29A5F10C" w:rsidR="0065072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DPH 12%:</w:t>
            </w:r>
          </w:p>
        </w:tc>
        <w:tc>
          <w:tcPr>
            <w:tcW w:w="929" w:type="pct"/>
          </w:tcPr>
          <w:p w14:paraId="5E60849E" w14:textId="117E77B3" w:rsidR="0065072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B2383D">
              <w:rPr>
                <w:b/>
                <w:bCs/>
                <w:sz w:val="18"/>
                <w:szCs w:val="18"/>
              </w:rPr>
              <w:t>0 Kč</w:t>
            </w:r>
          </w:p>
        </w:tc>
      </w:tr>
      <w:tr w:rsidR="0065072D" w14:paraId="7A0FDFA5" w14:textId="77777777" w:rsidTr="009061FA">
        <w:tc>
          <w:tcPr>
            <w:tcW w:w="801" w:type="pct"/>
          </w:tcPr>
          <w:p w14:paraId="3EFED286" w14:textId="34300F26" w:rsidR="0065072D" w:rsidRDefault="0065072D" w:rsidP="0065072D">
            <w:pPr>
              <w:jc w:val="left"/>
              <w:rPr>
                <w:sz w:val="18"/>
                <w:szCs w:val="18"/>
              </w:rPr>
            </w:pPr>
            <w:r w:rsidRPr="0065072D">
              <w:rPr>
                <w:sz w:val="18"/>
                <w:szCs w:val="18"/>
              </w:rPr>
              <w:t>21%</w:t>
            </w:r>
          </w:p>
        </w:tc>
        <w:tc>
          <w:tcPr>
            <w:tcW w:w="865" w:type="pct"/>
          </w:tcPr>
          <w:p w14:paraId="50DF403C" w14:textId="1A559A19" w:rsidR="0065072D" w:rsidRDefault="0065072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138448,-Kč</w:t>
            </w:r>
          </w:p>
        </w:tc>
        <w:tc>
          <w:tcPr>
            <w:tcW w:w="801" w:type="pct"/>
          </w:tcPr>
          <w:p w14:paraId="1FB02AAC" w14:textId="3DD88785" w:rsidR="0065072D" w:rsidRDefault="00B2383D" w:rsidP="0065072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29074,08,-Kč</w:t>
            </w:r>
          </w:p>
        </w:tc>
        <w:tc>
          <w:tcPr>
            <w:tcW w:w="801" w:type="pct"/>
          </w:tcPr>
          <w:p w14:paraId="4461B90A" w14:textId="77777777" w:rsidR="0065072D" w:rsidRDefault="0065072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74048314" w14:textId="57F01BF6" w:rsidR="0065072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DPH 21%:</w:t>
            </w:r>
          </w:p>
        </w:tc>
        <w:tc>
          <w:tcPr>
            <w:tcW w:w="929" w:type="pct"/>
          </w:tcPr>
          <w:p w14:paraId="6C259D49" w14:textId="6875A494" w:rsidR="0065072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B2383D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2383D">
              <w:rPr>
                <w:b/>
                <w:bCs/>
                <w:sz w:val="18"/>
                <w:szCs w:val="18"/>
              </w:rPr>
              <w:t>074,08,-Kč</w:t>
            </w:r>
          </w:p>
        </w:tc>
      </w:tr>
      <w:tr w:rsidR="00B2383D" w14:paraId="099452E3" w14:textId="77777777" w:rsidTr="009061FA">
        <w:tc>
          <w:tcPr>
            <w:tcW w:w="801" w:type="pct"/>
          </w:tcPr>
          <w:p w14:paraId="4E03ACF5" w14:textId="77777777" w:rsidR="00B2383D" w:rsidRDefault="00B2383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7E0F221E" w14:textId="77777777" w:rsidR="00B2383D" w:rsidRDefault="00B2383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1" w:type="pct"/>
          </w:tcPr>
          <w:p w14:paraId="259CE76A" w14:textId="77777777" w:rsidR="00B2383D" w:rsidRDefault="00B2383D" w:rsidP="006507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3" w:type="pct"/>
            <w:gridSpan w:val="2"/>
          </w:tcPr>
          <w:p w14:paraId="6D37F525" w14:textId="25084F3E" w:rsidR="00B2383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Cena celkem včetně DPH:</w:t>
            </w:r>
          </w:p>
        </w:tc>
        <w:tc>
          <w:tcPr>
            <w:tcW w:w="929" w:type="pct"/>
          </w:tcPr>
          <w:p w14:paraId="16C4739F" w14:textId="100BB218" w:rsidR="00B2383D" w:rsidRPr="00B2383D" w:rsidRDefault="00B2383D" w:rsidP="0065072D">
            <w:pPr>
              <w:jc w:val="left"/>
              <w:rPr>
                <w:b/>
                <w:bCs/>
                <w:sz w:val="18"/>
                <w:szCs w:val="18"/>
              </w:rPr>
            </w:pPr>
            <w:r w:rsidRPr="00B2383D">
              <w:rPr>
                <w:b/>
                <w:bCs/>
                <w:sz w:val="18"/>
                <w:szCs w:val="18"/>
              </w:rPr>
              <w:t>167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2383D">
              <w:rPr>
                <w:b/>
                <w:bCs/>
                <w:sz w:val="18"/>
                <w:szCs w:val="18"/>
              </w:rPr>
              <w:t>522,08,-Kč</w:t>
            </w:r>
          </w:p>
        </w:tc>
      </w:tr>
    </w:tbl>
    <w:p w14:paraId="30D836C4" w14:textId="1420A1B6" w:rsidR="00B46CB7" w:rsidRDefault="00B46CB7" w:rsidP="00B2383D">
      <w:pPr>
        <w:jc w:val="left"/>
      </w:pPr>
    </w:p>
    <w:sectPr w:rsidR="00B46CB7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C55B6" w:rsidRPr="005C55B6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BA66D" w14:textId="48FFBD1A" w:rsidR="001B29F7" w:rsidRDefault="00163C7C" w:rsidP="00163C7C">
    <w:pPr>
      <w:pStyle w:val="Zhlav"/>
      <w:jc w:val="right"/>
      <w:rPr>
        <w:sz w:val="20"/>
        <w:szCs w:val="20"/>
        <w:lang w:val="cs-CZ"/>
      </w:rPr>
    </w:pPr>
    <w:r>
      <w:rPr>
        <w:rFonts w:ascii="Tahoma" w:hAnsi="Tahoma" w:cs="Tahoma"/>
        <w:b/>
        <w:bCs/>
        <w:color w:val="000000"/>
        <w:sz w:val="19"/>
        <w:szCs w:val="19"/>
        <w:shd w:val="clear" w:color="auto" w:fill="FFFFFF"/>
      </w:rPr>
      <w:t>P25V00000303</w:t>
    </w:r>
  </w:p>
  <w:p w14:paraId="3D0C379E" w14:textId="211F0B71" w:rsidR="007239DE" w:rsidRPr="00AE38E5" w:rsidRDefault="00B83A8D" w:rsidP="00362138">
    <w:pPr>
      <w:pStyle w:val="Zhlav"/>
      <w:jc w:val="right"/>
      <w:rPr>
        <w:sz w:val="20"/>
        <w:szCs w:val="20"/>
        <w:lang w:val="cs-CZ"/>
      </w:rPr>
    </w:pPr>
    <w:r>
      <w:rPr>
        <w:sz w:val="20"/>
        <w:szCs w:val="20"/>
        <w:lang w:val="cs-CZ"/>
      </w:rPr>
      <w:t>KP/2492/2025/</w:t>
    </w:r>
    <w:proofErr w:type="spellStart"/>
    <w:r>
      <w:rPr>
        <w:sz w:val="20"/>
        <w:szCs w:val="20"/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1223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3C7C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29F7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3474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6F76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935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62138"/>
    <w:rsid w:val="00362C38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4517"/>
    <w:rsid w:val="00584B72"/>
    <w:rsid w:val="0058691F"/>
    <w:rsid w:val="00586BB3"/>
    <w:rsid w:val="005A31F8"/>
    <w:rsid w:val="005A3B45"/>
    <w:rsid w:val="005A6D97"/>
    <w:rsid w:val="005B3940"/>
    <w:rsid w:val="005C55B6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388D"/>
    <w:rsid w:val="006260B6"/>
    <w:rsid w:val="00626A1F"/>
    <w:rsid w:val="00633149"/>
    <w:rsid w:val="006369BD"/>
    <w:rsid w:val="006412CC"/>
    <w:rsid w:val="00642628"/>
    <w:rsid w:val="00642C81"/>
    <w:rsid w:val="0065072D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239DE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5470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4A59"/>
    <w:rsid w:val="00807207"/>
    <w:rsid w:val="00813F64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97C8C"/>
    <w:rsid w:val="008A4B00"/>
    <w:rsid w:val="008C0221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061FA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0CCA"/>
    <w:rsid w:val="00971663"/>
    <w:rsid w:val="0097244D"/>
    <w:rsid w:val="00973DFD"/>
    <w:rsid w:val="009839FA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0DA5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6000"/>
    <w:rsid w:val="00A77DC6"/>
    <w:rsid w:val="00A92F5B"/>
    <w:rsid w:val="00A9354F"/>
    <w:rsid w:val="00A937E1"/>
    <w:rsid w:val="00AA0B1A"/>
    <w:rsid w:val="00AA378C"/>
    <w:rsid w:val="00AA4B53"/>
    <w:rsid w:val="00AB13EA"/>
    <w:rsid w:val="00AB1FEE"/>
    <w:rsid w:val="00AB2F46"/>
    <w:rsid w:val="00AB799A"/>
    <w:rsid w:val="00AC06B9"/>
    <w:rsid w:val="00AD18F2"/>
    <w:rsid w:val="00AD1A46"/>
    <w:rsid w:val="00AD3810"/>
    <w:rsid w:val="00AD3D04"/>
    <w:rsid w:val="00AE38E5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383D"/>
    <w:rsid w:val="00B406E7"/>
    <w:rsid w:val="00B41494"/>
    <w:rsid w:val="00B436FD"/>
    <w:rsid w:val="00B46CB7"/>
    <w:rsid w:val="00B54922"/>
    <w:rsid w:val="00B733E1"/>
    <w:rsid w:val="00B736A9"/>
    <w:rsid w:val="00B76CBC"/>
    <w:rsid w:val="00B76F43"/>
    <w:rsid w:val="00B800B2"/>
    <w:rsid w:val="00B82BC0"/>
    <w:rsid w:val="00B83A8D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1B0"/>
    <w:rsid w:val="00CB6A3D"/>
    <w:rsid w:val="00CC0F64"/>
    <w:rsid w:val="00CC12D2"/>
    <w:rsid w:val="00CD3EDD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35E34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4B1A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0691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f8073be8-ba4e-4991-92ef-8ca69007da56"/>
    <ds:schemaRef ds:uri="http://purl.org/dc/elements/1.1/"/>
    <ds:schemaRef ds:uri="http://purl.org/dc/terms/"/>
    <ds:schemaRef ds:uri="http://schemas.openxmlformats.org/package/2006/metadata/core-properties"/>
    <ds:schemaRef ds:uri="cc852e05-94eb-48de-a089-3a35c1dd621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7E409E-77DB-429F-BB58-76C65D77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4678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8</cp:revision>
  <cp:lastPrinted>2025-06-25T13:29:00Z</cp:lastPrinted>
  <dcterms:created xsi:type="dcterms:W3CDTF">2025-06-25T13:29:00Z</dcterms:created>
  <dcterms:modified xsi:type="dcterms:W3CDTF">2025-09-05T05:25:00Z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