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Nový návrh GD monitoringu</w:t>
        <w:br/>
        <w:t>250630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880" w:val="left"/>
        </w:tabs>
        <w:bidi w:val="0"/>
        <w:spacing w:before="0" w:after="0" w:line="240" w:lineRule="auto"/>
        <w:ind w:left="5803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</w:t>
        <w:tab/>
        <w:t>Cena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03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 Kč /1 ks Cena 1 etapu ks Kč /1 ks Cena 1 etapu</w:t>
      </w:r>
    </w:p>
    <w:tbl>
      <w:tblPr>
        <w:tblOverlap w:val="never"/>
        <w:jc w:val="center"/>
        <w:tblLayout w:type="fixed"/>
      </w:tblPr>
      <w:tblGrid>
        <w:gridCol w:w="907"/>
        <w:gridCol w:w="4070"/>
        <w:gridCol w:w="634"/>
        <w:gridCol w:w="566"/>
        <w:gridCol w:w="1133"/>
        <w:gridCol w:w="1354"/>
        <w:gridCol w:w="629"/>
        <w:gridCol w:w="571"/>
        <w:gridCol w:w="1205"/>
        <w:gridCol w:w="1435"/>
      </w:tblGrid>
      <w:tr>
        <w:trPr>
          <w:trHeight w:val="11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HG vrty - záměr hladin ve vrtech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(A3/HJ1, A3/HJ2, A3/HJ3, HG101, 102, 103, 104, 105, 106, 107, 108, 109, 110, 111, 112, HG140, 141, 144, 155, 164)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studny - záměr hladin ve studnách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S1, S4, S5, S6, S7, S8, S9, S10, S11, S12, S13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doplněné studny (škola, obecní úřad Petrohrad)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(S17, S14)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C00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C00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C000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C000"/>
            <w:vAlign w:val="center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na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</w:tr>
      <w:tr>
        <w:trPr>
          <w:trHeight w:val="26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 vzorků vody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Návrh možného umístění: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5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 oblasti hráze 1x (Např. z linie HG101 - HG103)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 údolí Březnice 1x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ze soukromé studny nejblíže k hřbitovu a ČOV (S5) ev. by šlo ze studny u hřbitova (ale asi méně průkazné)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pod Finklovým rybníkem (buď HG112 a nebo S11)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u školy nebo u úřadu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chemické rozbory vody základní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odběry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Etapová zpráva (1x/2 roky) - zapsání,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HG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vyhodnocení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bottom w:val="single" w:sz="4"/>
            </w:tcBorders>
            <w:shd w:val="clear" w:color="auto" w:fill="FFC0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000,00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bottom w:val="single" w:sz="4"/>
            </w:tcBorders>
            <w:shd w:val="clear" w:color="auto" w:fill="FFC0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07"/>
        <w:gridCol w:w="4070"/>
        <w:gridCol w:w="3686"/>
        <w:gridCol w:w="3840"/>
      </w:tblGrid>
      <w:tr>
        <w:trPr>
          <w:trHeight w:val="55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běžných HG měření za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53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 6 x</w:t>
              <w:tab/>
              <w:t>96 300,00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 6 x</w:t>
              <w:tab/>
              <w:t>96 300,00</w:t>
            </w:r>
          </w:p>
        </w:tc>
      </w:tr>
      <w:tr>
        <w:trPr>
          <w:trHeight w:val="104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chemických rozborů 2x rok - v době nízké a vysoké úrovně HPV - HG studie D.4.1.3+D.4.2.3 - březen a září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53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 2 x</w:t>
              <w:tab/>
              <w:t>13 050,00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 2 x</w:t>
              <w:tab/>
              <w:t>13 050,00</w:t>
            </w:r>
          </w:p>
        </w:tc>
      </w:tr>
      <w:tr>
        <w:trPr>
          <w:trHeight w:val="538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etapových HG zpráv za 2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53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 1 x</w:t>
              <w:tab/>
              <w:t>25 000,00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 1 x</w:t>
              <w:tab/>
              <w:t>25 000,00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HG měření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134 350,00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134 350,00</w:t>
            </w:r>
          </w:p>
        </w:tc>
      </w:tr>
    </w:tbl>
    <w:p>
      <w:pPr>
        <w:widowControl w:val="0"/>
        <w:spacing w:after="539" w:line="1" w:lineRule="exact"/>
      </w:pPr>
    </w:p>
    <w:tbl>
      <w:tblPr>
        <w:tblOverlap w:val="never"/>
        <w:jc w:val="left"/>
        <w:tblLayout w:type="fixed"/>
      </w:tblPr>
      <w:tblGrid>
        <w:gridCol w:w="907"/>
        <w:gridCol w:w="4070"/>
        <w:gridCol w:w="634"/>
        <w:gridCol w:w="566"/>
        <w:gridCol w:w="1133"/>
        <w:gridCol w:w="1354"/>
        <w:gridCol w:w="629"/>
        <w:gridCol w:w="571"/>
        <w:gridCol w:w="1205"/>
        <w:gridCol w:w="1435"/>
      </w:tblGrid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Inklino měření do 40m</w:t>
            </w:r>
          </w:p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INK 101, INK 102, INK103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- inklino (měřiči)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</w:tr>
      <w:tr>
        <w:trPr>
          <w:trHeight w:val="21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- 5 drah po 4 bodech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(20bodů)</w:t>
            </w:r>
          </w:p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Body 1-1 až 1-4, 2-1 až 2-4, 3-1 až 3-4, 4-1 až 4-4, 5-1 až 5-4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427" w:hRule="exact"/>
        </w:trPr>
        <w:tc>
          <w:tcPr>
            <w:vMerge w:val="restart"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</w:tr>
      <w:tr>
        <w:trPr>
          <w:trHeight w:val="538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nově zřízených bodů (měřický pilíře)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E0000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</w:tr>
      <w:tr>
        <w:trPr>
          <w:trHeight w:val="21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geodetů - sesuvy (dráhy posunu + zaměření inklino geodetické)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/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/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C000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C000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C000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/>
            <w:shd w:val="clear" w:color="auto" w:fill="FFC000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12504" w:h="5208" w:vSpace="624" w:wrap="notBeside" w:vAnchor="text" w:hAnchor="text" w:y="1"/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11 350,00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10 100,00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Zaměření inklino vrtů geodetické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GM</w:t>
            </w:r>
          </w:p>
        </w:tc>
        <w:tc>
          <w:tcPr>
            <w:tcBorders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(1xrok)</w:t>
            </w:r>
          </w:p>
        </w:tc>
        <w:tc>
          <w:tcPr>
            <w:tcBorders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  <w:tc>
          <w:tcPr>
            <w:tcBorders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righ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EZ INK+D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EZ - inklino + dráhy posuvu (1x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9D9D9"/>
            <w:vAlign w:val="top"/>
          </w:tcPr>
          <w:p>
            <w:pPr>
              <w:framePr w:w="12504" w:h="5208" w:vSpace="6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roky)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bottom w:val="single" w:sz="4"/>
            </w:tcBorders>
            <w:shd w:val="clear" w:color="auto" w:fill="FFC000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bottom w:val="single" w:sz="4"/>
            </w:tcBorders>
            <w:shd w:val="clear" w:color="auto" w:fill="FFC000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6"/>
              <w:keepNext w:val="0"/>
              <w:keepLines w:val="0"/>
              <w:framePr w:w="12504" w:h="5208" w:vSpace="6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</w:tr>
    </w:tbl>
    <w:p>
      <w:pPr>
        <w:pStyle w:val="Style4"/>
        <w:keepNext w:val="0"/>
        <w:keepLines w:val="0"/>
        <w:framePr w:w="3058" w:h="379" w:hSpace="9446" w:wrap="notBeside" w:vAnchor="text" w:hAnchor="text" w:x="951" w:y="54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Frekvence a cena INK měření</w:t>
      </w:r>
    </w:p>
    <w:p>
      <w:pPr>
        <w:pStyle w:val="Style4"/>
        <w:keepNext w:val="0"/>
        <w:keepLines w:val="0"/>
        <w:framePr w:w="1085" w:h="379" w:hSpace="11419" w:wrap="notBeside" w:vAnchor="text" w:hAnchor="text" w:x="5022" w:y="54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ks/rok 6</w:t>
      </w:r>
    </w:p>
    <w:p>
      <w:pPr>
        <w:pStyle w:val="Style4"/>
        <w:keepNext w:val="0"/>
        <w:keepLines w:val="0"/>
        <w:framePr w:w="2232" w:h="379" w:hSpace="10272" w:wrap="notBeside" w:vAnchor="text" w:hAnchor="text" w:x="7561" w:y="54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22 200,00 ks/rok 6</w:t>
      </w:r>
    </w:p>
    <w:p>
      <w:pPr>
        <w:pStyle w:val="Style4"/>
        <w:keepNext w:val="0"/>
        <w:keepLines w:val="0"/>
        <w:framePr w:w="1066" w:h="379" w:hSpace="11438" w:wrap="notBeside" w:vAnchor="text" w:hAnchor="text" w:x="11387" w:y="54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22 200,00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07"/>
        <w:gridCol w:w="4070"/>
        <w:gridCol w:w="830"/>
        <w:gridCol w:w="912"/>
        <w:gridCol w:w="1944"/>
        <w:gridCol w:w="830"/>
        <w:gridCol w:w="984"/>
        <w:gridCol w:w="2026"/>
      </w:tblGrid>
      <w:tr>
        <w:trPr>
          <w:trHeight w:val="31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Dráhy posunu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60 600,00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geodetické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533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EZ k sesuvům (INK+ DP)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měření - sesuvy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117 850,00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110 350,00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tabs>
          <w:tab w:pos="7320" w:val="left"/>
          <w:tab w:pos="11150" w:val="left"/>
        </w:tabs>
        <w:bidi w:val="0"/>
        <w:spacing w:before="0" w:after="0" w:line="240" w:lineRule="auto"/>
        <w:ind w:left="95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rok 2030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252 200,00</w:t>
        <w:tab/>
        <w:t>244 700,00</w:t>
      </w:r>
    </w:p>
    <w:sectPr>
      <w:footnotePr>
        <w:pos w:val="pageBottom"/>
        <w:numFmt w:val="decimal"/>
        <w:numRestart w:val="continuous"/>
      </w:footnotePr>
      <w:pgSz w:w="16838" w:h="11909" w:orient="landscape"/>
      <w:pgMar w:top="1381" w:left="1401" w:right="2932" w:bottom="1465" w:header="953" w:footer="103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Romana Kalinová</dc:creator>
  <cp:keywords/>
</cp:coreProperties>
</file>