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tabs>
          <w:tab w:pos="3893" w:val="left"/>
          <w:tab w:pos="5309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Nový návrh GD monitoringu 250630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Kč Cena 1 ks Cena Kč /1 ks Cena 1 etapu</w:t>
        <w:tab/>
        <w:t>ks /ks</w:t>
        <w:tab/>
        <w:t>etapu</w:t>
      </w:r>
    </w:p>
    <w:tbl>
      <w:tblPr>
        <w:tblOverlap w:val="never"/>
        <w:jc w:val="center"/>
        <w:tblLayout w:type="fixed"/>
      </w:tblPr>
      <w:tblGrid>
        <w:gridCol w:w="442"/>
        <w:gridCol w:w="3826"/>
        <w:gridCol w:w="1075"/>
        <w:gridCol w:w="1258"/>
        <w:gridCol w:w="1310"/>
        <w:gridCol w:w="1320"/>
        <w:gridCol w:w="562"/>
        <w:gridCol w:w="547"/>
        <w:gridCol w:w="1018"/>
        <w:gridCol w:w="1147"/>
      </w:tblGrid>
      <w:tr>
        <w:trPr>
          <w:trHeight w:val="1109" w:hRule="exact"/>
        </w:trPr>
        <w:tc>
          <w:tcPr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HG vrty - záměr hladin ve vrtech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(A3/HJ1, A3/HJ2, A3/HJ3, HG101, 102, 103, 104, 105, 106, 107, 108, 109, 110, 111, 112, HG140, 141, 144, 155, 164)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8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</w:tr>
      <w:tr>
        <w:trPr>
          <w:trHeight w:val="883" w:hRule="exact"/>
        </w:trPr>
        <w:tc>
          <w:tcPr>
            <w:vMerge w:val="restart"/>
            <w:tcBorders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studny - záměr hladin ve studnách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S1, S4, S5, S6, S7, S8, S9, S10, S11, S12, S13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8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4 950,00</w:t>
            </w:r>
          </w:p>
        </w:tc>
      </w:tr>
      <w:tr>
        <w:trPr>
          <w:trHeight w:val="744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doplněné studny (škola, obecní úřad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Petrohrad)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(S17, S14)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900,00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na měření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měření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16 050,00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16 050,00</w:t>
            </w:r>
          </w:p>
        </w:tc>
      </w:tr>
      <w:tr>
        <w:trPr>
          <w:trHeight w:val="2674" w:hRule="exact"/>
        </w:trPr>
        <w:tc>
          <w:tcPr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odběr vzorků vody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Návrh možného umístění:</w:t>
            </w:r>
          </w:p>
          <w:p>
            <w:pPr>
              <w:pStyle w:val="Style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5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oblasti hráze 1x (Např. z linie HG101 - HG103)</w:t>
            </w:r>
          </w:p>
          <w:p>
            <w:pPr>
              <w:pStyle w:val="Style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údolí Březnice 1x</w:t>
            </w:r>
          </w:p>
          <w:p>
            <w:pPr>
              <w:pStyle w:val="Style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 soukromé studny nejblíže k hřbitovu a ČOV (S5) ev. by šlo ze studny u hřbitova (ale asi méně průkazné)</w:t>
            </w:r>
          </w:p>
          <w:p>
            <w:pPr>
              <w:pStyle w:val="Style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 Finklovým rybníkem (buď HG112 a nebo S11)</w:t>
            </w:r>
          </w:p>
          <w:p>
            <w:pPr>
              <w:pStyle w:val="Style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 školy nebo u úřadu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1 275,00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1 275,00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chemické rozbory vody základní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5 250,00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odběry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10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6 525,00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6 525,00</w:t>
            </w: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840"/>
        <w:gridCol w:w="1282"/>
        <w:gridCol w:w="1704"/>
        <w:gridCol w:w="1978"/>
        <w:gridCol w:w="1675"/>
        <w:gridCol w:w="1598"/>
      </w:tblGrid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běžných HG měření za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96 300,00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 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96 300,00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chemických rozborů (2x rok - v době nízké a vysoké úrovně HPV - HG studie D.4.1.3+D.4.2.3 - březen a září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13 050,00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 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13 050,00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 HG měření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109 350,00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01B0F1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109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350,00</w:t>
            </w: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42"/>
        <w:gridCol w:w="3826"/>
        <w:gridCol w:w="1776"/>
        <w:gridCol w:w="384"/>
        <w:gridCol w:w="1526"/>
        <w:gridCol w:w="552"/>
        <w:gridCol w:w="725"/>
        <w:gridCol w:w="710"/>
        <w:gridCol w:w="336"/>
        <w:gridCol w:w="1080"/>
        <w:gridCol w:w="1147"/>
      </w:tblGrid>
      <w:tr>
        <w:trPr>
          <w:trHeight w:val="63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Jednorázově - zřízení stabilizovaných bodů a bodů orientace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60 000,00</w:t>
            </w:r>
          </w:p>
        </w:tc>
      </w:tr>
      <w:tr>
        <w:trPr>
          <w:trHeight w:val="1066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Jednorázově - zřízení pilířů / vztažných bodů ( + případné nepředvídatelné náklady (tj. např. nutné kácení)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EBEBE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1075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PD (vztažné body/pilíře) + vyřízení příslušného povolení a prvotní měření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12 500,00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a prvotní měření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84 500,00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01B0F1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84 500,00</w:t>
            </w: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42"/>
        <w:gridCol w:w="3826"/>
        <w:gridCol w:w="1080"/>
        <w:gridCol w:w="1253"/>
        <w:gridCol w:w="1358"/>
        <w:gridCol w:w="1272"/>
        <w:gridCol w:w="562"/>
        <w:gridCol w:w="547"/>
        <w:gridCol w:w="1066"/>
        <w:gridCol w:w="1099"/>
      </w:tblGrid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Inklino měření do 40m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INK 101, INK 102, INK103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2 250,00</w:t>
            </w:r>
          </w:p>
        </w:tc>
      </w:tr>
      <w:tr>
        <w:trPr>
          <w:trHeight w:val="307" w:hRule="exact"/>
        </w:trPr>
        <w:tc>
          <w:tcPr>
            <w:vMerge w:val="restart"/>
            <w:tcBorders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- inklino (měřiči)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</w:tr>
      <w:tr>
        <w:trPr>
          <w:trHeight w:val="341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měření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10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3 700,00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3 700,00</w:t>
            </w:r>
          </w:p>
        </w:tc>
      </w:tr>
      <w:tr>
        <w:trPr>
          <w:trHeight w:val="182" w:hRule="exact"/>
        </w:trPr>
        <w:tc>
          <w:tcPr>
            <w:vMerge w:val="restart"/>
            <w:tcBorders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Dráhy posunu - 5 drah po 4 bodech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1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(20bodů)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Body 1-1 až 1-4, 2-1 až 2-4, 3-1 až 3-4, 4-1 až 4-4, 5-1 až 5-4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</w:tr>
      <w:tr>
        <w:trPr>
          <w:trHeight w:val="187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geodetů - sesuvy (dráhy posunu + zaměření inklino geodetické)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vMerge/>
            <w:tcBorders/>
            <w:shd w:val="clear" w:color="auto" w:fill="FFC000"/>
            <w:vAlign w:val="bottom"/>
          </w:tcPr>
          <w:p>
            <w:pPr/>
          </w:p>
        </w:tc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vMerge/>
            <w:tcBorders/>
            <w:shd w:val="clear" w:color="auto" w:fill="FFC000"/>
            <w:vAlign w:val="bottom"/>
          </w:tcPr>
          <w:p>
            <w:pPr/>
          </w:p>
        </w:tc>
        <w:tc>
          <w:tcPr>
            <w:vMerge/>
            <w:tcBorders>
              <w:righ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měření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10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9 850,00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9 850,00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01B0F1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Zaměření inklino vrtů geodetické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(1xrok)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bottom w:val="single" w:sz="4"/>
            </w:tcBorders>
            <w:shd w:val="clear" w:color="auto" w:fill="D9D9D9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bottom w:val="single" w:sz="4"/>
            </w:tcBorders>
            <w:shd w:val="clear" w:color="auto" w:fill="FFC000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1 350,00</w:t>
            </w:r>
          </w:p>
        </w:tc>
        <w:tc>
          <w:tcPr>
            <w:tcBorders>
              <w:bottom w:val="single" w:sz="4"/>
            </w:tcBorders>
            <w:shd w:val="clear" w:color="auto" w:fill="D9D9D9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bottom w:val="single" w:sz="4"/>
            </w:tcBorders>
            <w:shd w:val="clear" w:color="auto" w:fill="D9D9D9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bottom w:val="single" w:sz="4"/>
            </w:tcBorders>
            <w:shd w:val="clear" w:color="auto" w:fill="FFC000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1 350,00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42"/>
        <w:gridCol w:w="3826"/>
        <w:gridCol w:w="1282"/>
        <w:gridCol w:w="1771"/>
        <w:gridCol w:w="1910"/>
        <w:gridCol w:w="730"/>
        <w:gridCol w:w="912"/>
        <w:gridCol w:w="1632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INK měření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22 200,00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Dráhy posunu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59 100,00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59 100,00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INK geodetické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 měření - sesuvy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85 350,00</w:t>
            </w:r>
          </w:p>
        </w:tc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01B0F1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85 350,00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pBdr>
          <w:top w:val="single" w:sz="0" w:space="0" w:color="01B0F1"/>
          <w:left w:val="single" w:sz="0" w:space="0" w:color="01B0F1"/>
          <w:bottom w:val="single" w:sz="0" w:space="3" w:color="01B0F1"/>
          <w:right w:val="single" w:sz="0" w:space="0" w:color="01B0F1"/>
        </w:pBdr>
        <w:shd w:val="clear" w:color="auto" w:fill="01B0F1"/>
        <w:bidi w:val="0"/>
        <w:spacing w:before="0" w:after="0" w:line="240" w:lineRule="auto"/>
        <w:ind w:left="0" w:righ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6047105</wp:posOffset>
                </wp:positionH>
                <wp:positionV relativeFrom="paragraph">
                  <wp:posOffset>127000</wp:posOffset>
                </wp:positionV>
                <wp:extent cx="679450" cy="21336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945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279 200,00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6.15000000000003pt;margin-top:10.pt;width:53.5pt;height:16.8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279 200,00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279</w:t>
      </w:r>
    </w:p>
    <w:p>
      <w:pPr>
        <w:pStyle w:val="Style2"/>
        <w:keepNext w:val="0"/>
        <w:keepLines w:val="0"/>
        <w:widowControl w:val="0"/>
        <w:pBdr>
          <w:top w:val="single" w:sz="0" w:space="0" w:color="01B0F1"/>
          <w:left w:val="single" w:sz="0" w:space="0" w:color="01B0F1"/>
          <w:bottom w:val="single" w:sz="0" w:space="3" w:color="01B0F1"/>
          <w:right w:val="single" w:sz="0" w:space="0" w:color="01B0F1"/>
        </w:pBdr>
        <w:shd w:val="clear" w:color="auto" w:fill="01B0F1"/>
        <w:bidi w:val="0"/>
        <w:spacing w:before="0" w:after="193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200,00</w:t>
      </w:r>
    </w:p>
    <w:sectPr>
      <w:footnotePr>
        <w:pos w:val="pageBottom"/>
        <w:numFmt w:val="decimal"/>
        <w:numRestart w:val="continuous"/>
      </w:footnotePr>
      <w:pgSz w:w="16838" w:h="23813"/>
      <w:pgMar w:top="1351" w:left="1401" w:right="2932" w:bottom="1351" w:header="923" w:footer="92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30"/>
      <w:jc w:val="right"/>
    </w:pPr>
    <w:rPr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jc w:val="right"/>
    </w:pPr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Romana Kalinová</dc:creator>
  <cp:keywords/>
</cp:coreProperties>
</file>